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af3437306bfc49a29cdcc527074cc4d4"/>
        <w:lock w:val="sdtLocked"/>
        <w:richText/>
      </w:sdtPr>
      <w:sdtContent>
        <w:p>
          <w:pPr>
            <w:rPr>
              <w:rFonts w:ascii="Times New Roman" w:hAnsi="Times New Roman"/>
              <w:b/>
              <w:i/>
            </w:rPr>
          </w:pPr>
          <w:r>
            <w:rPr>
              <w:rFonts w:ascii="Times New Roman" w:hAnsi="Times New Roman"/>
              <w:b/>
              <w:i/>
            </w:rPr>
            <w:t>Įsakymas netenka galios 2023-01-01:</w:t>
          </w:r>
        </w:p>
        <w:p>
          <w:pPr>
            <w:jc w:val="both"/>
            <w:rPr>
              <w:rFonts w:ascii="Times New Roman" w:hAnsi="Times New Roman"/>
              <w:i/>
            </w:rPr>
          </w:pPr>
          <w:r>
            <w:rPr>
              <w:rFonts w:ascii="Times New Roman" w:hAnsi="Times New Roman"/>
              <w:sz w:val="20"/>
              <w:i/>
            </w:rPr>
            <w:t>
                    Lietuvos Respublikos žemės ūkio ministerija, Įsakymas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5b062480c45b11ec8d9390588bf2de65">
            <w:r w:rsidRPr="00532B9F">
              <w:rPr>
                <w:rFonts w:ascii="Times New Roman" w:eastAsia="MS Mincho" w:hAnsi="Times New Roman"/>
                <w:sz w:val="20"/>
                <w:i/>
                <w:iCs/>
                <w:color w:val="0000FF" w:themeColor="hyperlink"/>
                <w:u w:val="single"/>
              </w:rPr>
              <w:t>3D-280</w:t>
            </w:r>
          </w:fldSimple>
          <w:r>
            <w:rPr>
              <w:rFonts w:ascii="Times New Roman" w:eastAsia="MS Mincho" w:hAnsi="Times New Roman"/>
              <w:sz w:val="20"/>
              <w:iCs/>
              <w:i/>
            </w:rPr>
            <w:t>,
2022-04-25,
paskelbta TAR 2022-04-25, i. k. 2022-08328                </w:t>
          </w:r>
        </w:p>
        <w:p>
          <w:pPr>
            <w:jc w:val="both"/>
            <w:rPr>
              <w:rFonts w:ascii="Times New Roman" w:hAnsi="Times New Roman"/>
              <w:i/>
            </w:rPr>
          </w:pPr>
          <w:r>
            <w:rPr>
              <w:rFonts w:ascii="Times New Roman" w:hAnsi="Times New Roman"/>
              <w:sz w:val="20"/>
              <w:i/>
            </w:rPr>
            <w:t>Dėl Ūkininkų ir gyventojų, kurie neįregistravę ūkininko ūkio verčiasi individualia žemės ūkio veikla, veiklos  finansinės apskaitos tvarkos nustatymo</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2016-01-01 iki 2022-12-31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2EFE3B704CCC">
            <w:r w:rsidRPr="00532B9F">
              <w:rPr>
                <w:rFonts w:ascii="Times New Roman" w:eastAsia="MS Mincho" w:hAnsi="Times New Roman"/>
                <w:sz w:val="20"/>
                <w:i/>
                <w:iCs/>
                <w:color w:val="0000FF" w:themeColor="hyperlink"/>
                <w:u w:val="single"/>
              </w:rPr>
              <w:t>62-2216</w:t>
            </w:r>
          </w:fldSimple>
          <w:r>
            <w:rPr>
              <w:rFonts w:ascii="Times New Roman" w:eastAsia="MS Mincho" w:hAnsi="Times New Roman"/>
              <w:sz w:val="20"/>
              <w:i/>
              <w:iCs/>
            </w:rPr>
            <w:t>, i. k. 1052330ISAK003D-266</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rPr>
          </w:pPr>
          <w:r>
            <w:rPr>
              <w:b/>
              <w:color w:val="000000"/>
              <w:lang w:eastAsia="lt-LT"/>
            </w:rPr>
            <w:pict w14:anchorId="33B25B0B">
              <v:shapetype id="_x0000_t201" coordsize="21600,21600" o:spt="201" path="m,l,21600r21600,l21600,xe">
                <v:stroke joinstyle="miter"/>
                <v:path shadowok="f" o:extrusionok="f" strokeok="f" fillok="f" o:connecttype="rect"/>
                <o:lock v:ext="edit" shapetype="t"/>
              </v:shapetype>
              <v:shape id="_x0000_s1073" type="#_x0000_t201" style="position:absolute;left:0;text-align:left;margin-left:-85.05pt;margin-top:-56.7pt;width:.75pt;height:.75pt;z-index:251658752;visibility:hidden;mso-position-horizontal-relative:text;mso-position-vertical-relative:text" stroked="f">
                <v:imagedata r:id="rId9" o:title=""/>
              </v:shape>
              <w:control r:id="rId10" w:name="Control 49" w:shapeid="_x0000_s1073"/>
            </w:pict>
          </w:r>
          <w:r>
            <w:rPr>
              <w:b/>
              <w:color w:val="000000"/>
            </w:rPr>
            <w:t>LIETUVOS RESPUBLIKOS ŽEMĖS ŪKIO MINISTRO</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ŪKININKO ŪKIO VEIKLOS BUHALTERINĖS APSKAITOS TVARKYMO SUPAPRASTINTĄJA APSKAITOS SISTEMA REKOMENDACIJŲ PATVIRTINIMO</w:t>
          </w:r>
        </w:p>
        <w:p>
          <w:pPr>
            <w:jc w:val="center"/>
            <w:rPr>
              <w:color w:val="000000"/>
            </w:rPr>
          </w:pPr>
        </w:p>
        <w:p>
          <w:pPr>
            <w:jc w:val="center"/>
            <w:rPr>
              <w:color w:val="000000"/>
            </w:rPr>
          </w:pPr>
          <w:r>
            <w:rPr>
              <w:color w:val="000000"/>
            </w:rPr>
            <w:t>2005 m. gegužės 11 d. Nr. 3D-266</w:t>
          </w:r>
        </w:p>
        <w:p>
          <w:pPr>
            <w:jc w:val="center"/>
            <w:rPr>
              <w:color w:val="000000"/>
            </w:rPr>
          </w:pPr>
          <w:r>
            <w:rPr>
              <w:color w:val="000000"/>
            </w:rPr>
            <w:t>Vilnius</w:t>
          </w:r>
        </w:p>
        <w:p>
          <w:pPr>
            <w:ind w:firstLine="709"/>
            <w:jc w:val="both"/>
            <w:rPr>
              <w:color w:val="000000"/>
            </w:rPr>
          </w:pPr>
        </w:p>
        <w:p>
          <w:pPr>
            <w:ind w:firstLine="709"/>
            <w:jc w:val="both"/>
            <w:rPr>
              <w:color w:val="000000"/>
            </w:rPr>
          </w:pPr>
        </w:p>
        <w:sdt>
          <w:sdtPr>
            <w:alias w:val="preambule"/>
            <w:tag w:val="part_90befee3fefe4dc1b66abc7094218e5a"/>
            <w:lock w:val="sdtLocked"/>
            <w:richText/>
          </w:sdtPr>
          <w:sdtContent>
            <w:p>
              <w:pPr>
                <w:ind w:firstLine="709"/>
                <w:jc w:val="both"/>
                <w:rPr>
                  <w:color w:val="000000"/>
                </w:rPr>
              </w:pPr>
              <w:r>
                <w:rPr>
                  <w:color w:val="000000"/>
                  <w:szCs w:val="22"/>
                </w:rPr>
                <w:t xml:space="preserve">Vadovaudamasi Lietuvos Respublikos žemės ūkio ministerijos nuostatų, patvirtintų Lietuvos Respublikos Vyriausybės 1998 m. rugsėjo 15 d. nutarimu Nr. 1120 (Žin., 1998, Nr. </w:t>
              </w:r>
              <w:hyperlink r:id="rId11" w:tgtFrame="_blank" w:history="1">
                <w:r>
                  <w:rPr>
                    <w:color w:val="0000FF" w:themeColor="hyperlink"/>
                    <w:szCs w:val="22"/>
                    <w:u w:val="single"/>
                  </w:rPr>
                  <w:t>83-2327</w:t>
                </w:r>
              </w:hyperlink>
              <w:r>
                <w:rPr>
                  <w:color w:val="000000"/>
                  <w:szCs w:val="22"/>
                </w:rPr>
                <w:t xml:space="preserve">; 2001, Nr. </w:t>
              </w:r>
              <w:hyperlink r:id="rId12" w:tgtFrame="_blank" w:history="1">
                <w:r>
                  <w:rPr>
                    <w:color w:val="0000FF" w:themeColor="hyperlink"/>
                    <w:szCs w:val="22"/>
                    <w:u w:val="single"/>
                  </w:rPr>
                  <w:t>92-3215</w:t>
                </w:r>
              </w:hyperlink>
              <w:r>
                <w:rPr>
                  <w:color w:val="000000"/>
                  <w:szCs w:val="22"/>
                </w:rPr>
                <w:t>) 6.46 punktu ir siekdama sudaryti ūkininkams palankesnes sąlygas ūkio veiklos buhalterinei apskaitai tvarkyti,</w:t>
              </w:r>
            </w:p>
          </w:sdtContent>
        </w:sdt>
        <w:sdt>
          <w:sdtPr>
            <w:alias w:val="pastraipa"/>
            <w:tag w:val="part_8229edda9d334952950753fc201e2554"/>
            <w:lock w:val="sdtLocked"/>
            <w:richText/>
          </w:sdtPr>
          <w:sdtContent>
            <w:p>
              <w:pPr>
                <w:ind w:firstLine="709"/>
                <w:jc w:val="both"/>
                <w:rPr>
                  <w:color w:val="000000"/>
                  <w:szCs w:val="22"/>
                </w:rPr>
              </w:pPr>
              <w:r>
                <w:rPr>
                  <w:color w:val="000000"/>
                  <w:spacing w:val="60"/>
                  <w:szCs w:val="22"/>
                </w:rPr>
                <w:t>tvirtinu</w:t>
              </w:r>
              <w:r>
                <w:rPr>
                  <w:color w:val="000000"/>
                  <w:spacing w:val="20"/>
                  <w:szCs w:val="22"/>
                </w:rPr>
                <w:t xml:space="preserve"> </w:t>
              </w:r>
              <w:r>
                <w:rPr>
                  <w:color w:val="000000"/>
                  <w:szCs w:val="22"/>
                </w:rPr>
                <w:t>Ūkininko ūkio veiklos buhalterinės apskaitos tvarkymo supaprastintąja apskaitos sistema rekomendacijas (pridedama).</w:t>
              </w:r>
            </w:p>
          </w:sdtContent>
        </w:sdt>
        <w:sdt>
          <w:sdtPr>
            <w:alias w:val="signatura"/>
            <w:tag w:val="part_18bd7f876e9a464f8d25cce5519b8f18"/>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ŽEMĖS ŪKIO MINISTRĖ</w:t>
                <w:tab/>
                <w:t>KAZIMIRA DANUTĖ PRUNSKIENĖ</w:t>
              </w:r>
            </w:p>
          </w:sdtContent>
        </w:sdt>
      </w:sdtContent>
    </w:sdt>
    <w:sdt>
      <w:sdtPr>
        <w:alias w:val="patvirtinta"/>
        <w:tag w:val="part_6019feab2d454dfba8baf5f27f71124d"/>
        <w:lock w:val="sdtLocked"/>
        <w:richText/>
      </w:sdtPr>
      <w:sdtContent>
        <w:p>
          <w:pPr>
            <w:ind w:left="5103" w:hanging="1"/>
            <w:rPr>
              <w:color w:val="000000"/>
            </w:rPr>
          </w:pPr>
          <w:r>
            <w:rPr>
              <w:color w:val="000000"/>
              <w:szCs w:val="22"/>
            </w:rPr>
            <w:br w:type="page"/>
            <w:t>PATVIRTINTA</w:t>
          </w:r>
        </w:p>
        <w:p>
          <w:pPr>
            <w:ind w:firstLine="5102"/>
            <w:rPr>
              <w:color w:val="000000"/>
              <w:szCs w:val="22"/>
            </w:rPr>
          </w:pPr>
          <w:r>
            <w:rPr>
              <w:color w:val="000000"/>
              <w:szCs w:val="22"/>
            </w:rPr>
            <w:t xml:space="preserve">Lietuvos Respublikos žemės ūkio </w:t>
          </w:r>
        </w:p>
        <w:p>
          <w:pPr>
            <w:ind w:firstLine="5102"/>
            <w:rPr>
              <w:color w:val="000000"/>
            </w:rPr>
          </w:pPr>
          <w:r>
            <w:rPr>
              <w:color w:val="000000"/>
              <w:szCs w:val="22"/>
            </w:rPr>
            <w:t>ministro</w:t>
          </w:r>
          <w:r>
            <w:rPr>
              <w:color w:val="000000"/>
            </w:rPr>
            <w:t xml:space="preserve"> </w:t>
          </w:r>
          <w:r>
            <w:rPr>
              <w:color w:val="000000"/>
              <w:szCs w:val="22"/>
            </w:rPr>
            <w:t xml:space="preserve">2005 m. gegužės 11 d. </w:t>
          </w:r>
        </w:p>
        <w:p>
          <w:pPr>
            <w:ind w:firstLine="5102"/>
            <w:rPr>
              <w:color w:val="000000"/>
            </w:rPr>
          </w:pPr>
          <w:r>
            <w:rPr>
              <w:color w:val="000000"/>
              <w:szCs w:val="22"/>
            </w:rPr>
            <w:t>įsakymu Nr. 3D-266</w:t>
          </w:r>
        </w:p>
        <w:p>
          <w:pPr>
            <w:ind w:firstLine="709"/>
            <w:rPr>
              <w:color w:val="000000"/>
            </w:rPr>
          </w:pPr>
        </w:p>
        <w:p>
          <w:pPr>
            <w:jc w:val="center"/>
            <w:rPr>
              <w:b/>
              <w:bCs/>
              <w:caps/>
              <w:color w:val="000000"/>
            </w:rPr>
          </w:pPr>
          <w:sdt>
            <w:sdtPr>
              <w:alias w:val="Pavadinimas"/>
              <w:tag w:val="title_6019feab2d454dfba8baf5f27f71124d"/>
              <w:lock w:val="sdtLocked"/>
              <w:richText/>
            </w:sdtPr>
            <w:sdtContent>
              <w:r>
                <w:rPr>
                  <w:b/>
                  <w:bCs/>
                  <w:caps/>
                  <w:color w:val="000000"/>
                  <w:szCs w:val="22"/>
                </w:rPr>
                <w:t>ŪKININKO ŪKIO VEIKLOS BUHALTERINĖS APSKAITOS TVARKYMO SUPAPRASTINTĄJA APSKAITOS SISTEMA REKOMENDACIJOS</w:t>
              </w:r>
            </w:sdtContent>
          </w:sdt>
        </w:p>
        <w:p>
          <w:pPr>
            <w:jc w:val="center"/>
            <w:rPr>
              <w:b/>
              <w:bCs/>
              <w:caps/>
              <w:color w:val="000000"/>
            </w:rPr>
          </w:pPr>
        </w:p>
        <w:sdt>
          <w:sdtPr>
            <w:alias w:val="skyrius"/>
            <w:tag w:val="part_9928956ed60b483ea8fea4fba8767372"/>
            <w:lock w:val="sdtLocked"/>
            <w:richText/>
          </w:sdtPr>
          <w:sdtContent>
            <w:p>
              <w:pPr>
                <w:jc w:val="center"/>
                <w:rPr>
                  <w:b/>
                  <w:bCs/>
                  <w:caps/>
                  <w:color w:val="000000"/>
                </w:rPr>
              </w:pPr>
              <w:sdt>
                <w:sdtPr>
                  <w:alias w:val="Numeris"/>
                  <w:tag w:val="nr_9928956ed60b483ea8fea4fba8767372"/>
                  <w:lock w:val="sdtLocked"/>
                  <w:richText/>
                </w:sdtPr>
                <w:sdtContent>
                  <w:r>
                    <w:rPr>
                      <w:b/>
                      <w:bCs/>
                      <w:caps/>
                      <w:color w:val="000000"/>
                      <w:szCs w:val="22"/>
                    </w:rPr>
                    <w:t>I</w:t>
                  </w:r>
                </w:sdtContent>
              </w:sdt>
              <w:r>
                <w:rPr>
                  <w:b/>
                  <w:bCs/>
                  <w:caps/>
                  <w:color w:val="000000"/>
                  <w:szCs w:val="22"/>
                </w:rPr>
                <w:t xml:space="preserve">. </w:t>
              </w:r>
              <w:sdt>
                <w:sdtPr>
                  <w:alias w:val="Pavadinimas"/>
                  <w:tag w:val="title_9928956ed60b483ea8fea4fba8767372"/>
                  <w:lock w:val="sdtLocked"/>
                  <w:richText/>
                </w:sdtPr>
                <w:sdtContent>
                  <w:r>
                    <w:rPr>
                      <w:b/>
                      <w:bCs/>
                      <w:caps/>
                      <w:color w:val="000000"/>
                      <w:szCs w:val="22"/>
                    </w:rPr>
                    <w:t>BENDROSIOS NUOSTATOS</w:t>
                  </w:r>
                </w:sdtContent>
              </w:sdt>
            </w:p>
            <w:p>
              <w:pPr>
                <w:ind w:firstLine="709"/>
                <w:jc w:val="both"/>
                <w:rPr>
                  <w:color w:val="000000"/>
                </w:rPr>
              </w:pPr>
            </w:p>
            <w:sdt>
              <w:sdtPr>
                <w:alias w:val="1 p."/>
                <w:tag w:val="part_e8f2dd4b445c4635a489274c8165e17b"/>
                <w:lock w:val="sdtLocked"/>
                <w:richText/>
              </w:sdtPr>
              <w:sdtContent>
                <w:p>
                  <w:pPr>
                    <w:ind w:firstLine="709"/>
                    <w:jc w:val="both"/>
                    <w:rPr>
                      <w:color w:val="000000"/>
                    </w:rPr>
                  </w:pPr>
                  <w:sdt>
                    <w:sdtPr>
                      <w:alias w:val="Numeris"/>
                      <w:tag w:val="nr_e8f2dd4b445c4635a489274c8165e17b"/>
                      <w:lock w:val="sdtLocked"/>
                      <w:richText/>
                    </w:sdtPr>
                    <w:sdtContent>
                      <w:r>
                        <w:rPr>
                          <w:color w:val="000000"/>
                          <w:szCs w:val="22"/>
                        </w:rPr>
                        <w:t>1</w:t>
                      </w:r>
                    </w:sdtContent>
                  </w:sdt>
                  <w:r>
                    <w:rPr>
                      <w:color w:val="000000"/>
                      <w:szCs w:val="22"/>
                    </w:rPr>
                    <w:t>. Ūkininko ūkio veiklos buhalterinės apskaitos tvarkymo supaprastintąja apskaitos sistema rekomendacijų (toliau – rekomendacijų) tikslas – padėti ūkininkams suprasti ūkininko ūkio veiklos apskaitos tvarkymo taikant supaprastintąją apskaitos sistemą principus, ūkyje įvykusių ūkinių operacijų registravimą rekomenduojamuose apskaitos registruose bei finansinės atskaitomybės sudarymą.</w:t>
                  </w:r>
                </w:p>
              </w:sdtContent>
            </w:sdt>
            <w:sdt>
              <w:sdtPr>
                <w:alias w:val="2 p."/>
                <w:tag w:val="part_2f2c763d169b4119b69e61c6bbb8aaeb"/>
                <w:lock w:val="sdtLocked"/>
                <w:richText/>
              </w:sdtPr>
              <w:sdtContent>
                <w:p>
                  <w:pPr>
                    <w:ind w:firstLine="709"/>
                    <w:jc w:val="both"/>
                    <w:rPr>
                      <w:color w:val="000000"/>
                    </w:rPr>
                  </w:pPr>
                  <w:sdt>
                    <w:sdtPr>
                      <w:alias w:val="Numeris"/>
                      <w:tag w:val="nr_2f2c763d169b4119b69e61c6bbb8aaeb"/>
                      <w:lock w:val="sdtLocked"/>
                      <w:richText/>
                    </w:sdtPr>
                    <w:sdtContent>
                      <w:r>
                        <w:rPr>
                          <w:color w:val="000000"/>
                          <w:szCs w:val="22"/>
                        </w:rPr>
                        <w:t>2</w:t>
                      </w:r>
                    </w:sdtContent>
                  </w:sdt>
                  <w:r>
                    <w:rPr>
                      <w:color w:val="000000"/>
                      <w:szCs w:val="22"/>
                    </w:rPr>
                    <w:t>. Šiomis rekomendacijomis gali vadovautis ūkininkai, pretenduojantys gauti ES struktūrinių fondų ir kitą investicinę paramą, taip pat parama neketinantys naudotis ūkininkai.</w:t>
                  </w:r>
                </w:p>
              </w:sdtContent>
            </w:sdt>
            <w:sdt>
              <w:sdtPr>
                <w:alias w:val="3 p."/>
                <w:tag w:val="part_2a05ab3a546244288a7d96edb9918115"/>
                <w:lock w:val="sdtLocked"/>
                <w:richText/>
              </w:sdtPr>
              <w:sdtContent>
                <w:p>
                  <w:pPr>
                    <w:ind w:firstLine="709"/>
                    <w:jc w:val="both"/>
                    <w:rPr>
                      <w:color w:val="000000"/>
                    </w:rPr>
                  </w:pPr>
                  <w:sdt>
                    <w:sdtPr>
                      <w:alias w:val="Numeris"/>
                      <w:tag w:val="nr_2a05ab3a546244288a7d96edb9918115"/>
                      <w:lock w:val="sdtLocked"/>
                      <w:richText/>
                    </w:sdtPr>
                    <w:sdtContent>
                      <w:r>
                        <w:rPr>
                          <w:color w:val="000000"/>
                          <w:szCs w:val="22"/>
                        </w:rPr>
                        <w:t>3</w:t>
                      </w:r>
                    </w:sdtContent>
                  </w:sdt>
                  <w:r>
                    <w:rPr>
                      <w:color w:val="000000"/>
                      <w:szCs w:val="22"/>
                    </w:rPr>
                    <w:t>. Supaprastintosios apskaitos sistemos esmę sudaro tai, kad visi duomenys joje registruojami paprastuoju įrašu, tai yra, nenaudojant buhalterinių sąskaitų ir nedarant dvejybinio įrašo.</w:t>
                  </w:r>
                </w:p>
              </w:sdtContent>
            </w:sdt>
            <w:sdt>
              <w:sdtPr>
                <w:alias w:val="4 p."/>
                <w:tag w:val="part_c961f7bfcf2a43f3a7c6ddc777fcee86"/>
                <w:lock w:val="sdtLocked"/>
                <w:richText/>
              </w:sdtPr>
              <w:sdtContent>
                <w:p>
                  <w:pPr>
                    <w:ind w:firstLine="709"/>
                    <w:jc w:val="both"/>
                    <w:rPr>
                      <w:color w:val="000000"/>
                    </w:rPr>
                  </w:pPr>
                  <w:sdt>
                    <w:sdtPr>
                      <w:alias w:val="Numeris"/>
                      <w:tag w:val="nr_c961f7bfcf2a43f3a7c6ddc777fcee86"/>
                      <w:lock w:val="sdtLocked"/>
                      <w:richText/>
                    </w:sdtPr>
                    <w:sdtContent>
                      <w:r>
                        <w:rPr>
                          <w:color w:val="000000"/>
                          <w:szCs w:val="22"/>
                        </w:rPr>
                        <w:t>4</w:t>
                      </w:r>
                    </w:sdtContent>
                  </w:sdt>
                  <w:r>
                    <w:rPr>
                      <w:color w:val="000000"/>
                      <w:szCs w:val="22"/>
                    </w:rPr>
                    <w:t>. Supaprastintoje apskaitos sistemoje taikomas pinigų principas reiškia, kad pinigų įplaukos ūkininko ūkyje registruojamos tik tada, kai pinigai gauti, o pinigų išlaidos tada, kai pinigai jau sumokėti.</w:t>
                  </w:r>
                </w:p>
              </w:sdtContent>
            </w:sdt>
            <w:sdt>
              <w:sdtPr>
                <w:alias w:val="5 p."/>
                <w:tag w:val="part_5f3ff28da41c442f9ea60acb7ac09f55"/>
                <w:lock w:val="sdtLocked"/>
                <w:richText/>
              </w:sdtPr>
              <w:sdtContent>
                <w:p>
                  <w:pPr>
                    <w:overflowPunct w:val="0"/>
                    <w:ind w:firstLine="709"/>
                    <w:jc w:val="both"/>
                    <w:textAlignment w:val="baseline"/>
                    <w:rPr>
                      <w:color w:val="000000"/>
                    </w:rPr>
                  </w:pPr>
                  <w:sdt>
                    <w:sdtPr>
                      <w:alias w:val="Numeris"/>
                      <w:tag w:val="nr_5f3ff28da41c442f9ea60acb7ac09f55"/>
                      <w:lock w:val="sdtLocked"/>
                      <w:richText/>
                    </w:sdtPr>
                    <w:sdtContent>
                      <w:r>
                        <w:rPr>
                          <w:szCs w:val="24"/>
                        </w:rPr>
                        <w:t>5</w:t>
                      </w:r>
                    </w:sdtContent>
                  </w:sdt>
                  <w:r>
                    <w:rPr>
                      <w:szCs w:val="24"/>
                    </w:rPr>
                    <w:t>. Buhalterinė apskaita tvarkoma naudojant eurą. Ūkinės operacijos ir ūkiniai įvykiai, kurie susiję su užsienio valiuta, apskaitoje perskaičiuojamai pagal Lietuvos Respublikos buhalterinės apskaitos įstatymo 5 straipsnį</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ba5c0506f11e4a698d921e3e46801">
                    <w:r w:rsidRPr="00532B9F">
                      <w:rPr>
                        <w:rFonts w:ascii="Times New Roman" w:eastAsia="MS Mincho" w:hAnsi="Times New Roman"/>
                        <w:sz w:val="20"/>
                        <w:i/>
                        <w:iCs/>
                        <w:color w:val="0000FF" w:themeColor="hyperlink"/>
                        <w:u w:val="single"/>
                      </w:rPr>
                      <w:t>3D-725</w:t>
                    </w:r>
                  </w:fldSimple>
                  <w:r>
                    <w:rPr>
                      <w:rFonts w:ascii="Times New Roman" w:eastAsia="MS Mincho" w:hAnsi="Times New Roman"/>
                      <w:sz w:val="20"/>
                      <w:i/>
                      <w:iCs/>
                    </w:rPr>
                    <w:t>,
2014-10-10,
paskelbta TAR 2014-10-10, i. k. 2014-13951            </w:t>
                  </w:r>
                </w:p>
                <w:p/>
              </w:sdtContent>
            </w:sdt>
            <w:sdt>
              <w:sdtPr>
                <w:alias w:val="6 p."/>
                <w:tag w:val="part_de28d493fb96467b955b003a18033075"/>
                <w:lock w:val="sdtLocked"/>
                <w:richText/>
              </w:sdtPr>
              <w:sdtContent>
                <w:p>
                  <w:pPr>
                    <w:ind w:firstLine="709"/>
                    <w:jc w:val="both"/>
                    <w:rPr>
                      <w:color w:val="000000"/>
                    </w:rPr>
                  </w:pPr>
                  <w:sdt>
                    <w:sdtPr>
                      <w:alias w:val="Numeris"/>
                      <w:tag w:val="nr_de28d493fb96467b955b003a18033075"/>
                      <w:lock w:val="sdtLocked"/>
                      <w:richText/>
                    </w:sdtPr>
                    <w:sdtContent>
                      <w:r>
                        <w:rPr>
                          <w:color w:val="000000"/>
                          <w:szCs w:val="22"/>
                        </w:rPr>
                        <w:t>6</w:t>
                      </w:r>
                    </w:sdtContent>
                  </w:sdt>
                  <w:r>
                    <w:rPr>
                      <w:color w:val="000000"/>
                      <w:szCs w:val="22"/>
                    </w:rPr>
                    <w:t>. Finansiniai metai trunka 12 mėnesių ir paprastai sutampa su kalendoriniais metais. Kai ūkininkas savo ūkinę veiklą pradeda, nutraukia ar keičia, šis laikotarpis gali būti kitas, bet ne ilgesnis kaip 18 mėn. Ne vėliau kaip per 4 mėn. po finansinių metų pabaigos parengiamas balansas, pelno (nuostolių) ataskaita ir pinigų srautų ataskaita.</w:t>
                  </w:r>
                </w:p>
              </w:sdtContent>
            </w:sdt>
            <w:sdt>
              <w:sdtPr>
                <w:alias w:val="7 p."/>
                <w:tag w:val="part_e346b96fede94febba61f9c6b9ad4145"/>
                <w:lock w:val="sdtLocked"/>
                <w:richText/>
              </w:sdtPr>
              <w:sdtContent>
                <w:p>
                  <w:pPr>
                    <w:ind w:firstLine="709"/>
                    <w:jc w:val="both"/>
                    <w:rPr>
                      <w:color w:val="000000"/>
                    </w:rPr>
                  </w:pPr>
                  <w:sdt>
                    <w:sdtPr>
                      <w:alias w:val="Numeris"/>
                      <w:tag w:val="nr_e346b96fede94febba61f9c6b9ad4145"/>
                      <w:lock w:val="sdtLocked"/>
                      <w:richText/>
                    </w:sdtPr>
                    <w:sdtContent>
                      <w:r>
                        <w:rPr>
                          <w:color w:val="000000"/>
                          <w:szCs w:val="22"/>
                        </w:rPr>
                        <w:t>7</w:t>
                      </w:r>
                    </w:sdtContent>
                  </w:sdt>
                  <w:r>
                    <w:rPr>
                      <w:color w:val="000000"/>
                      <w:szCs w:val="22"/>
                    </w:rPr>
                    <w:t>. Šiose rekomendacijose vartojamos sąvokos:</w:t>
                  </w:r>
                </w:p>
                <w:p>
                  <w:pPr>
                    <w:ind w:firstLine="709"/>
                    <w:jc w:val="both"/>
                    <w:rPr>
                      <w:color w:val="000000"/>
                    </w:rPr>
                  </w:pPr>
                  <w:r>
                    <w:rPr>
                      <w:b/>
                      <w:bCs/>
                      <w:color w:val="000000"/>
                      <w:szCs w:val="22"/>
                    </w:rPr>
                    <w:t xml:space="preserve">Apskaitos dokumentas </w:t>
                  </w:r>
                  <w:r>
                    <w:rPr>
                      <w:color w:val="000000"/>
                      <w:szCs w:val="22"/>
                    </w:rPr>
                    <w:t>– popierinis arba elektroninis liudijimas (įrodymas), patvirtinantis ūkinę operaciją arba ūkinį įvykį ir turintis rekvizitus, leidžiančius nustatyti ūkinės operacijos arba ūkinio</w:t>
                  </w:r>
                  <w:r>
                    <w:rPr>
                      <w:b/>
                      <w:bCs/>
                      <w:i/>
                      <w:iCs/>
                      <w:color w:val="000000"/>
                      <w:szCs w:val="22"/>
                    </w:rPr>
                    <w:t xml:space="preserve"> </w:t>
                  </w:r>
                  <w:r>
                    <w:rPr>
                      <w:color w:val="000000"/>
                      <w:szCs w:val="22"/>
                    </w:rPr>
                    <w:t>įvykio tapatybę.</w:t>
                  </w:r>
                </w:p>
                <w:p>
                  <w:pPr>
                    <w:ind w:firstLine="709"/>
                    <w:jc w:val="both"/>
                    <w:rPr>
                      <w:color w:val="000000"/>
                    </w:rPr>
                  </w:pPr>
                  <w:r>
                    <w:rPr>
                      <w:b/>
                      <w:bCs/>
                      <w:color w:val="000000"/>
                      <w:szCs w:val="22"/>
                    </w:rPr>
                    <w:t xml:space="preserve">Apskaitos registras </w:t>
                  </w:r>
                  <w:r>
                    <w:rPr>
                      <w:color w:val="000000"/>
                      <w:szCs w:val="22"/>
                    </w:rPr>
                    <w:t>(toliau – registras) – suvestinė, kurioje apskaitos dokumentų pagrindu daromi įrašai apie ūkines operacijas ir ūkinius įvykius ir apibendrinami jų duomenys.</w:t>
                  </w:r>
                </w:p>
                <w:p>
                  <w:pPr>
                    <w:ind w:firstLine="709"/>
                    <w:jc w:val="both"/>
                    <w:rPr>
                      <w:color w:val="000000"/>
                    </w:rPr>
                  </w:pPr>
                  <w:r>
                    <w:rPr>
                      <w:b/>
                      <w:bCs/>
                      <w:color w:val="000000"/>
                      <w:szCs w:val="22"/>
                    </w:rPr>
                    <w:t xml:space="preserve">Ataskaitinis laikotarpis </w:t>
                  </w:r>
                  <w:r>
                    <w:rPr>
                      <w:color w:val="000000"/>
                      <w:szCs w:val="22"/>
                    </w:rPr>
                    <w:t>–</w:t>
                  </w:r>
                  <w:r>
                    <w:rPr>
                      <w:b/>
                      <w:bCs/>
                      <w:color w:val="000000"/>
                      <w:szCs w:val="22"/>
                    </w:rPr>
                    <w:t xml:space="preserve"> </w:t>
                  </w:r>
                  <w:r>
                    <w:rPr>
                      <w:color w:val="000000"/>
                      <w:szCs w:val="22"/>
                    </w:rPr>
                    <w:t>ūkio pasirinktas laikotarpis, kuriam pasibaigus apskaičiuojami ūkio veiklos rezultatai.</w:t>
                  </w:r>
                </w:p>
                <w:p>
                  <w:pPr>
                    <w:ind w:firstLine="709"/>
                    <w:jc w:val="both"/>
                    <w:rPr>
                      <w:color w:val="000000"/>
                    </w:rPr>
                  </w:pPr>
                  <w:r>
                    <w:rPr>
                      <w:b/>
                      <w:bCs/>
                      <w:color w:val="000000"/>
                      <w:szCs w:val="22"/>
                    </w:rPr>
                    <w:t>Biologinis turtas</w:t>
                  </w:r>
                  <w:r>
                    <w:rPr>
                      <w:i/>
                      <w:iCs/>
                      <w:color w:val="000000"/>
                      <w:szCs w:val="22"/>
                    </w:rPr>
                    <w:t xml:space="preserve"> </w:t>
                  </w:r>
                  <w:r>
                    <w:rPr>
                      <w:color w:val="000000"/>
                      <w:szCs w:val="22"/>
                    </w:rPr>
                    <w:t>– augalai ir gyvūnai.</w:t>
                  </w:r>
                </w:p>
                <w:p>
                  <w:pPr>
                    <w:ind w:firstLine="709"/>
                    <w:jc w:val="both"/>
                    <w:rPr>
                      <w:color w:val="000000"/>
                    </w:rPr>
                  </w:pPr>
                  <w:r>
                    <w:rPr>
                      <w:b/>
                      <w:bCs/>
                      <w:color w:val="000000"/>
                      <w:szCs w:val="22"/>
                    </w:rPr>
                    <w:t>Buhalterinė apskaita</w:t>
                  </w:r>
                  <w:r>
                    <w:rPr>
                      <w:color w:val="000000"/>
                      <w:szCs w:val="22"/>
                    </w:rPr>
                    <w:t xml:space="preserve"> (toliau – apskaita) – ūkinių operacijų ir ūkinių įvykių registravimo, grupavimo ir apibendrinimo pinigine išraiška sistema, siekiant gauti informaciją ekonominiams sprendimams priimti ir (arba) finansinei atskaitomybei sudaryti.</w:t>
                  </w:r>
                </w:p>
                <w:p>
                  <w:pPr>
                    <w:ind w:firstLine="709"/>
                    <w:jc w:val="both"/>
                    <w:rPr>
                      <w:color w:val="000000"/>
                    </w:rPr>
                  </w:pPr>
                  <w:r>
                    <w:rPr>
                      <w:b/>
                      <w:bCs/>
                      <w:color w:val="000000"/>
                      <w:szCs w:val="22"/>
                    </w:rPr>
                    <w:t xml:space="preserve">Grynoji galimo realizavimo vertė </w:t>
                  </w:r>
                  <w:r>
                    <w:rPr>
                      <w:color w:val="000000"/>
                      <w:szCs w:val="22"/>
                    </w:rPr>
                    <w:t>–</w:t>
                  </w:r>
                  <w:r>
                    <w:rPr>
                      <w:b/>
                      <w:bCs/>
                      <w:color w:val="000000"/>
                      <w:szCs w:val="22"/>
                    </w:rPr>
                    <w:t xml:space="preserve"> </w:t>
                  </w:r>
                  <w:r>
                    <w:rPr>
                      <w:color w:val="000000"/>
                      <w:szCs w:val="22"/>
                    </w:rPr>
                    <w:t>įvertinta pardavimo kaina, esant įprastoms verslo sąlygoms, atėmus įvertintas gamybos užbaigimo ir galimas pardavimo išlaidas.</w:t>
                  </w:r>
                </w:p>
                <w:p>
                  <w:pPr>
                    <w:ind w:firstLine="709"/>
                    <w:jc w:val="both"/>
                    <w:rPr>
                      <w:color w:val="000000"/>
                    </w:rPr>
                  </w:pPr>
                  <w:r>
                    <w:rPr>
                      <w:b/>
                      <w:bCs/>
                      <w:color w:val="000000"/>
                      <w:szCs w:val="22"/>
                    </w:rPr>
                    <w:t xml:space="preserve">Finansinė atskaitomybė </w:t>
                  </w:r>
                  <w:r>
                    <w:rPr>
                      <w:color w:val="000000"/>
                      <w:szCs w:val="22"/>
                    </w:rPr>
                    <w:t>–</w:t>
                  </w:r>
                  <w:r>
                    <w:rPr>
                      <w:b/>
                      <w:bCs/>
                      <w:color w:val="000000"/>
                      <w:szCs w:val="22"/>
                    </w:rPr>
                    <w:t xml:space="preserve"> </w:t>
                  </w:r>
                  <w:r>
                    <w:rPr>
                      <w:color w:val="000000"/>
                      <w:szCs w:val="22"/>
                    </w:rPr>
                    <w:t>finansinės ataskaitos, kuriose pateikiami suvestiniai apskaitos rodikliai apie ūkio turtą, kapitalą bei skolas ataskaitinio laikotarpio pabaigoje ir ūkio veiklos rezultatai per šį laikotarpį.</w:t>
                  </w:r>
                </w:p>
                <w:p>
                  <w:pPr>
                    <w:ind w:firstLine="709"/>
                    <w:jc w:val="both"/>
                    <w:rPr>
                      <w:color w:val="000000"/>
                    </w:rPr>
                  </w:pPr>
                  <w:r>
                    <w:rPr>
                      <w:b/>
                      <w:bCs/>
                      <w:color w:val="000000"/>
                      <w:szCs w:val="22"/>
                    </w:rPr>
                    <w:t xml:space="preserve">Ilgalaikio turto nusidėvėjimas (amortizacija) </w:t>
                  </w:r>
                  <w:r>
                    <w:rPr>
                      <w:color w:val="000000"/>
                      <w:szCs w:val="22"/>
                    </w:rPr>
                    <w:t>– ilgalaikio turto vertės sumažėjimas dėl jo naudojimo ir kitų veiksnių poveikio.</w:t>
                  </w:r>
                </w:p>
                <w:p>
                  <w:pPr>
                    <w:ind w:firstLine="709"/>
                    <w:jc w:val="both"/>
                    <w:rPr>
                      <w:color w:val="000000"/>
                    </w:rPr>
                  </w:pPr>
                  <w:r>
                    <w:rPr>
                      <w:b/>
                      <w:bCs/>
                      <w:color w:val="000000"/>
                      <w:szCs w:val="22"/>
                    </w:rPr>
                    <w:t>Kapitalas</w:t>
                  </w:r>
                  <w:r>
                    <w:rPr>
                      <w:color w:val="000000"/>
                      <w:szCs w:val="22"/>
                    </w:rPr>
                    <w:t xml:space="preserve"> –</w:t>
                  </w:r>
                  <w:r>
                    <w:rPr>
                      <w:b/>
                      <w:bCs/>
                      <w:color w:val="000000"/>
                      <w:szCs w:val="22"/>
                    </w:rPr>
                    <w:t xml:space="preserve"> </w:t>
                  </w:r>
                  <w:r>
                    <w:rPr>
                      <w:color w:val="000000"/>
                      <w:szCs w:val="22"/>
                    </w:rPr>
                    <w:t>ūkininkui ir jo partneriams priklausanti turto suma, nustatoma kaip skirtumas tarp bendros ūkio turto vertės ir jo skolų.</w:t>
                  </w:r>
                </w:p>
                <w:p>
                  <w:pPr>
                    <w:ind w:firstLine="709"/>
                    <w:jc w:val="both"/>
                    <w:rPr>
                      <w:color w:val="000000"/>
                    </w:rPr>
                  </w:pPr>
                  <w:r>
                    <w:rPr>
                      <w:b/>
                      <w:bCs/>
                      <w:color w:val="000000"/>
                      <w:szCs w:val="22"/>
                    </w:rPr>
                    <w:t xml:space="preserve">Pajamos </w:t>
                  </w:r>
                  <w:r>
                    <w:rPr>
                      <w:color w:val="000000"/>
                      <w:szCs w:val="22"/>
                    </w:rPr>
                    <w:t>–</w:t>
                  </w:r>
                  <w:r>
                    <w:rPr>
                      <w:b/>
                      <w:bCs/>
                      <w:color w:val="000000"/>
                      <w:szCs w:val="22"/>
                    </w:rPr>
                    <w:t xml:space="preserve"> </w:t>
                  </w:r>
                  <w:r>
                    <w:rPr>
                      <w:color w:val="000000"/>
                      <w:szCs w:val="22"/>
                    </w:rPr>
                    <w:t>ekonominės naudos padidėjimas per ataskaitinį laikotarpį, pasireiškiantis turto padidėjimu arba įsipareigojimų sumažėjimu, dėl kurių padidėja ūkio kapitalas, išskyrus papildomus ūkininko ir jo partnerių įnašus.</w:t>
                  </w:r>
                </w:p>
                <w:p>
                  <w:pPr>
                    <w:ind w:firstLine="709"/>
                    <w:jc w:val="both"/>
                    <w:rPr>
                      <w:color w:val="000000"/>
                    </w:rPr>
                  </w:pPr>
                  <w:r>
                    <w:rPr>
                      <w:b/>
                      <w:bCs/>
                      <w:color w:val="000000"/>
                      <w:szCs w:val="22"/>
                    </w:rPr>
                    <w:t>Paprastasis įrašas</w:t>
                  </w:r>
                  <w:r>
                    <w:rPr>
                      <w:color w:val="000000"/>
                      <w:szCs w:val="22"/>
                    </w:rPr>
                    <w:t xml:space="preserve"> – ūkinių operacijų ir ūkinių įvykių registravimo būdas, kai nedaromas dvejybinis įrašas.</w:t>
                  </w:r>
                </w:p>
                <w:p>
                  <w:pPr>
                    <w:ind w:firstLine="709"/>
                    <w:jc w:val="both"/>
                    <w:rPr>
                      <w:color w:val="000000"/>
                    </w:rPr>
                  </w:pPr>
                  <w:r>
                    <w:rPr>
                      <w:b/>
                      <w:bCs/>
                      <w:color w:val="000000"/>
                      <w:szCs w:val="22"/>
                    </w:rPr>
                    <w:t>Pardavimo vietos išlaidos</w:t>
                  </w:r>
                  <w:r>
                    <w:rPr>
                      <w:color w:val="000000"/>
                      <w:szCs w:val="22"/>
                    </w:rPr>
                    <w:t xml:space="preserve"> – mokėjimai tarpininkams, vertintojams, prekybos agentams, rinkliavos ir panašios išlaidos.</w:t>
                  </w:r>
                </w:p>
                <w:p>
                  <w:pPr>
                    <w:ind w:firstLine="709"/>
                    <w:jc w:val="both"/>
                    <w:rPr>
                      <w:color w:val="000000"/>
                    </w:rPr>
                  </w:pPr>
                  <w:r>
                    <w:rPr>
                      <w:b/>
                      <w:bCs/>
                      <w:color w:val="000000"/>
                      <w:szCs w:val="22"/>
                    </w:rPr>
                    <w:t>Piniginės įplaukos</w:t>
                  </w:r>
                  <w:r>
                    <w:rPr>
                      <w:color w:val="000000"/>
                      <w:szCs w:val="22"/>
                    </w:rPr>
                    <w:t xml:space="preserve"> –</w:t>
                  </w:r>
                  <w:r>
                    <w:rPr>
                      <w:b/>
                      <w:bCs/>
                      <w:color w:val="000000"/>
                      <w:szCs w:val="22"/>
                    </w:rPr>
                    <w:t xml:space="preserve"> </w:t>
                  </w:r>
                  <w:r>
                    <w:rPr>
                      <w:color w:val="000000"/>
                      <w:szCs w:val="22"/>
                    </w:rPr>
                    <w:t>iš ūkio veiklos gauti pinigai.</w:t>
                  </w:r>
                </w:p>
                <w:p>
                  <w:pPr>
                    <w:ind w:firstLine="709"/>
                    <w:jc w:val="both"/>
                    <w:rPr>
                      <w:color w:val="000000"/>
                    </w:rPr>
                  </w:pPr>
                  <w:r>
                    <w:rPr>
                      <w:b/>
                      <w:bCs/>
                      <w:color w:val="000000"/>
                      <w:szCs w:val="22"/>
                    </w:rPr>
                    <w:t xml:space="preserve">Piniginės išlaidos </w:t>
                  </w:r>
                  <w:r>
                    <w:rPr>
                      <w:color w:val="000000"/>
                      <w:szCs w:val="22"/>
                    </w:rPr>
                    <w:t>– ūkinei veiklai išleisti pinigai.</w:t>
                  </w:r>
                </w:p>
                <w:p>
                  <w:pPr>
                    <w:ind w:firstLine="709"/>
                    <w:jc w:val="both"/>
                    <w:rPr>
                      <w:color w:val="000000"/>
                    </w:rPr>
                  </w:pPr>
                  <w:r>
                    <w:rPr>
                      <w:b/>
                      <w:bCs/>
                      <w:color w:val="000000"/>
                      <w:szCs w:val="22"/>
                    </w:rPr>
                    <w:t xml:space="preserve">Sąnaudos </w:t>
                  </w:r>
                  <w:r>
                    <w:rPr>
                      <w:color w:val="000000"/>
                      <w:szCs w:val="22"/>
                    </w:rPr>
                    <w:t>–</w:t>
                  </w:r>
                  <w:r>
                    <w:rPr>
                      <w:b/>
                      <w:bCs/>
                      <w:color w:val="000000"/>
                      <w:szCs w:val="22"/>
                    </w:rPr>
                    <w:t xml:space="preserve"> </w:t>
                  </w:r>
                  <w:r>
                    <w:rPr>
                      <w:color w:val="000000"/>
                      <w:szCs w:val="22"/>
                    </w:rPr>
                    <w:t>tam tikram tikslui sunaudoti ištekliai, įvertinti pinigais.</w:t>
                  </w:r>
                </w:p>
                <w:p>
                  <w:pPr>
                    <w:ind w:firstLine="709"/>
                    <w:jc w:val="both"/>
                    <w:rPr>
                      <w:color w:val="000000"/>
                    </w:rPr>
                  </w:pPr>
                  <w:r>
                    <w:rPr>
                      <w:b/>
                      <w:bCs/>
                      <w:color w:val="000000"/>
                      <w:szCs w:val="22"/>
                    </w:rPr>
                    <w:t xml:space="preserve">Skolos ūkiui </w:t>
                  </w:r>
                  <w:r>
                    <w:rPr>
                      <w:color w:val="000000"/>
                      <w:szCs w:val="22"/>
                    </w:rPr>
                    <w:t>–</w:t>
                  </w:r>
                  <w:r>
                    <w:rPr>
                      <w:b/>
                      <w:bCs/>
                      <w:color w:val="000000"/>
                      <w:szCs w:val="22"/>
                    </w:rPr>
                    <w:t xml:space="preserve"> </w:t>
                  </w:r>
                  <w:r>
                    <w:rPr>
                      <w:color w:val="000000"/>
                      <w:szCs w:val="22"/>
                    </w:rPr>
                    <w:t>iš skolininkų gautini pinigai ar kitas turtas.</w:t>
                  </w:r>
                </w:p>
                <w:p>
                  <w:pPr>
                    <w:ind w:firstLine="709"/>
                    <w:jc w:val="both"/>
                    <w:rPr>
                      <w:color w:val="000000"/>
                    </w:rPr>
                  </w:pPr>
                  <w:r>
                    <w:rPr>
                      <w:b/>
                      <w:bCs/>
                      <w:color w:val="000000"/>
                      <w:szCs w:val="22"/>
                    </w:rPr>
                    <w:t>Supaprastintoji apskaitos sistema</w:t>
                  </w:r>
                  <w:r>
                    <w:rPr>
                      <w:color w:val="000000"/>
                      <w:szCs w:val="22"/>
                    </w:rPr>
                    <w:t xml:space="preserve"> – apskaita, tvarkoma darant paprastąjį įrašą.</w:t>
                  </w:r>
                </w:p>
                <w:p>
                  <w:pPr>
                    <w:ind w:firstLine="709"/>
                    <w:jc w:val="both"/>
                    <w:rPr>
                      <w:color w:val="000000"/>
                    </w:rPr>
                  </w:pPr>
                  <w:r>
                    <w:rPr>
                      <w:b/>
                      <w:bCs/>
                      <w:color w:val="000000"/>
                      <w:szCs w:val="22"/>
                    </w:rPr>
                    <w:t xml:space="preserve">Tikroji vertė </w:t>
                  </w:r>
                  <w:r>
                    <w:rPr>
                      <w:color w:val="000000"/>
                      <w:szCs w:val="22"/>
                    </w:rPr>
                    <w:t>–</w:t>
                  </w:r>
                  <w:r>
                    <w:rPr>
                      <w:b/>
                      <w:bCs/>
                      <w:color w:val="000000"/>
                      <w:szCs w:val="22"/>
                    </w:rPr>
                    <w:t xml:space="preserve"> </w:t>
                  </w:r>
                  <w:r>
                    <w:rPr>
                      <w:color w:val="000000"/>
                      <w:szCs w:val="22"/>
                    </w:rPr>
                    <w:t>suma, už kurią gali būti apsikeista turtu ar paslaugomis arba kuria gali būti užskaitytas tarpusavio įsipareigojimas tarp nesusijusių šalių, kurios ketina pirkti / parduoti turtą arba užskaityti tarpusavio įsipareigojimą.</w:t>
                  </w:r>
                </w:p>
                <w:p>
                  <w:pPr>
                    <w:ind w:firstLine="709"/>
                    <w:jc w:val="both"/>
                    <w:rPr>
                      <w:color w:val="000000"/>
                    </w:rPr>
                  </w:pPr>
                  <w:r>
                    <w:rPr>
                      <w:b/>
                      <w:bCs/>
                      <w:color w:val="000000"/>
                      <w:szCs w:val="22"/>
                    </w:rPr>
                    <w:t>Tipinė veikla</w:t>
                  </w:r>
                  <w:r>
                    <w:rPr>
                      <w:color w:val="000000"/>
                      <w:szCs w:val="22"/>
                    </w:rPr>
                    <w:t xml:space="preserve"> – ūkinės operacijos, susijusios su veikla, iš kurios ūkininko ūkis keletą ataskaitinių laikotarpių gauna daugiausiai pajamų ir kurią ūkininkas laiko pagrindine.</w:t>
                  </w:r>
                </w:p>
                <w:p>
                  <w:pPr>
                    <w:ind w:firstLine="709"/>
                    <w:jc w:val="both"/>
                    <w:rPr>
                      <w:color w:val="000000"/>
                    </w:rPr>
                  </w:pPr>
                  <w:r>
                    <w:rPr>
                      <w:b/>
                      <w:bCs/>
                      <w:color w:val="000000"/>
                      <w:szCs w:val="22"/>
                    </w:rPr>
                    <w:t xml:space="preserve">Turtas </w:t>
                  </w:r>
                  <w:r>
                    <w:rPr>
                      <w:color w:val="000000"/>
                      <w:szCs w:val="22"/>
                    </w:rPr>
                    <w:t>–</w:t>
                  </w:r>
                  <w:r>
                    <w:rPr>
                      <w:b/>
                      <w:bCs/>
                      <w:color w:val="000000"/>
                      <w:szCs w:val="22"/>
                    </w:rPr>
                    <w:t xml:space="preserve"> </w:t>
                  </w:r>
                  <w:r>
                    <w:rPr>
                      <w:color w:val="000000"/>
                      <w:szCs w:val="22"/>
                    </w:rPr>
                    <w:t>materialiosios, nematerialiosios ir finansinės vertybės, kurios teikia ekonominę naudą ir kurios turi patikimai išmatuojamą piniginę vertę.</w:t>
                  </w:r>
                </w:p>
                <w:p>
                  <w:pPr>
                    <w:ind w:firstLine="709"/>
                    <w:jc w:val="both"/>
                    <w:rPr>
                      <w:color w:val="000000"/>
                    </w:rPr>
                  </w:pPr>
                  <w:r>
                    <w:rPr>
                      <w:b/>
                      <w:bCs/>
                      <w:color w:val="000000"/>
                      <w:szCs w:val="22"/>
                    </w:rPr>
                    <w:t>Ūkio skolos</w:t>
                  </w:r>
                  <w:r>
                    <w:rPr>
                      <w:color w:val="000000"/>
                      <w:szCs w:val="22"/>
                    </w:rPr>
                    <w:t xml:space="preserve"> – turtinės prievolės, kurias ūkis turi įvykdyti per tam tikrą laikotarpį.</w:t>
                  </w:r>
                </w:p>
                <w:p>
                  <w:pPr>
                    <w:ind w:firstLine="709"/>
                    <w:jc w:val="both"/>
                    <w:rPr>
                      <w:color w:val="000000"/>
                    </w:rPr>
                  </w:pPr>
                  <w:r>
                    <w:rPr>
                      <w:b/>
                      <w:bCs/>
                      <w:color w:val="000000"/>
                      <w:szCs w:val="22"/>
                    </w:rPr>
                    <w:t>Ūkinė operacija</w:t>
                  </w:r>
                  <w:r>
                    <w:rPr>
                      <w:color w:val="000000"/>
                      <w:szCs w:val="22"/>
                    </w:rPr>
                    <w:t xml:space="preserve"> – ūkininko ūkio veikla, keičianti turto ir (arba) kapitalo bei įsipareigojimų dydį ir (arba) struktūrą.</w:t>
                  </w:r>
                </w:p>
                <w:p>
                  <w:pPr>
                    <w:ind w:firstLine="709"/>
                    <w:jc w:val="both"/>
                    <w:rPr>
                      <w:color w:val="000000"/>
                    </w:rPr>
                  </w:pPr>
                  <w:r>
                    <w:rPr>
                      <w:b/>
                      <w:bCs/>
                      <w:color w:val="000000"/>
                      <w:szCs w:val="22"/>
                    </w:rPr>
                    <w:t xml:space="preserve">Ūkinis įvykis </w:t>
                  </w:r>
                  <w:r>
                    <w:rPr>
                      <w:color w:val="000000"/>
                      <w:szCs w:val="22"/>
                    </w:rPr>
                    <w:t>– nuo ūkininko ūkio nepriklausantis faktas, keičiantis turto ir (arba) nuosavo kapitalo bei įsipareigojimų dydį ir (arba) struktūrą.</w:t>
                  </w:r>
                </w:p>
                <w:p>
                  <w:pPr>
                    <w:ind w:firstLine="709"/>
                    <w:jc w:val="both"/>
                    <w:rPr>
                      <w:color w:val="000000"/>
                    </w:rPr>
                  </w:pPr>
                </w:p>
              </w:sdtContent>
            </w:sdt>
          </w:sdtContent>
        </w:sdt>
        <w:sdt>
          <w:sdtPr>
            <w:alias w:val="skyrius"/>
            <w:tag w:val="part_af24ffe991ad4a8eb318a5ca4b0e22e3"/>
            <w:lock w:val="sdtLocked"/>
            <w:richText/>
          </w:sdtPr>
          <w:sdtContent>
            <w:p>
              <w:pPr>
                <w:jc w:val="center"/>
                <w:rPr>
                  <w:b/>
                  <w:bCs/>
                  <w:caps/>
                  <w:color w:val="000000"/>
                </w:rPr>
              </w:pPr>
              <w:sdt>
                <w:sdtPr>
                  <w:alias w:val="Numeris"/>
                  <w:tag w:val="nr_af24ffe991ad4a8eb318a5ca4b0e22e3"/>
                  <w:lock w:val="sdtLocked"/>
                  <w:richText/>
                </w:sdtPr>
                <w:sdtContent>
                  <w:r>
                    <w:rPr>
                      <w:b/>
                      <w:bCs/>
                      <w:caps/>
                      <w:color w:val="000000"/>
                      <w:szCs w:val="22"/>
                    </w:rPr>
                    <w:t>II</w:t>
                  </w:r>
                </w:sdtContent>
              </w:sdt>
              <w:r>
                <w:rPr>
                  <w:b/>
                  <w:bCs/>
                  <w:caps/>
                  <w:color w:val="000000"/>
                  <w:szCs w:val="22"/>
                </w:rPr>
                <w:t xml:space="preserve">. </w:t>
              </w:r>
              <w:sdt>
                <w:sdtPr>
                  <w:alias w:val="Pavadinimas"/>
                  <w:tag w:val="title_af24ffe991ad4a8eb318a5ca4b0e22e3"/>
                  <w:lock w:val="sdtLocked"/>
                  <w:richText/>
                </w:sdtPr>
                <w:sdtContent>
                  <w:r>
                    <w:rPr>
                      <w:b/>
                      <w:bCs/>
                      <w:caps/>
                      <w:color w:val="000000"/>
                      <w:szCs w:val="22"/>
                    </w:rPr>
                    <w:t>ŪKINIŲ OPERACIJŲ DOKUMENTAVIMAS</w:t>
                  </w:r>
                </w:sdtContent>
              </w:sdt>
            </w:p>
            <w:p>
              <w:pPr>
                <w:ind w:firstLine="709"/>
                <w:jc w:val="both"/>
                <w:rPr>
                  <w:color w:val="000000"/>
                </w:rPr>
              </w:pPr>
            </w:p>
            <w:sdt>
              <w:sdtPr>
                <w:alias w:val="8 p."/>
                <w:tag w:val="part_4c1dceda7e4e4bb8a8c0cb447c2a0d5c"/>
                <w:lock w:val="sdtLocked"/>
                <w:richText/>
              </w:sdtPr>
              <w:sdtContent>
                <w:p>
                  <w:pPr>
                    <w:ind w:firstLine="709"/>
                    <w:jc w:val="both"/>
                    <w:rPr>
                      <w:color w:val="000000"/>
                    </w:rPr>
                  </w:pPr>
                  <w:sdt>
                    <w:sdtPr>
                      <w:alias w:val="Numeris"/>
                      <w:tag w:val="nr_4c1dceda7e4e4bb8a8c0cb447c2a0d5c"/>
                      <w:lock w:val="sdtLocked"/>
                      <w:richText/>
                    </w:sdtPr>
                    <w:sdtContent>
                      <w:r>
                        <w:rPr>
                          <w:color w:val="000000"/>
                          <w:szCs w:val="22"/>
                        </w:rPr>
                        <w:t>8</w:t>
                      </w:r>
                    </w:sdtContent>
                  </w:sdt>
                  <w:r>
                    <w:rPr>
                      <w:color w:val="000000"/>
                      <w:szCs w:val="22"/>
                    </w:rPr>
                    <w:t>. Apskaitos dokumentai surašomi ūkinės operacijos metu ar jai pasibaigus. Apskaitos dokumentuose turi būti įrašyti šie privalomieji rekvizitai:</w:t>
                  </w:r>
                </w:p>
                <w:sdt>
                  <w:sdtPr>
                    <w:alias w:val="8.1 p."/>
                    <w:tag w:val="part_977c405189f5431fbd6fc2fca597254d"/>
                    <w:lock w:val="sdtLocked"/>
                    <w:richText/>
                  </w:sdtPr>
                  <w:sdtContent>
                    <w:p>
                      <w:pPr>
                        <w:ind w:firstLine="709"/>
                        <w:jc w:val="both"/>
                        <w:rPr>
                          <w:color w:val="000000"/>
                        </w:rPr>
                      </w:pPr>
                      <w:sdt>
                        <w:sdtPr>
                          <w:alias w:val="Numeris"/>
                          <w:tag w:val="nr_977c405189f5431fbd6fc2fca597254d"/>
                          <w:lock w:val="sdtLocked"/>
                          <w:richText/>
                        </w:sdtPr>
                        <w:sdtContent>
                          <w:r>
                            <w:rPr>
                              <w:color w:val="000000"/>
                              <w:szCs w:val="22"/>
                            </w:rPr>
                            <w:t>8.1</w:t>
                          </w:r>
                        </w:sdtContent>
                      </w:sdt>
                      <w:r>
                        <w:rPr>
                          <w:color w:val="000000"/>
                          <w:szCs w:val="22"/>
                        </w:rPr>
                        <w:t>. apskaitos dokumento pavadinimas;</w:t>
                      </w:r>
                    </w:p>
                  </w:sdtContent>
                </w:sdt>
                <w:sdt>
                  <w:sdtPr>
                    <w:alias w:val="8.2 p."/>
                    <w:tag w:val="part_f569be7470474e03af84f9bf731a79e4"/>
                    <w:lock w:val="sdtLocked"/>
                    <w:richText/>
                  </w:sdtPr>
                  <w:sdtContent>
                    <w:p>
                      <w:pPr>
                        <w:ind w:firstLine="709"/>
                        <w:jc w:val="both"/>
                        <w:rPr>
                          <w:color w:val="000000"/>
                        </w:rPr>
                      </w:pPr>
                      <w:sdt>
                        <w:sdtPr>
                          <w:alias w:val="Numeris"/>
                          <w:tag w:val="nr_f569be7470474e03af84f9bf731a79e4"/>
                          <w:lock w:val="sdtLocked"/>
                          <w:richText/>
                        </w:sdtPr>
                        <w:sdtContent>
                          <w:r>
                            <w:rPr>
                              <w:color w:val="000000"/>
                              <w:szCs w:val="22"/>
                            </w:rPr>
                            <w:t>8.2</w:t>
                          </w:r>
                        </w:sdtContent>
                      </w:sdt>
                      <w:r>
                        <w:rPr>
                          <w:color w:val="000000"/>
                          <w:szCs w:val="22"/>
                        </w:rPr>
                        <w:t>. ūkininko vardas, pavardė, asmens kodas, ūkininko ūkio įregistravimo pažymėjimo numeris arba paso (asmens tapatybės kortelės) numeris ir gyvenamoji vieta;</w:t>
                      </w:r>
                    </w:p>
                  </w:sdtContent>
                </w:sdt>
                <w:sdt>
                  <w:sdtPr>
                    <w:alias w:val="8.3 p."/>
                    <w:tag w:val="part_c5850ca3b1ff4b818fc9ec6d96629cb1"/>
                    <w:lock w:val="sdtLocked"/>
                    <w:richText/>
                  </w:sdtPr>
                  <w:sdtContent>
                    <w:p>
                      <w:pPr>
                        <w:ind w:firstLine="709"/>
                        <w:jc w:val="both"/>
                        <w:rPr>
                          <w:color w:val="000000"/>
                        </w:rPr>
                      </w:pPr>
                      <w:sdt>
                        <w:sdtPr>
                          <w:alias w:val="Numeris"/>
                          <w:tag w:val="nr_c5850ca3b1ff4b818fc9ec6d96629cb1"/>
                          <w:lock w:val="sdtLocked"/>
                          <w:richText/>
                        </w:sdtPr>
                        <w:sdtContent>
                          <w:r>
                            <w:rPr>
                              <w:color w:val="000000"/>
                              <w:szCs w:val="22"/>
                            </w:rPr>
                            <w:t>8.3</w:t>
                          </w:r>
                        </w:sdtContent>
                      </w:sdt>
                      <w:r>
                        <w:rPr>
                          <w:color w:val="000000"/>
                          <w:szCs w:val="22"/>
                        </w:rPr>
                        <w:t>. apskaitos dokumento data;</w:t>
                      </w:r>
                    </w:p>
                  </w:sdtContent>
                </w:sdt>
                <w:sdt>
                  <w:sdtPr>
                    <w:alias w:val="8.4 p."/>
                    <w:tag w:val="part_19b7f309149d4bd9941f8e61f2eaa9a1"/>
                    <w:lock w:val="sdtLocked"/>
                    <w:richText/>
                  </w:sdtPr>
                  <w:sdtContent>
                    <w:p>
                      <w:pPr>
                        <w:ind w:firstLine="709"/>
                        <w:jc w:val="both"/>
                        <w:rPr>
                          <w:color w:val="000000"/>
                        </w:rPr>
                      </w:pPr>
                      <w:sdt>
                        <w:sdtPr>
                          <w:alias w:val="Numeris"/>
                          <w:tag w:val="nr_19b7f309149d4bd9941f8e61f2eaa9a1"/>
                          <w:lock w:val="sdtLocked"/>
                          <w:richText/>
                        </w:sdtPr>
                        <w:sdtContent>
                          <w:r>
                            <w:rPr>
                              <w:color w:val="000000"/>
                              <w:szCs w:val="22"/>
                            </w:rPr>
                            <w:t>8.4</w:t>
                          </w:r>
                        </w:sdtContent>
                      </w:sdt>
                      <w:r>
                        <w:rPr>
                          <w:color w:val="000000"/>
                          <w:szCs w:val="22"/>
                        </w:rPr>
                        <w:t>. ūkinės operacijos arba ūkinio įvykio turinys;</w:t>
                      </w:r>
                    </w:p>
                  </w:sdtContent>
                </w:sdt>
                <w:sdt>
                  <w:sdtPr>
                    <w:alias w:val="8.5 p."/>
                    <w:tag w:val="part_43c2a7a784284f2a9968a5ef98b75a60"/>
                    <w:lock w:val="sdtLocked"/>
                    <w:richText/>
                  </w:sdtPr>
                  <w:sdtContent>
                    <w:p>
                      <w:pPr>
                        <w:ind w:firstLine="709"/>
                        <w:jc w:val="both"/>
                        <w:rPr>
                          <w:color w:val="000000"/>
                        </w:rPr>
                      </w:pPr>
                      <w:sdt>
                        <w:sdtPr>
                          <w:alias w:val="Numeris"/>
                          <w:tag w:val="nr_43c2a7a784284f2a9968a5ef98b75a60"/>
                          <w:lock w:val="sdtLocked"/>
                          <w:richText/>
                        </w:sdtPr>
                        <w:sdtContent>
                          <w:r>
                            <w:rPr>
                              <w:color w:val="000000"/>
                              <w:szCs w:val="22"/>
                            </w:rPr>
                            <w:t>8.5</w:t>
                          </w:r>
                        </w:sdtContent>
                      </w:sdt>
                      <w:r>
                        <w:rPr>
                          <w:color w:val="000000"/>
                          <w:szCs w:val="22"/>
                        </w:rPr>
                        <w:t>. ūkinės operacijos arba ūkinio įvykio rezultatas pinigine ir (arba) kiekybine išraiška, matavimo vnt.</w:t>
                      </w:r>
                    </w:p>
                  </w:sdtContent>
                </w:sdt>
                <w:sdt>
                  <w:sdtPr>
                    <w:alias w:val="8.6 p."/>
                    <w:tag w:val="part_2c9f0f2990244846aee0a125f9a81bc4"/>
                    <w:lock w:val="sdtLocked"/>
                    <w:richText/>
                  </w:sdtPr>
                  <w:sdtContent>
                    <w:p>
                      <w:pPr>
                        <w:ind w:firstLine="709"/>
                        <w:jc w:val="both"/>
                        <w:rPr>
                          <w:color w:val="000000"/>
                        </w:rPr>
                      </w:pPr>
                      <w:sdt>
                        <w:sdtPr>
                          <w:alias w:val="Numeris"/>
                          <w:tag w:val="nr_2c9f0f2990244846aee0a125f9a81bc4"/>
                          <w:lock w:val="sdtLocked"/>
                          <w:richText/>
                        </w:sdtPr>
                        <w:sdtContent>
                          <w:r>
                            <w:rPr>
                              <w:color w:val="000000"/>
                              <w:szCs w:val="22"/>
                            </w:rPr>
                            <w:t>8.6</w:t>
                          </w:r>
                        </w:sdtContent>
                      </w:sdt>
                      <w:r>
                        <w:rPr>
                          <w:color w:val="000000"/>
                          <w:szCs w:val="22"/>
                        </w:rPr>
                        <w:t>. asmens ar asmenų, kurie turi teisę surašyti ir pasirašyti arba tik pasirašyti apskaitos dokumentus, vardai arba pirmosios vardų raidės, pavardės, parašai ir pareigos.</w:t>
                      </w:r>
                    </w:p>
                  </w:sdtContent>
                </w:sdt>
              </w:sdtContent>
            </w:sdt>
            <w:sdt>
              <w:sdtPr>
                <w:alias w:val="9 p."/>
                <w:tag w:val="part_8b79d0a8ae124bb4b70c8c33236c527d"/>
                <w:lock w:val="sdtLocked"/>
                <w:richText/>
              </w:sdtPr>
              <w:sdtContent>
                <w:p>
                  <w:pPr>
                    <w:ind w:firstLine="709"/>
                    <w:jc w:val="both"/>
                    <w:rPr>
                      <w:color w:val="000000"/>
                    </w:rPr>
                  </w:pPr>
                  <w:sdt>
                    <w:sdtPr>
                      <w:alias w:val="Numeris"/>
                      <w:tag w:val="nr_8b79d0a8ae124bb4b70c8c33236c527d"/>
                      <w:lock w:val="sdtLocked"/>
                      <w:richText/>
                    </w:sdtPr>
                    <w:sdtContent>
                      <w:r>
                        <w:rPr>
                          <w:color w:val="000000"/>
                          <w:szCs w:val="22"/>
                        </w:rPr>
                        <w:t>9</w:t>
                      </w:r>
                    </w:sdtContent>
                  </w:sdt>
                  <w:r>
                    <w:rPr>
                      <w:color w:val="000000"/>
                      <w:szCs w:val="22"/>
                    </w:rPr>
                    <w:t>. Kai ūkininkas parduoda savo ūkyje išaugintą produkciją ar gyvulius žemės ūkio produkcijos supirkimo įmonėms, PVM sąskaitas–faktūras arba sąskaitas–faktūras už ūkininkų tiekiamą žemės ūkio produkciją išrašo šios įmonės.</w:t>
                  </w:r>
                </w:p>
              </w:sdtContent>
            </w:sdt>
            <w:sdt>
              <w:sdtPr>
                <w:alias w:val="10 p."/>
                <w:tag w:val="part_f1219653af1843aeb54810b0c7093cd6"/>
                <w:lock w:val="sdtLocked"/>
                <w:richText/>
              </w:sdtPr>
              <w:sdtContent>
                <w:p>
                  <w:pPr>
                    <w:ind w:firstLine="709"/>
                    <w:jc w:val="both"/>
                    <w:rPr>
                      <w:color w:val="000000"/>
                    </w:rPr>
                  </w:pPr>
                  <w:sdt>
                    <w:sdtPr>
                      <w:alias w:val="Numeris"/>
                      <w:tag w:val="nr_f1219653af1843aeb54810b0c7093cd6"/>
                      <w:lock w:val="sdtLocked"/>
                      <w:richText/>
                    </w:sdtPr>
                    <w:sdtContent>
                      <w:r>
                        <w:rPr>
                          <w:color w:val="000000"/>
                          <w:szCs w:val="22"/>
                        </w:rPr>
                        <w:t>10</w:t>
                      </w:r>
                    </w:sdtContent>
                  </w:sdt>
                  <w:r>
                    <w:rPr>
                      <w:color w:val="000000"/>
                      <w:szCs w:val="22"/>
                    </w:rPr>
                    <w:t>. Parduodamas savo produkciją ar suteikdamas paslaugas nespecializuotoms žemės ūkio produkcijos supirkimo įmonėms, kitiems ūkininkams, privatiems asmenims, ūkininkas apskaitos dokumentus surašo pats. Priklausomai nuo to, ar ūkininkas yra PVM mokėtojas, ar ne, jis surašys PVM sąskaitą-faktūrą, sąskaitą-faktūrą arba kitą laisvos formos produkcijos pardavimo dokumentą.</w:t>
                  </w:r>
                </w:p>
              </w:sdtContent>
            </w:sdt>
            <w:sdt>
              <w:sdtPr>
                <w:alias w:val="11 p."/>
                <w:tag w:val="part_ff1353c1a8914390ad95d6ecc7039a26"/>
                <w:lock w:val="sdtLocked"/>
                <w:richText/>
              </w:sdtPr>
              <w:sdtContent>
                <w:p>
                  <w:pPr>
                    <w:ind w:firstLine="709"/>
                    <w:jc w:val="both"/>
                    <w:rPr>
                      <w:color w:val="000000"/>
                    </w:rPr>
                  </w:pPr>
                  <w:sdt>
                    <w:sdtPr>
                      <w:alias w:val="Numeris"/>
                      <w:tag w:val="nr_ff1353c1a8914390ad95d6ecc7039a26"/>
                      <w:lock w:val="sdtLocked"/>
                      <w:richText/>
                    </w:sdtPr>
                    <w:sdtContent>
                      <w:r>
                        <w:rPr>
                          <w:color w:val="000000"/>
                          <w:szCs w:val="22"/>
                        </w:rPr>
                        <w:t>11</w:t>
                      </w:r>
                    </w:sdtContent>
                  </w:sdt>
                  <w:r>
                    <w:rPr>
                      <w:color w:val="000000"/>
                      <w:szCs w:val="22"/>
                    </w:rPr>
                    <w:t xml:space="preserve">. Parduodami savo užaugintą produkciją turguje, ūkininkai gali sudaryti </w:t>
                  </w:r>
                  <w:r>
                    <w:rPr>
                      <w:i/>
                      <w:iCs/>
                      <w:color w:val="000000"/>
                      <w:szCs w:val="22"/>
                    </w:rPr>
                    <w:t>Produkcijos pardavimo rinkoje žiniaraštį</w:t>
                  </w:r>
                  <w:r>
                    <w:rPr>
                      <w:b/>
                      <w:bCs/>
                      <w:i/>
                      <w:iCs/>
                      <w:color w:val="000000"/>
                      <w:szCs w:val="22"/>
                    </w:rPr>
                    <w:t xml:space="preserve"> </w:t>
                  </w:r>
                  <w:r>
                    <w:rPr>
                      <w:color w:val="000000"/>
                      <w:szCs w:val="22"/>
                    </w:rPr>
                    <w:t>(1 priedas) arba kitą laisvos formos dokumentą. Esant didelėms pardavimo apimtims, vieną žiniaraščio lapą reikėtų skirti vienai</w:t>
                  </w:r>
                  <w:r>
                    <w:rPr>
                      <w:b/>
                      <w:bCs/>
                      <w:color w:val="000000"/>
                      <w:szCs w:val="22"/>
                    </w:rPr>
                    <w:t xml:space="preserve"> </w:t>
                  </w:r>
                  <w:r>
                    <w:rPr>
                      <w:color w:val="000000"/>
                      <w:szCs w:val="22"/>
                    </w:rPr>
                    <w:t>produkcijos rūšiai, pvz., pienui. Tuomet ūkininkas turės sukaupęs duomenis ne tik apie turguje per mėnesį parduotus kiekius, bet ir apie gautas pajamas pagal produkcijos rūšis. Jei pardavimo apimtys nedidelės ir ūkininkas nepageidauja sukaupti informacijos apie parduotą kiekį ir pajamas pagal produkcijos rūšis, jis gali viename žiniaraštyje registruoti visą per mėnesį parduotą produkciją. Žiniaraštis skirtas mėnesiui, tačiau įrašai jame turi būti atliekami tą dieną, kai produkcija buvo parduota.</w:t>
                  </w:r>
                </w:p>
              </w:sdtContent>
            </w:sdt>
            <w:sdt>
              <w:sdtPr>
                <w:alias w:val="12 p."/>
                <w:tag w:val="part_2d4d1de7e51048db8d44ba0184a553bf"/>
                <w:lock w:val="sdtLocked"/>
                <w:richText/>
              </w:sdtPr>
              <w:sdtContent>
                <w:p>
                  <w:pPr>
                    <w:overflowPunct w:val="0"/>
                    <w:ind w:firstLine="709"/>
                    <w:jc w:val="both"/>
                    <w:textAlignment w:val="baseline"/>
                    <w:rPr>
                      <w:color w:val="000000"/>
                    </w:rPr>
                  </w:pPr>
                  <w:sdt>
                    <w:sdtPr>
                      <w:alias w:val="Numeris"/>
                      <w:tag w:val="nr_2d4d1de7e51048db8d44ba0184a553bf"/>
                      <w:lock w:val="sdtLocked"/>
                      <w:richText/>
                    </w:sdtPr>
                    <w:sdtContent>
                      <w:r>
                        <w:rPr>
                          <w:szCs w:val="24"/>
                        </w:rPr>
                        <w:t>12</w:t>
                      </w:r>
                    </w:sdtContent>
                  </w:sdt>
                  <w:r>
                    <w:rPr>
                      <w:szCs w:val="24"/>
                    </w:rPr>
                    <w:t>. Ūkininkai, užsiregistravę kompensacinio pridėtinės vertės mokesčio gavėjais, parduodami produkciją pirkėjams ne PVM mokėtojams surašo laisvos formos dokumentą, pateikdami jame privalomuosius apskaitos dokumentų rekvizitus bei šiuos papildomus rekvizitus: vieta, kurioje ūkininkas verčiasi žemės ūkio veikla ir/ar miškininkyste, ūkio identifikavimo kodas arba ūkininko asmens kodas, ūkininko PVM kompensacinio tarifo procentas ir suma eurais, žemės ūkio produkciją perkančio juridinio asmens pavadinimas, jo kodas, buveinė arba fizinio asmens vardas ir pavardė, nuolatinė gyvenamoji vieta bei asmens kodas. Kai ūkininkas kompensacinio pridėtinės vertės mokesčio gavėjas parduoda produkciją arba teikia paslaugas įmonei PVM mokėtojai, pirkimo dokumentą surašo pirkėjas.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ba5c0506f11e4a698d921e3e46801">
                    <w:r w:rsidRPr="00532B9F">
                      <w:rPr>
                        <w:rFonts w:ascii="Times New Roman" w:eastAsia="MS Mincho" w:hAnsi="Times New Roman"/>
                        <w:sz w:val="20"/>
                        <w:i/>
                        <w:iCs/>
                        <w:color w:val="0000FF" w:themeColor="hyperlink"/>
                        <w:u w:val="single"/>
                      </w:rPr>
                      <w:t>3D-725</w:t>
                    </w:r>
                  </w:fldSimple>
                  <w:r>
                    <w:rPr>
                      <w:rFonts w:ascii="Times New Roman" w:eastAsia="MS Mincho" w:hAnsi="Times New Roman"/>
                      <w:sz w:val="20"/>
                      <w:i/>
                      <w:iCs/>
                    </w:rPr>
                    <w:t>,
2014-10-10,
paskelbta TAR 2014-10-10, i. k. 2014-13951            </w:t>
                  </w:r>
                </w:p>
                <w:p/>
              </w:sdtContent>
            </w:sdt>
            <w:sdt>
              <w:sdtPr>
                <w:alias w:val="13 p."/>
                <w:tag w:val="part_6078df10508d4fbc8e26e8f2908ef5f5"/>
                <w:lock w:val="sdtLocked"/>
                <w:richText/>
              </w:sdtPr>
              <w:sdtContent>
                <w:p>
                  <w:pPr>
                    <w:ind w:firstLine="709"/>
                    <w:jc w:val="both"/>
                    <w:rPr>
                      <w:color w:val="000000"/>
                    </w:rPr>
                  </w:pPr>
                  <w:sdt>
                    <w:sdtPr>
                      <w:alias w:val="Numeris"/>
                      <w:tag w:val="nr_6078df10508d4fbc8e26e8f2908ef5f5"/>
                      <w:lock w:val="sdtLocked"/>
                      <w:richText/>
                    </w:sdtPr>
                    <w:sdtContent>
                      <w:r>
                        <w:rPr>
                          <w:color w:val="000000"/>
                          <w:szCs w:val="22"/>
                        </w:rPr>
                        <w:t>13</w:t>
                      </w:r>
                    </w:sdtContent>
                  </w:sdt>
                  <w:r>
                    <w:rPr>
                      <w:color w:val="000000"/>
                      <w:szCs w:val="22"/>
                    </w:rPr>
                    <w:t>. Gavus grynuosius pinigus už parduotą produkciją, atliktus darbus, suteiktas paslaugas, išnuomotą žemę, pastatus, mašinas ir kitą turtą, paėmus grynuosius pinigus iš sąskaitos banke ir kitais grynųjų pinigų gavimo atvejais, kai ūkininkas neturi kitų įmonių ar asmenų išrašytų pinigų gavimą pateisinančių dokumentų, surašomas Pinigų priėmimo kvitas arba Kasos pajamų orderis.</w:t>
                  </w:r>
                </w:p>
              </w:sdtContent>
            </w:sdt>
            <w:sdt>
              <w:sdtPr>
                <w:alias w:val="14 p."/>
                <w:tag w:val="part_2b12ddd8aceb4dd598ee9cd019d34b2a"/>
                <w:lock w:val="sdtLocked"/>
                <w:richText/>
              </w:sdtPr>
              <w:sdtContent>
                <w:p>
                  <w:pPr>
                    <w:ind w:firstLine="709"/>
                    <w:jc w:val="both"/>
                    <w:rPr>
                      <w:color w:val="000000"/>
                    </w:rPr>
                  </w:pPr>
                  <w:sdt>
                    <w:sdtPr>
                      <w:alias w:val="Numeris"/>
                      <w:tag w:val="nr_2b12ddd8aceb4dd598ee9cd019d34b2a"/>
                      <w:lock w:val="sdtLocked"/>
                      <w:richText/>
                    </w:sdtPr>
                    <w:sdtContent>
                      <w:r>
                        <w:rPr>
                          <w:color w:val="000000"/>
                          <w:szCs w:val="22"/>
                        </w:rPr>
                        <w:t>14</w:t>
                      </w:r>
                    </w:sdtContent>
                  </w:sdt>
                  <w:r>
                    <w:rPr>
                      <w:color w:val="000000"/>
                      <w:szCs w:val="22"/>
                    </w:rPr>
                    <w:t>. Apmokėjimą už prekes ir paslaugas grynaisiais pinigais liudija kasos aparatų</w:t>
                  </w:r>
                  <w:r>
                    <w:rPr>
                      <w:i/>
                      <w:iCs/>
                      <w:color w:val="000000"/>
                      <w:szCs w:val="22"/>
                    </w:rPr>
                    <w:t xml:space="preserve"> </w:t>
                  </w:r>
                  <w:r>
                    <w:rPr>
                      <w:color w:val="000000"/>
                      <w:szCs w:val="22"/>
                    </w:rPr>
                    <w:t>kvitai, kasos pajamų orderių kvitai, o atsiskaitymus su tiekėjais ir paslaugų teikėjais negrynaisiais pinigais – atsiskaitymų negrynaisiais pinigais dokumentai.</w:t>
                  </w:r>
                </w:p>
              </w:sdtContent>
            </w:sdt>
            <w:sdt>
              <w:sdtPr>
                <w:alias w:val="15 p."/>
                <w:tag w:val="part_5cad62c3fa21475b9876bc555f5a5a18"/>
                <w:lock w:val="sdtLocked"/>
                <w:richText/>
              </w:sdtPr>
              <w:sdtContent>
                <w:p>
                  <w:pPr>
                    <w:ind w:firstLine="709"/>
                    <w:jc w:val="both"/>
                    <w:rPr>
                      <w:color w:val="000000"/>
                    </w:rPr>
                  </w:pPr>
                  <w:sdt>
                    <w:sdtPr>
                      <w:alias w:val="Numeris"/>
                      <w:tag w:val="nr_5cad62c3fa21475b9876bc555f5a5a18"/>
                      <w:lock w:val="sdtLocked"/>
                      <w:richText/>
                    </w:sdtPr>
                    <w:sdtContent>
                      <w:r>
                        <w:rPr>
                          <w:color w:val="000000"/>
                          <w:szCs w:val="22"/>
                        </w:rPr>
                        <w:t>15</w:t>
                      </w:r>
                    </w:sdtContent>
                  </w:sdt>
                  <w:r>
                    <w:rPr>
                      <w:color w:val="000000"/>
                      <w:szCs w:val="22"/>
                    </w:rPr>
                    <w:t>. Grynųjų pinigų išmokėjimui gali būti naudojamas Kasos išlaidų orderis arba Pinigų išmokėjimo kvitas, kurie surašomi tuomet, kai ūkininkas neturi kitų įmonių ar asmenų išrašytų dokumentų, pateisinančių ūkio išlaidas.</w:t>
                  </w:r>
                </w:p>
              </w:sdtContent>
            </w:sdt>
            <w:sdt>
              <w:sdtPr>
                <w:alias w:val="16 p."/>
                <w:tag w:val="part_e8e42e1177c04b18b3290cc2dc911c6d"/>
                <w:lock w:val="sdtLocked"/>
                <w:richText/>
              </w:sdtPr>
              <w:sdtContent>
                <w:p>
                  <w:pPr>
                    <w:ind w:firstLine="709"/>
                    <w:jc w:val="both"/>
                    <w:rPr>
                      <w:color w:val="000000"/>
                    </w:rPr>
                  </w:pPr>
                  <w:sdt>
                    <w:sdtPr>
                      <w:alias w:val="Numeris"/>
                      <w:tag w:val="nr_e8e42e1177c04b18b3290cc2dc911c6d"/>
                      <w:lock w:val="sdtLocked"/>
                      <w:richText/>
                    </w:sdtPr>
                    <w:sdtContent>
                      <w:r>
                        <w:rPr>
                          <w:color w:val="000000"/>
                          <w:szCs w:val="22"/>
                        </w:rPr>
                        <w:t>16</w:t>
                      </w:r>
                    </w:sdtContent>
                  </w:sdt>
                  <w:r>
                    <w:rPr>
                      <w:color w:val="000000"/>
                      <w:szCs w:val="22"/>
                    </w:rPr>
                    <w:t>. Atsiskaitant negrynaisiais pinigais dažniausiai naudojami mokėjimo nurodymai arba debeto mokėjimo nurodymai.</w:t>
                  </w:r>
                </w:p>
              </w:sdtContent>
            </w:sdt>
            <w:sdt>
              <w:sdtPr>
                <w:alias w:val="17 p."/>
                <w:tag w:val="part_77efc9e6543344eb87ac925134e64aac"/>
                <w:lock w:val="sdtLocked"/>
                <w:richText/>
              </w:sdtPr>
              <w:sdtContent>
                <w:p>
                  <w:pPr>
                    <w:ind w:firstLine="709"/>
                    <w:jc w:val="both"/>
                    <w:rPr>
                      <w:color w:val="000000"/>
                    </w:rPr>
                  </w:pPr>
                  <w:sdt>
                    <w:sdtPr>
                      <w:alias w:val="Numeris"/>
                      <w:tag w:val="nr_77efc9e6543344eb87ac925134e64aac"/>
                      <w:lock w:val="sdtLocked"/>
                      <w:richText/>
                    </w:sdtPr>
                    <w:sdtContent>
                      <w:r>
                        <w:rPr>
                          <w:color w:val="000000"/>
                          <w:szCs w:val="22"/>
                        </w:rPr>
                        <w:t>17</w:t>
                      </w:r>
                    </w:sdtContent>
                  </w:sdt>
                  <w:r>
                    <w:rPr>
                      <w:color w:val="000000"/>
                      <w:szCs w:val="22"/>
                    </w:rPr>
                    <w:t>. Įvairių materialinių vertybių įsigijimą, paslaugų gavimą pagrindžia iš tiekėjų gauti PVM sąskaitų–faktūrų arba sąskaitų–faktūrų egzemplioriai arba jų surašyti laisvos formos dokumentai.</w:t>
                  </w:r>
                </w:p>
              </w:sdtContent>
            </w:sdt>
            <w:sdt>
              <w:sdtPr>
                <w:alias w:val="18 p."/>
                <w:tag w:val="part_1fb2a408fefa419dbacb4b64cb186015"/>
                <w:lock w:val="sdtLocked"/>
                <w:richText/>
              </w:sdtPr>
              <w:sdtContent>
                <w:p>
                  <w:pPr>
                    <w:ind w:firstLine="709"/>
                    <w:jc w:val="both"/>
                    <w:rPr>
                      <w:color w:val="000000"/>
                    </w:rPr>
                  </w:pPr>
                  <w:sdt>
                    <w:sdtPr>
                      <w:alias w:val="Numeris"/>
                      <w:tag w:val="nr_1fb2a408fefa419dbacb4b64cb186015"/>
                      <w:lock w:val="sdtLocked"/>
                      <w:richText/>
                    </w:sdtPr>
                    <w:sdtContent>
                      <w:r>
                        <w:rPr>
                          <w:color w:val="000000"/>
                          <w:szCs w:val="22"/>
                        </w:rPr>
                        <w:t>18</w:t>
                      </w:r>
                    </w:sdtContent>
                  </w:sdt>
                  <w:r>
                    <w:rPr>
                      <w:color w:val="000000"/>
                      <w:szCs w:val="22"/>
                    </w:rPr>
                    <w:t>. Žemės mokesčių bei turto draudimo įmokų sumokėjimą pagrindžia: mokėjimo nurodymai, banko mokėjimo kvitai.</w:t>
                  </w:r>
                </w:p>
              </w:sdtContent>
            </w:sdt>
            <w:sdt>
              <w:sdtPr>
                <w:alias w:val="19 p."/>
                <w:tag w:val="part_b5f9f422413b417783d1c88a0a49fee7"/>
                <w:lock w:val="sdtLocked"/>
                <w:richText/>
              </w:sdtPr>
              <w:sdtContent>
                <w:p>
                  <w:pPr>
                    <w:ind w:firstLine="709"/>
                    <w:jc w:val="both"/>
                    <w:rPr>
                      <w:color w:val="000000"/>
                    </w:rPr>
                  </w:pPr>
                  <w:sdt>
                    <w:sdtPr>
                      <w:alias w:val="Numeris"/>
                      <w:tag w:val="nr_b5f9f422413b417783d1c88a0a49fee7"/>
                      <w:lock w:val="sdtLocked"/>
                      <w:richText/>
                    </w:sdtPr>
                    <w:sdtContent>
                      <w:r>
                        <w:rPr>
                          <w:color w:val="000000"/>
                          <w:szCs w:val="22"/>
                        </w:rPr>
                        <w:t>19</w:t>
                      </w:r>
                    </w:sdtContent>
                  </w:sdt>
                  <w:r>
                    <w:rPr>
                      <w:color w:val="000000"/>
                      <w:szCs w:val="22"/>
                    </w:rPr>
                    <w:t>. Prekių įsigijimas iš asmenų, turinčių verslo liudijimus pagrindžiamas Prekių pirkimo (pardavimo) kvitu, kurį išrašo prekių pardavėjai/.</w:t>
                  </w:r>
                </w:p>
              </w:sdtContent>
            </w:sdt>
            <w:sdt>
              <w:sdtPr>
                <w:alias w:val="20 p."/>
                <w:tag w:val="part_e080a92186274556a97e96b8b4dbe683"/>
                <w:lock w:val="sdtLocked"/>
                <w:richText/>
              </w:sdtPr>
              <w:sdtContent>
                <w:p>
                  <w:pPr>
                    <w:ind w:firstLine="709"/>
                    <w:jc w:val="both"/>
                    <w:rPr>
                      <w:color w:val="000000"/>
                    </w:rPr>
                  </w:pPr>
                  <w:sdt>
                    <w:sdtPr>
                      <w:alias w:val="Numeris"/>
                      <w:tag w:val="nr_e080a92186274556a97e96b8b4dbe683"/>
                      <w:lock w:val="sdtLocked"/>
                      <w:richText/>
                    </w:sdtPr>
                    <w:sdtContent>
                      <w:r>
                        <w:rPr>
                          <w:color w:val="000000"/>
                          <w:szCs w:val="22"/>
                        </w:rPr>
                        <w:t>20</w:t>
                      </w:r>
                    </w:sdtContent>
                  </w:sdt>
                  <w:r>
                    <w:rPr>
                      <w:color w:val="000000"/>
                      <w:szCs w:val="22"/>
                    </w:rPr>
                    <w:t xml:space="preserve">. Ūkininkas ir jo partneriai žemę ir kitą turtą, numatomą naudoti ūkio reikmėms, perduoda ūkiui. Jeigu ūkininko partneriai jungtinės veiklos sutartyje numato, kokį turtą jie perduoda ūkiui, ši sutartis laikoma turto perdavimą pagrindžiančiu dokumentu. Tuo atveju, kai minėtoje sutartyje surašomas ne visas ūkiui perduotas turtas arba turtas perduodamas vėliau, toks turto perdavimas turi būti pagrįstas </w:t>
                  </w:r>
                  <w:r>
                    <w:rPr>
                      <w:i/>
                      <w:iCs/>
                      <w:color w:val="000000"/>
                      <w:szCs w:val="22"/>
                    </w:rPr>
                    <w:t>Turto perdavimo ūkininko ūkiui aktu</w:t>
                  </w:r>
                  <w:r>
                    <w:rPr>
                      <w:b/>
                      <w:bCs/>
                      <w:i/>
                      <w:iCs/>
                      <w:color w:val="000000"/>
                      <w:szCs w:val="22"/>
                    </w:rPr>
                    <w:t xml:space="preserve"> </w:t>
                  </w:r>
                  <w:r>
                    <w:rPr>
                      <w:color w:val="000000"/>
                      <w:szCs w:val="22"/>
                    </w:rPr>
                    <w:t>(2 priedas). Šį aktą rekomenduojama</w:t>
                  </w:r>
                  <w:r>
                    <w:rPr>
                      <w:b/>
                      <w:bCs/>
                      <w:color w:val="000000"/>
                      <w:szCs w:val="22"/>
                    </w:rPr>
                    <w:t xml:space="preserve"> </w:t>
                  </w:r>
                  <w:r>
                    <w:rPr>
                      <w:color w:val="000000"/>
                      <w:szCs w:val="22"/>
                    </w:rPr>
                    <w:t>surašyti ir tada, kai ūkiui turtą perduoda ne ūkininko partneris. Perduodant turtą dokumente rekomenduojama nurodyti turto pavadinimą, jo apibūdinimą, vertę. Turto vertė nustatoma pagal turimus jo įsigijimo dokumentus arba pagal tuo metu</w:t>
                  </w:r>
                  <w:r>
                    <w:rPr>
                      <w:b/>
                      <w:bCs/>
                      <w:color w:val="000000"/>
                      <w:szCs w:val="22"/>
                    </w:rPr>
                    <w:t xml:space="preserve"> </w:t>
                  </w:r>
                  <w:r>
                    <w:rPr>
                      <w:color w:val="000000"/>
                      <w:szCs w:val="22"/>
                    </w:rPr>
                    <w:t>galiojančią rinkos vertę.</w:t>
                  </w:r>
                </w:p>
              </w:sdtContent>
            </w:sdt>
            <w:sdt>
              <w:sdtPr>
                <w:alias w:val="21 p."/>
                <w:tag w:val="part_2775db0c834a474496bc6da88a92bc27"/>
                <w:lock w:val="sdtLocked"/>
                <w:richText/>
              </w:sdtPr>
              <w:sdtContent>
                <w:p>
                  <w:pPr>
                    <w:ind w:firstLine="709"/>
                    <w:jc w:val="both"/>
                    <w:rPr>
                      <w:color w:val="000000"/>
                    </w:rPr>
                  </w:pPr>
                  <w:sdt>
                    <w:sdtPr>
                      <w:alias w:val="Numeris"/>
                      <w:tag w:val="nr_2775db0c834a474496bc6da88a92bc27"/>
                      <w:lock w:val="sdtLocked"/>
                      <w:richText/>
                    </w:sdtPr>
                    <w:sdtContent>
                      <w:r>
                        <w:rPr>
                          <w:color w:val="000000"/>
                          <w:szCs w:val="22"/>
                        </w:rPr>
                        <w:t>21</w:t>
                      </w:r>
                    </w:sdtContent>
                  </w:sdt>
                  <w:r>
                    <w:rPr>
                      <w:color w:val="000000"/>
                      <w:szCs w:val="22"/>
                    </w:rPr>
                    <w:t xml:space="preserve">. Pradedant tvarkyti apskaitą ūkininko ūkyje ir kiekvieną kartą sudarant balansą, būtina suregistruoti visą ūkyje turimą turtą, ūkio skolas ir skolas ūkiui, t. y. atlikti inventorizaciją. Inventorizacijos duomenims įforminti rekomenduojamas </w:t>
                  </w:r>
                  <w:r>
                    <w:rPr>
                      <w:i/>
                      <w:iCs/>
                      <w:color w:val="000000"/>
                      <w:szCs w:val="22"/>
                    </w:rPr>
                    <w:t>Inventorizacijos aprašas</w:t>
                  </w:r>
                  <w:r>
                    <w:rPr>
                      <w:b/>
                      <w:bCs/>
                      <w:i/>
                      <w:iCs/>
                      <w:color w:val="000000"/>
                      <w:szCs w:val="22"/>
                    </w:rPr>
                    <w:t xml:space="preserve"> </w:t>
                  </w:r>
                  <w:r>
                    <w:rPr>
                      <w:color w:val="000000"/>
                      <w:szCs w:val="22"/>
                    </w:rPr>
                    <w:t>(3 priedas)</w:t>
                  </w:r>
                  <w:r>
                    <w:rPr>
                      <w:b/>
                      <w:bCs/>
                      <w:i/>
                      <w:iCs/>
                      <w:color w:val="000000"/>
                      <w:szCs w:val="22"/>
                    </w:rPr>
                    <w:t>.</w:t>
                  </w:r>
                  <w:r>
                    <w:rPr>
                      <w:color w:val="000000"/>
                      <w:szCs w:val="22"/>
                    </w:rPr>
                    <w:t xml:space="preserve"> Jame nurodomas vertybių pavadinimai, inventorizacijos metu rastas vertybių kiekis, kaina ir vertė. Ilgalaikis turtas inventorizacijos metu įkainojamas įsigijimo savikaina arba perkainota verte, pirktų medžiagų likučiai – įsigijimo savikaina arba grynąja galimo realizavimo verte priklausomai nuo to, kuri iš jų mažesnė. Ūkyje pagaminta produkcija, auginami gyvuliai ir pasėliai įkainojami tikrąja verte atėmus pardavimo vietos išlaidas. Rudeninis arimas įkainojamas faktine arimo darbams atlikti padarytų išlaidų suma. Nebaigta statyba įkainojama statybos darbams atlikti padarytų išlaidų suma arba perkainota verte.</w:t>
                  </w:r>
                </w:p>
              </w:sdtContent>
            </w:sdt>
            <w:sdt>
              <w:sdtPr>
                <w:alias w:val="22 p."/>
                <w:tag w:val="part_d91626a9d5ec4fbfa079778f7661ddc1"/>
                <w:lock w:val="sdtLocked"/>
                <w:richText/>
              </w:sdtPr>
              <w:sdtContent>
                <w:p>
                  <w:pPr>
                    <w:overflowPunct w:val="0"/>
                    <w:ind w:firstLine="709"/>
                    <w:jc w:val="both"/>
                    <w:textAlignment w:val="baseline"/>
                    <w:rPr>
                      <w:b/>
                      <w:bCs/>
                      <w:caps/>
                      <w:color w:val="000000"/>
                    </w:rPr>
                  </w:pPr>
                  <w:sdt>
                    <w:sdtPr>
                      <w:alias w:val="Numeris"/>
                      <w:tag w:val="nr_d91626a9d5ec4fbfa079778f7661ddc1"/>
                      <w:lock w:val="sdtLocked"/>
                      <w:richText/>
                    </w:sdtPr>
                    <w:sdtContent>
                      <w:r>
                        <w:rPr>
                          <w:szCs w:val="18"/>
                        </w:rPr>
                        <w:t>22</w:t>
                      </w:r>
                    </w:sdtContent>
                  </w:sdt>
                  <w:r>
                    <w:rPr>
                      <w:szCs w:val="18"/>
                    </w:rPr>
                    <w:t>. Nustatant tikrąją turto vertę, būtina atsižvelgti į jo buvimo vietą ir būklę. Biologinio turto ir žemės ūkio produkcijos tikrąją vertę lengviau nustatyti grupuojant šį turtą pagal reikšmingus požymius, pvz., gyvulius pagal amžių ar svorį, o produkciją – pagal kokybę. Tikroji vertė turi atitikti dabartines aktyviosios rinkos kainas, kurios yra patikimas tikrosios vertės nustatymo pagrindas. Jeigu aktyviosios rinkos nėra, tikroji vertė nustatoma pagal paskutinių sandorių kainą arba pagal panašaus turto rinkos kainą. Kai aptartais būdais sunku nustatyti biologinio turto ir žemės ūkio produkcijos tikrąją vertę, jiems įkainoti gali būti naudojamos Lietuvos Respublikos žemės ūkio ministerijos patvirtintos biologinio turto ir žemės ūkio produkcijos normatyvinės kainos.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ba5c0506f11e4a698d921e3e46801">
                    <w:r w:rsidRPr="00532B9F">
                      <w:rPr>
                        <w:rFonts w:ascii="Times New Roman" w:eastAsia="MS Mincho" w:hAnsi="Times New Roman"/>
                        <w:sz w:val="20"/>
                        <w:i/>
                        <w:iCs/>
                        <w:color w:val="0000FF" w:themeColor="hyperlink"/>
                        <w:u w:val="single"/>
                      </w:rPr>
                      <w:t>3D-725</w:t>
                    </w:r>
                  </w:fldSimple>
                  <w:r>
                    <w:rPr>
                      <w:rFonts w:ascii="Times New Roman" w:eastAsia="MS Mincho" w:hAnsi="Times New Roman"/>
                      <w:sz w:val="20"/>
                      <w:i/>
                      <w:iCs/>
                    </w:rPr>
                    <w:t>,
2014-10-10,
paskelbta TAR 2014-10-10, i. k. 2014-13951            </w:t>
                  </w:r>
                </w:p>
                <w:p/>
              </w:sdtContent>
            </w:sdt>
          </w:sdtContent>
        </w:sdt>
        <w:sdt>
          <w:sdtPr>
            <w:alias w:val="skyrius"/>
            <w:tag w:val="part_b884703916b1403d9d752c12d103c768"/>
            <w:lock w:val="sdtLocked"/>
            <w:richText/>
          </w:sdtPr>
          <w:sdtContent>
            <w:p>
              <w:pPr>
                <w:jc w:val="center"/>
                <w:rPr>
                  <w:b/>
                  <w:bCs/>
                  <w:caps/>
                  <w:color w:val="000000"/>
                </w:rPr>
              </w:pPr>
              <w:sdt>
                <w:sdtPr>
                  <w:alias w:val="Numeris"/>
                  <w:tag w:val="nr_b884703916b1403d9d752c12d103c768"/>
                  <w:lock w:val="sdtLocked"/>
                  <w:richText/>
                </w:sdtPr>
                <w:sdtContent>
                  <w:r>
                    <w:rPr>
                      <w:b/>
                      <w:bCs/>
                      <w:caps/>
                      <w:color w:val="000000"/>
                      <w:szCs w:val="22"/>
                    </w:rPr>
                    <w:t>III</w:t>
                  </w:r>
                </w:sdtContent>
              </w:sdt>
              <w:r>
                <w:rPr>
                  <w:b/>
                  <w:bCs/>
                  <w:caps/>
                  <w:color w:val="000000"/>
                  <w:szCs w:val="22"/>
                </w:rPr>
                <w:t xml:space="preserve">. </w:t>
              </w:r>
              <w:sdt>
                <w:sdtPr>
                  <w:alias w:val="Pavadinimas"/>
                  <w:tag w:val="title_b884703916b1403d9d752c12d103c768"/>
                  <w:lock w:val="sdtLocked"/>
                  <w:richText/>
                </w:sdtPr>
                <w:sdtContent>
                  <w:r>
                    <w:rPr>
                      <w:b/>
                      <w:bCs/>
                      <w:caps/>
                      <w:color w:val="000000"/>
                      <w:szCs w:val="22"/>
                    </w:rPr>
                    <w:t>APSKAITOS REGISTRAI</w:t>
                  </w:r>
                </w:sdtContent>
              </w:sdt>
            </w:p>
            <w:p>
              <w:pPr>
                <w:jc w:val="center"/>
                <w:rPr>
                  <w:b/>
                  <w:bCs/>
                  <w:caps/>
                  <w:color w:val="000000"/>
                </w:rPr>
              </w:pPr>
            </w:p>
            <w:sdt>
              <w:sdtPr>
                <w:alias w:val="skirsnis"/>
                <w:tag w:val="part_8fde2963360c4bda940da4e908f3d0c5"/>
                <w:lock w:val="sdtLocked"/>
                <w:richText/>
              </w:sdtPr>
              <w:sdtContent>
                <w:p>
                  <w:pPr>
                    <w:jc w:val="center"/>
                    <w:rPr>
                      <w:b/>
                      <w:bCs/>
                      <w:color w:val="000000"/>
                    </w:rPr>
                  </w:pPr>
                  <w:sdt>
                    <w:sdtPr>
                      <w:alias w:val="Pavadinimas"/>
                      <w:tag w:val="title_8fde2963360c4bda940da4e908f3d0c5"/>
                      <w:lock w:val="sdtLocked"/>
                      <w:richText/>
                    </w:sdtPr>
                    <w:sdtContent>
                      <w:r>
                        <w:rPr>
                          <w:b/>
                          <w:bCs/>
                          <w:color w:val="000000"/>
                          <w:szCs w:val="22"/>
                        </w:rPr>
                        <w:t>Piniginių įplaukų ir piniginių išlaidų registravimas ir kaupimas</w:t>
                      </w:r>
                    </w:sdtContent>
                  </w:sdt>
                </w:p>
                <w:p>
                  <w:pPr>
                    <w:jc w:val="center"/>
                    <w:rPr>
                      <w:b/>
                      <w:bCs/>
                      <w:color w:val="000000"/>
                    </w:rPr>
                  </w:pPr>
                </w:p>
                <w:sdt>
                  <w:sdtPr>
                    <w:alias w:val="23 p."/>
                    <w:tag w:val="part_d3ff90f07c9d42bc8a729a9518cd8e12"/>
                    <w:lock w:val="sdtLocked"/>
                    <w:richText/>
                  </w:sdtPr>
                  <w:sdtContent>
                    <w:p>
                      <w:pPr>
                        <w:tabs>
                          <w:tab w:val="left" w:pos="1134"/>
                        </w:tabs>
                        <w:overflowPunct w:val="0"/>
                        <w:ind w:firstLine="720"/>
                        <w:jc w:val="both"/>
                        <w:textAlignment w:val="baseline"/>
                        <w:rPr>
                          <w:color w:val="000000"/>
                        </w:rPr>
                      </w:pPr>
                      <w:sdt>
                        <w:sdtPr>
                          <w:alias w:val="Numeris"/>
                          <w:tag w:val="nr_d3ff90f07c9d42bc8a729a9518cd8e12"/>
                          <w:lock w:val="sdtLocked"/>
                          <w:richText/>
                        </w:sdtPr>
                        <w:sdtContent>
                          <w:r>
                            <w:rPr>
                              <w:szCs w:val="24"/>
                            </w:rPr>
                            <w:t>23</w:t>
                          </w:r>
                        </w:sdtContent>
                      </w:sdt>
                      <w:r>
                        <w:rPr>
                          <w:szCs w:val="24"/>
                        </w:rPr>
                        <w:t xml:space="preserve">. Pinigų kasoje, banko sąskaitose ir pirkimų ir pardavimų apskaitos žurnale, kurio forma patvirtinta Lietuvos Respublikos Vyriausybės </w:t>
                      </w:r>
                      <w:smartTag w:uri="urn:schemas-microsoft-com:office:smarttags" w:element="metricconverter">
                        <w:smartTagPr>
                          <w:attr w:name="ProductID" w:val="1999 m"/>
                        </w:smartTagPr>
                        <w:r>
                          <w:rPr>
                            <w:szCs w:val="24"/>
                          </w:rPr>
                          <w:t>1999 m</w:t>
                        </w:r>
                      </w:smartTag>
                      <w:r>
                        <w:rPr>
                          <w:szCs w:val="24"/>
                        </w:rPr>
                        <w:t>. gruodžio 1 d. nutarimu Nr. 1333 „Dėl ūkininko ūkio veiklos buhalterinės apskaitos tvarkos patvirtinimo“ registruojami duomenys apie pinigų judėjimą ūkininko ūkyje. Detalesnei turto, skolų ūkiui, ūkio skolų apskaitai rekomenduojami šiose rekomendacijose pateikti ir aptarti žiniaraščiai, tačiau ūkininkas informaciją gali kaupti ir kitokiuose registruose.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ef4760a89511e5be7fbe3f919a1ebe">
                        <w:r w:rsidRPr="00532B9F">
                          <w:rPr>
                            <w:rFonts w:ascii="Times New Roman" w:eastAsia="MS Mincho" w:hAnsi="Times New Roman"/>
                            <w:sz w:val="20"/>
                            <w:i/>
                            <w:iCs/>
                            <w:color w:val="0000FF" w:themeColor="hyperlink"/>
                            <w:u w:val="single"/>
                          </w:rPr>
                          <w:t>3D-941</w:t>
                        </w:r>
                      </w:fldSimple>
                      <w:r>
                        <w:rPr>
                          <w:rFonts w:ascii="Times New Roman" w:eastAsia="MS Mincho" w:hAnsi="Times New Roman"/>
                          <w:sz w:val="20"/>
                          <w:i/>
                          <w:iCs/>
                        </w:rPr>
                        <w:t>,
2015-12-22,
paskelbta TAR 2015-12-23, i. k. 2015-20239            </w:t>
                      </w:r>
                    </w:p>
                    <w:p/>
                  </w:sdtContent>
                </w:sdt>
                <w:sdt>
                  <w:sdtPr>
                    <w:alias w:val="24 p."/>
                    <w:tag w:val="part_aadc34ef92e34f868e456f9f30fed267"/>
                    <w:lock w:val="sdtLocked"/>
                    <w:richText/>
                  </w:sdtPr>
                  <w:sdtContent>
                    <w:p>
                      <w:pPr>
                        <w:ind w:firstLine="709"/>
                        <w:jc w:val="both"/>
                        <w:rPr>
                          <w:color w:val="000000"/>
                        </w:rPr>
                      </w:pPr>
                      <w:sdt>
                        <w:sdtPr>
                          <w:alias w:val="Numeris"/>
                          <w:tag w:val="nr_aadc34ef92e34f868e456f9f30fed267"/>
                          <w:lock w:val="sdtLocked"/>
                          <w:richText/>
                        </w:sdtPr>
                        <w:sdtContent>
                          <w:r>
                            <w:rPr>
                              <w:color w:val="000000"/>
                              <w:szCs w:val="22"/>
                            </w:rPr>
                            <w:t>24</w:t>
                          </w:r>
                        </w:sdtContent>
                      </w:sdt>
                      <w:r>
                        <w:rPr>
                          <w:color w:val="000000"/>
                          <w:szCs w:val="22"/>
                        </w:rPr>
                        <w:t>. Ūkininkų ūkiuose didžiausią įplaukų dalį paprastai sudaro pardavimo įplaukos iš tipinės ūkio veiklos, t. y. gauti pinigai už parduotą produkciją ir suteiktas paslaugas. Be pardavimo įplaukų, ūkiuose pasitaiko ir kitokių piniginių įplaukų: palūkanos, gautos už banke laikomus pinigus, dividendai, gauti už turimas kitų įmonių (pavyzdžiui, žemės ūkio produkcijos perdirbimo įmonių) akcijas, gautos baudos iš pirkėjų, tiekėjų ir kt. Piniginėms įplaukoms priklauso ne visi ūkyje iš kitur gauti pinigai, o tik gauti iš ūkinės veiklos. Pavyzdžiui, piniginėms įplaukoms nepriklauso ūkininko gautos banko paskolos, gauta parama ir kt.</w:t>
                      </w:r>
                    </w:p>
                  </w:sdtContent>
                </w:sdt>
                <w:sdt>
                  <w:sdtPr>
                    <w:alias w:val="25 p."/>
                    <w:tag w:val="part_c213595415344764a9384524275881dc"/>
                    <w:lock w:val="sdtLocked"/>
                    <w:richText/>
                  </w:sdtPr>
                  <w:sdtContent>
                    <w:p>
                      <w:pPr>
                        <w:ind w:firstLine="709"/>
                        <w:jc w:val="both"/>
                        <w:rPr>
                          <w:color w:val="000000"/>
                        </w:rPr>
                      </w:pPr>
                      <w:sdt>
                        <w:sdtPr>
                          <w:alias w:val="Numeris"/>
                          <w:tag w:val="nr_c213595415344764a9384524275881dc"/>
                          <w:lock w:val="sdtLocked"/>
                          <w:richText/>
                        </w:sdtPr>
                        <w:sdtContent>
                          <w:r>
                            <w:rPr>
                              <w:color w:val="000000"/>
                              <w:szCs w:val="22"/>
                            </w:rPr>
                            <w:t>25</w:t>
                          </w:r>
                        </w:sdtContent>
                      </w:sdt>
                      <w:r>
                        <w:rPr>
                          <w:color w:val="000000"/>
                          <w:szCs w:val="22"/>
                        </w:rPr>
                        <w:t>. Ūkininko ūkiuose didžiausią piniginių išlaidų dalį</w:t>
                      </w:r>
                      <w:r>
                        <w:rPr>
                          <w:b/>
                          <w:bCs/>
                          <w:color w:val="000000"/>
                          <w:szCs w:val="22"/>
                        </w:rPr>
                        <w:t xml:space="preserve"> </w:t>
                      </w:r>
                      <w:r>
                        <w:rPr>
                          <w:color w:val="000000"/>
                          <w:szCs w:val="22"/>
                        </w:rPr>
                        <w:t>sudaro pinigų išlaidos gamybai: medžiagoms (sėklai, trąšoms, pašarams ir kt.) įsigyti, gyvuliams pirkti, sumokėtos lėšos už elektros energiją, agroserviso, transporto ir kitas paslaugas, išmokėtas darbo užmokestis samdomiems darbuotojams, sumokėtos ūkininko jo šeimos narių, partnerių ir samdomų darbuotojų socialinio bei sveikatos draudimo įmokos, sumokėti žemės bei kiti mokesčiai, apmokėtos turto nuomos bei draudimo išlaidos ir kt. Gali pasitaikyti ir kitokių piniginių ūkio išlaidų, tokių, kurios nepriskiriamos ūkininko ūkio ūkinei veiklai, pvz., palūkanos už gautas paskolas, sumokėtos baudos ir pan.</w:t>
                      </w:r>
                    </w:p>
                  </w:sdtContent>
                </w:sdt>
                <w:sdt>
                  <w:sdtPr>
                    <w:alias w:val="26 p."/>
                    <w:tag w:val="part_0af7a1a6965e47de8de26b84cabf7812"/>
                    <w:lock w:val="sdtLocked"/>
                    <w:richText/>
                  </w:sdtPr>
                  <w:sdtContent>
                    <w:p>
                      <w:pPr>
                        <w:ind w:firstLine="709"/>
                        <w:jc w:val="both"/>
                        <w:rPr>
                          <w:color w:val="000000"/>
                        </w:rPr>
                      </w:pPr>
                      <w:sdt>
                        <w:sdtPr>
                          <w:alias w:val="Numeris"/>
                          <w:tag w:val="nr_0af7a1a6965e47de8de26b84cabf7812"/>
                          <w:lock w:val="sdtLocked"/>
                          <w:richText/>
                        </w:sdtPr>
                        <w:sdtContent>
                          <w:r>
                            <w:rPr>
                              <w:color w:val="000000"/>
                              <w:szCs w:val="22"/>
                            </w:rPr>
                            <w:t>26</w:t>
                          </w:r>
                        </w:sdtContent>
                      </w:sdt>
                      <w:r>
                        <w:rPr>
                          <w:color w:val="000000"/>
                          <w:szCs w:val="22"/>
                        </w:rPr>
                        <w:t>. Skaičiuojant ūkininko ūkio ūkinės veiklos finansinį rezultatą pinigų principu, ūkio piniginėms išlaidoms nepriskiriami pinigai, išleisti ilgalaikiam turtui įsigyti: technikai pirkti, statiniams statyti, akcijoms pirkti, melioracijai vykdyti. Nepriskiriami piniginėms išlaidoms ir kai kurie kiti mokėjimai, pvz., grąžintos paskolos, išleisti pinigai labdarai, asmeniniams poreikiams ir pan.</w:t>
                      </w:r>
                    </w:p>
                  </w:sdtContent>
                </w:sdt>
                <w:sdt>
                  <w:sdtPr>
                    <w:alias w:val="27 p."/>
                    <w:tag w:val="part_61da8d47460a488ba239e47c5127e85c"/>
                    <w:lock w:val="sdtLocked"/>
                    <w:richText/>
                  </w:sdtPr>
                  <w:sdtContent>
                    <w:p>
                      <w:pPr>
                        <w:ind w:firstLine="709"/>
                        <w:jc w:val="both"/>
                        <w:rPr>
                          <w:color w:val="000000"/>
                        </w:rPr>
                      </w:pPr>
                      <w:sdt>
                        <w:sdtPr>
                          <w:alias w:val="Numeris"/>
                          <w:tag w:val="nr_61da8d47460a488ba239e47c5127e85c"/>
                          <w:lock w:val="sdtLocked"/>
                          <w:richText/>
                        </w:sdtPr>
                        <w:sdtContent>
                          <w:r>
                            <w:rPr>
                              <w:color w:val="000000"/>
                              <w:szCs w:val="22"/>
                            </w:rPr>
                            <w:t>27</w:t>
                          </w:r>
                        </w:sdtContent>
                      </w:sdt>
                      <w:r>
                        <w:rPr>
                          <w:color w:val="000000"/>
                          <w:szCs w:val="22"/>
                        </w:rPr>
                        <w:t>. Piniginės įplaukos registruojamos tą ataskaitinį laikotarpį, kai gaunami pinigai, po piniginės išlaidos registruojamos tą ataskaitinį laikotarpį, kai pinigai išleidžiami.</w:t>
                      </w:r>
                    </w:p>
                  </w:sdtContent>
                </w:sdt>
                <w:sdt>
                  <w:sdtPr>
                    <w:alias w:val="28 p."/>
                    <w:tag w:val="part_bd8524e3652c45e4ae0667ae77841da0"/>
                    <w:lock w:val="sdtLocked"/>
                    <w:richText/>
                  </w:sdtPr>
                  <w:sdtContent>
                    <w:p>
                      <w:pPr>
                        <w:ind w:firstLine="709"/>
                        <w:jc w:val="both"/>
                        <w:rPr>
                          <w:color w:val="000000"/>
                        </w:rPr>
                      </w:pPr>
                      <w:sdt>
                        <w:sdtPr>
                          <w:alias w:val="Numeris"/>
                          <w:tag w:val="nr_bd8524e3652c45e4ae0667ae77841da0"/>
                          <w:lock w:val="sdtLocked"/>
                          <w:richText/>
                        </w:sdtPr>
                        <w:sdtContent>
                          <w:r>
                            <w:rPr>
                              <w:color w:val="000000"/>
                              <w:szCs w:val="22"/>
                            </w:rPr>
                            <w:t>28</w:t>
                          </w:r>
                        </w:sdtContent>
                      </w:sdt>
                      <w:r>
                        <w:rPr>
                          <w:color w:val="000000"/>
                          <w:szCs w:val="22"/>
                        </w:rPr>
                        <w:t xml:space="preserve">. Ūkininko ūkyje gautų ūkinės veiklos įplaukų ir patirtų piniginių išlaidų apskaitai rekomenduojamas specialus </w:t>
                      </w:r>
                      <w:r>
                        <w:rPr>
                          <w:i/>
                          <w:iCs/>
                          <w:color w:val="000000"/>
                          <w:szCs w:val="22"/>
                        </w:rPr>
                        <w:t xml:space="preserve">Piniginių įplaukų ir išlaidų žiniaraštis </w:t>
                      </w:r>
                      <w:r>
                        <w:rPr>
                          <w:color w:val="000000"/>
                          <w:szCs w:val="22"/>
                        </w:rPr>
                        <w:t>(4 priedas). Šis žiniaraštis skirtas finansiniams metams. Atskirose žiniaraščio skiltyse pateikiami kiekvieno mėnesio, taip pat pirmojo ketvirčio, pirmojo pusmečio, trijų ketvirčių ir visų metų duomenys. Jeigu ūkyje per mėnesį susidaro palyginti daug įplaukų ir išlaidų operacijų, t. y. pasitaiko nemažai pinigų gavimo ir išleidimo atvejų, žiniaraščio skiltys gali būti panaudotos trumpesnių nei mėnuo laikotarpių piniginių įplaukų ir piniginių išlaidų apskaitai.</w:t>
                      </w:r>
                    </w:p>
                  </w:sdtContent>
                </w:sdt>
                <w:sdt>
                  <w:sdtPr>
                    <w:alias w:val="29 p."/>
                    <w:tag w:val="part_47b8ffcc78c44ffea5479e926dd22979"/>
                    <w:lock w:val="sdtLocked"/>
                    <w:richText/>
                  </w:sdtPr>
                  <w:sdtContent>
                    <w:p>
                      <w:pPr>
                        <w:tabs>
                          <w:tab w:val="left" w:pos="1134"/>
                        </w:tabs>
                        <w:overflowPunct w:val="0"/>
                        <w:ind w:firstLine="720"/>
                        <w:jc w:val="both"/>
                        <w:textAlignment w:val="baseline"/>
                        <w:rPr>
                          <w:color w:val="000000"/>
                        </w:rPr>
                      </w:pPr>
                      <w:sdt>
                        <w:sdtPr>
                          <w:alias w:val="Numeris"/>
                          <w:tag w:val="nr_47b8ffcc78c44ffea5479e926dd22979"/>
                          <w:lock w:val="sdtLocked"/>
                          <w:richText/>
                        </w:sdtPr>
                        <w:sdtContent>
                          <w:r>
                            <w:rPr>
                              <w:szCs w:val="24"/>
                            </w:rPr>
                            <w:t>29</w:t>
                          </w:r>
                        </w:sdtContent>
                      </w:sdt>
                      <w:r>
                        <w:rPr>
                          <w:szCs w:val="24"/>
                        </w:rPr>
                        <w:t xml:space="preserve">. Piniginių įplaukų duomenys žiniaraštyje surašomi iš </w:t>
                      </w:r>
                      <w:r>
                        <w:rPr>
                          <w:i/>
                          <w:iCs/>
                          <w:szCs w:val="24"/>
                        </w:rPr>
                        <w:t xml:space="preserve">Pinigų </w:t>
                      </w:r>
                      <w:r>
                        <w:rPr>
                          <w:i/>
                          <w:szCs w:val="24"/>
                        </w:rPr>
                        <w:t>kasoje, banko sąskaitose ir pirkimų ir pardavimų apskaitos</w:t>
                      </w:r>
                      <w:r>
                        <w:rPr>
                          <w:szCs w:val="24"/>
                        </w:rPr>
                        <w:t xml:space="preserve"> </w:t>
                      </w:r>
                      <w:r>
                        <w:rPr>
                          <w:i/>
                          <w:iCs/>
                          <w:szCs w:val="24"/>
                        </w:rPr>
                        <w:t>žurnal</w:t>
                      </w:r>
                      <w:r>
                        <w:rPr>
                          <w:szCs w:val="24"/>
                        </w:rPr>
                        <w:t>o kasos ir banko pajamų skilčių arba tiesiogiai iš pinigų gavimo dokumentų.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ef4760a89511e5be7fbe3f919a1ebe">
                        <w:r w:rsidRPr="00532B9F">
                          <w:rPr>
                            <w:rFonts w:ascii="Times New Roman" w:eastAsia="MS Mincho" w:hAnsi="Times New Roman"/>
                            <w:sz w:val="20"/>
                            <w:i/>
                            <w:iCs/>
                            <w:color w:val="0000FF" w:themeColor="hyperlink"/>
                            <w:u w:val="single"/>
                          </w:rPr>
                          <w:t>3D-941</w:t>
                        </w:r>
                      </w:fldSimple>
                      <w:r>
                        <w:rPr>
                          <w:rFonts w:ascii="Times New Roman" w:eastAsia="MS Mincho" w:hAnsi="Times New Roman"/>
                          <w:sz w:val="20"/>
                          <w:i/>
                          <w:iCs/>
                        </w:rPr>
                        <w:t>,
2015-12-22,
paskelbta TAR 2015-12-23, i. k. 2015-20239            </w:t>
                      </w:r>
                    </w:p>
                    <w:p/>
                  </w:sdtContent>
                </w:sdt>
                <w:sdt>
                  <w:sdtPr>
                    <w:alias w:val="30 p."/>
                    <w:tag w:val="part_cd0024937674493eb9f7e407f23bc366"/>
                    <w:lock w:val="sdtLocked"/>
                    <w:richText/>
                  </w:sdtPr>
                  <w:sdtContent>
                    <w:p>
                      <w:pPr>
                        <w:ind w:firstLine="709"/>
                        <w:jc w:val="both"/>
                        <w:rPr>
                          <w:color w:val="000000"/>
                        </w:rPr>
                      </w:pPr>
                      <w:sdt>
                        <w:sdtPr>
                          <w:alias w:val="Numeris"/>
                          <w:tag w:val="nr_cd0024937674493eb9f7e407f23bc366"/>
                          <w:lock w:val="sdtLocked"/>
                          <w:richText/>
                        </w:sdtPr>
                        <w:sdtContent>
                          <w:r>
                            <w:rPr>
                              <w:color w:val="000000"/>
                              <w:szCs w:val="22"/>
                            </w:rPr>
                            <w:t>30</w:t>
                          </w:r>
                        </w:sdtContent>
                      </w:sdt>
                      <w:r>
                        <w:rPr>
                          <w:color w:val="000000"/>
                          <w:szCs w:val="22"/>
                        </w:rPr>
                        <w:t xml:space="preserve">. Įplaukos surašomos atskirose </w:t>
                      </w:r>
                      <w:r>
                        <w:rPr>
                          <w:i/>
                          <w:iCs/>
                          <w:color w:val="000000"/>
                          <w:szCs w:val="22"/>
                        </w:rPr>
                        <w:t>Piniginių įplaukų ir išlaidų žiniaraščio</w:t>
                      </w:r>
                      <w:r>
                        <w:rPr>
                          <w:color w:val="000000"/>
                          <w:szCs w:val="22"/>
                        </w:rPr>
                        <w:t xml:space="preserve"> eilutėse pagal pagrindines ūkio šakas:</w:t>
                      </w:r>
                    </w:p>
                    <w:sdt>
                      <w:sdtPr>
                        <w:alias w:val="30.1 p."/>
                        <w:tag w:val="part_1ec125dcc0f14718927ca9ff87c5dd25"/>
                        <w:lock w:val="sdtLocked"/>
                        <w:richText/>
                      </w:sdtPr>
                      <w:sdtContent>
                        <w:p>
                          <w:pPr>
                            <w:ind w:firstLine="709"/>
                            <w:jc w:val="both"/>
                            <w:rPr>
                              <w:color w:val="000000"/>
                            </w:rPr>
                          </w:pPr>
                          <w:sdt>
                            <w:sdtPr>
                              <w:alias w:val="Numeris"/>
                              <w:tag w:val="nr_1ec125dcc0f14718927ca9ff87c5dd25"/>
                              <w:lock w:val="sdtLocked"/>
                              <w:richText/>
                            </w:sdtPr>
                            <w:sdtContent>
                              <w:r>
                                <w:rPr>
                                  <w:color w:val="000000"/>
                                  <w:szCs w:val="22"/>
                                </w:rPr>
                                <w:t>30.1</w:t>
                              </w:r>
                            </w:sdtContent>
                          </w:sdt>
                          <w:r>
                            <w:rPr>
                              <w:color w:val="000000"/>
                              <w:szCs w:val="22"/>
                            </w:rPr>
                            <w:t>. Įplaukų iš augalininkystės eilutėje surašomi gauti pinigai už parduotus javus, linus, bulves, cukrinius runkelius, daržoves bei jų sėklas, vaisius ir uogas, gėles, grybus (išsiaugintus bei surinktus miške) ir kitus iš augalų gautus produktus.</w:t>
                          </w:r>
                        </w:p>
                      </w:sdtContent>
                    </w:sdt>
                    <w:sdt>
                      <w:sdtPr>
                        <w:alias w:val="30.2 p."/>
                        <w:tag w:val="part_2eedf0bd35dd4aff842169a74d56f032"/>
                        <w:lock w:val="sdtLocked"/>
                        <w:richText/>
                      </w:sdtPr>
                      <w:sdtContent>
                        <w:p>
                          <w:pPr>
                            <w:ind w:firstLine="709"/>
                            <w:jc w:val="both"/>
                            <w:rPr>
                              <w:color w:val="000000"/>
                            </w:rPr>
                          </w:pPr>
                          <w:sdt>
                            <w:sdtPr>
                              <w:alias w:val="Numeris"/>
                              <w:tag w:val="nr_2eedf0bd35dd4aff842169a74d56f032"/>
                              <w:lock w:val="sdtLocked"/>
                              <w:richText/>
                            </w:sdtPr>
                            <w:sdtContent>
                              <w:r>
                                <w:rPr>
                                  <w:color w:val="000000"/>
                                  <w:szCs w:val="22"/>
                                </w:rPr>
                                <w:t>30.2</w:t>
                              </w:r>
                            </w:sdtContent>
                          </w:sdt>
                          <w:r>
                            <w:rPr>
                              <w:color w:val="000000"/>
                              <w:szCs w:val="22"/>
                            </w:rPr>
                            <w:t>. Įplaukų iš gyvulininkystės eilutėje pateikiama informacija apie pinigus, gautus už parduotus mėsinius bei veislinius gyvulius ir paukščius, pieną, kiaušinius, medų ir kitus produktus.</w:t>
                          </w:r>
                        </w:p>
                      </w:sdtContent>
                    </w:sdt>
                    <w:sdt>
                      <w:sdtPr>
                        <w:alias w:val="30.3 p."/>
                        <w:tag w:val="part_7aeeaf1720c7483f9595bcf5d3461fdb"/>
                        <w:lock w:val="sdtLocked"/>
                        <w:richText/>
                      </w:sdtPr>
                      <w:sdtContent>
                        <w:p>
                          <w:pPr>
                            <w:ind w:firstLine="709"/>
                            <w:jc w:val="both"/>
                            <w:rPr>
                              <w:color w:val="000000"/>
                            </w:rPr>
                          </w:pPr>
                          <w:sdt>
                            <w:sdtPr>
                              <w:alias w:val="Numeris"/>
                              <w:tag w:val="nr_7aeeaf1720c7483f9595bcf5d3461fdb"/>
                              <w:lock w:val="sdtLocked"/>
                              <w:richText/>
                            </w:sdtPr>
                            <w:sdtContent>
                              <w:r>
                                <w:rPr>
                                  <w:color w:val="000000"/>
                                  <w:szCs w:val="22"/>
                                </w:rPr>
                                <w:t>30.3</w:t>
                              </w:r>
                            </w:sdtContent>
                          </w:sdt>
                          <w:r>
                            <w:rPr>
                              <w:color w:val="000000"/>
                              <w:szCs w:val="22"/>
                            </w:rPr>
                            <w:t>. Įplaukų iš miško rodiklis apima gautus pinigus už parduotą statųjį mišką, padarinę miško medžiagą, malkas, sakus ir kt.</w:t>
                          </w:r>
                        </w:p>
                      </w:sdtContent>
                    </w:sdt>
                    <w:sdt>
                      <w:sdtPr>
                        <w:alias w:val="30.4 p."/>
                        <w:tag w:val="part_050a0d8ff2a34a26b2b327143ea41625"/>
                        <w:lock w:val="sdtLocked"/>
                        <w:richText/>
                      </w:sdtPr>
                      <w:sdtContent>
                        <w:p>
                          <w:pPr>
                            <w:ind w:firstLine="709"/>
                            <w:jc w:val="both"/>
                            <w:rPr>
                              <w:color w:val="000000"/>
                            </w:rPr>
                          </w:pPr>
                          <w:sdt>
                            <w:sdtPr>
                              <w:alias w:val="Numeris"/>
                              <w:tag w:val="nr_050a0d8ff2a34a26b2b327143ea41625"/>
                              <w:lock w:val="sdtLocked"/>
                              <w:richText/>
                            </w:sdtPr>
                            <w:sdtContent>
                              <w:r>
                                <w:rPr>
                                  <w:color w:val="000000"/>
                                  <w:szCs w:val="22"/>
                                </w:rPr>
                                <w:t>30.4</w:t>
                              </w:r>
                            </w:sdtContent>
                          </w:sdt>
                          <w:r>
                            <w:rPr>
                              <w:color w:val="000000"/>
                              <w:szCs w:val="22"/>
                            </w:rPr>
                            <w:t>. Įplaukas iš vidaus vandenų sudaro pinigai, gauti už šiuose vandenyse (pavyzdžiui, tvenkiniuose) sugautą ir parduotą žuvį ir kitą produkciją (pavyzdžiui, mailių).</w:t>
                          </w:r>
                        </w:p>
                      </w:sdtContent>
                    </w:sdt>
                    <w:sdt>
                      <w:sdtPr>
                        <w:alias w:val="30.5 p."/>
                        <w:tag w:val="part_c93f8801fbcf4f3685da2bd26ebac47b"/>
                        <w:lock w:val="sdtLocked"/>
                        <w:richText/>
                      </w:sdtPr>
                      <w:sdtContent>
                        <w:p>
                          <w:pPr>
                            <w:ind w:firstLine="709"/>
                            <w:jc w:val="both"/>
                            <w:rPr>
                              <w:color w:val="000000"/>
                            </w:rPr>
                          </w:pPr>
                          <w:sdt>
                            <w:sdtPr>
                              <w:alias w:val="Numeris"/>
                              <w:tag w:val="nr_c93f8801fbcf4f3685da2bd26ebac47b"/>
                              <w:lock w:val="sdtLocked"/>
                              <w:richText/>
                            </w:sdtPr>
                            <w:sdtContent>
                              <w:r>
                                <w:rPr>
                                  <w:color w:val="000000"/>
                                  <w:szCs w:val="22"/>
                                </w:rPr>
                                <w:t>30.5</w:t>
                              </w:r>
                            </w:sdtContent>
                          </w:sdt>
                          <w:r>
                            <w:rPr>
                              <w:color w:val="000000"/>
                              <w:szCs w:val="22"/>
                            </w:rPr>
                            <w:t>. Įplaukoms iš savo žemės ūkio produkcijos perdirbimo priklauso gauti pinigai už mėsą bei jos produktus, pagamintus iš savo ūkyje išaugintų gyvulių, už pieno produktus, gautus iš ūkyje primelžto pieno, už grūdų, išaugintų ūkyje, perdirbimo produktus, už duoną, iškeptą iš savo gamybos miltų, už aliejų, išspaustą iš savo ūkyje išaugintos žaliavos ir pan.</w:t>
                          </w:r>
                        </w:p>
                      </w:sdtContent>
                    </w:sdt>
                    <w:sdt>
                      <w:sdtPr>
                        <w:alias w:val="30.6 p."/>
                        <w:tag w:val="part_b788bced3c274089acd230a20c3ba911"/>
                        <w:lock w:val="sdtLocked"/>
                        <w:richText/>
                      </w:sdtPr>
                      <w:sdtContent>
                        <w:p>
                          <w:pPr>
                            <w:ind w:firstLine="709"/>
                            <w:jc w:val="both"/>
                            <w:rPr>
                              <w:color w:val="000000"/>
                            </w:rPr>
                          </w:pPr>
                          <w:sdt>
                            <w:sdtPr>
                              <w:alias w:val="Numeris"/>
                              <w:tag w:val="nr_b788bced3c274089acd230a20c3ba911"/>
                              <w:lock w:val="sdtLocked"/>
                              <w:richText/>
                            </w:sdtPr>
                            <w:sdtContent>
                              <w:r>
                                <w:rPr>
                                  <w:color w:val="000000"/>
                                  <w:szCs w:val="22"/>
                                </w:rPr>
                                <w:t>30.6</w:t>
                              </w:r>
                            </w:sdtContent>
                          </w:sdt>
                          <w:r>
                            <w:rPr>
                              <w:color w:val="000000"/>
                              <w:szCs w:val="22"/>
                            </w:rPr>
                            <w:t>. Įplaukoms iš paslaugų žemės ūkiui priskiriami pinigai, gauti už kitiems asmenims atliktus darbus (nesteigiant įmonės), susijusius su žemės ūkio veiklos vykdymu (žemės dirbimas, dirvos tręšimas, augalų apsauga, derliaus nuėmimas ir kt.). Šių įplaukų sumas galima detalizuoti atskirose žiniaraščio eilutėse (pavyzdžiui, įplaukos iš augalininkystės paslaugų, įplaukos iš kitų paslaugų</w:t>
                          </w:r>
                          <w:r>
                            <w:rPr>
                              <w:b/>
                              <w:bCs/>
                              <w:color w:val="000000"/>
                              <w:szCs w:val="22"/>
                            </w:rPr>
                            <w:t xml:space="preserve"> </w:t>
                          </w:r>
                          <w:r>
                            <w:rPr>
                              <w:color w:val="000000"/>
                              <w:szCs w:val="22"/>
                            </w:rPr>
                            <w:t>ar kitaip).</w:t>
                          </w:r>
                        </w:p>
                      </w:sdtContent>
                    </w:sdt>
                    <w:sdt>
                      <w:sdtPr>
                        <w:alias w:val="30.7 p."/>
                        <w:tag w:val="part_a3422e2dc10e4ce4938ec10eabde7562"/>
                        <w:lock w:val="sdtLocked"/>
                        <w:richText/>
                      </w:sdtPr>
                      <w:sdtContent>
                        <w:p>
                          <w:pPr>
                            <w:ind w:firstLine="709"/>
                            <w:jc w:val="both"/>
                            <w:rPr>
                              <w:color w:val="000000"/>
                            </w:rPr>
                          </w:pPr>
                          <w:sdt>
                            <w:sdtPr>
                              <w:alias w:val="Numeris"/>
                              <w:tag w:val="nr_a3422e2dc10e4ce4938ec10eabde7562"/>
                              <w:lock w:val="sdtLocked"/>
                              <w:richText/>
                            </w:sdtPr>
                            <w:sdtContent>
                              <w:r>
                                <w:rPr>
                                  <w:color w:val="000000"/>
                                  <w:szCs w:val="22"/>
                                </w:rPr>
                                <w:t>30.7</w:t>
                              </w:r>
                            </w:sdtContent>
                          </w:sdt>
                          <w:r>
                            <w:rPr>
                              <w:color w:val="000000"/>
                              <w:szCs w:val="22"/>
                            </w:rPr>
                            <w:t>. Įplaukų iš ne žemės ūkio veiklos rodiklis apima gautus pinigus už parduotus</w:t>
                          </w:r>
                          <w:r>
                            <w:rPr>
                              <w:i/>
                              <w:iCs/>
                              <w:color w:val="000000"/>
                              <w:szCs w:val="22"/>
                            </w:rPr>
                            <w:t xml:space="preserve"> </w:t>
                          </w:r>
                          <w:r>
                            <w:rPr>
                              <w:color w:val="000000"/>
                              <w:szCs w:val="22"/>
                            </w:rPr>
                            <w:t>ūkio</w:t>
                          </w:r>
                          <w:r>
                            <w:rPr>
                              <w:i/>
                              <w:iCs/>
                              <w:color w:val="000000"/>
                              <w:szCs w:val="22"/>
                            </w:rPr>
                            <w:t xml:space="preserve"> </w:t>
                          </w:r>
                          <w:r>
                            <w:rPr>
                              <w:color w:val="000000"/>
                              <w:szCs w:val="22"/>
                            </w:rPr>
                            <w:t>gaminius, gautus iš veiklos, nepriskiriamos augalininkystei, gyvulininkystei, žuvininkystei (vidaus vandenyse), išaugintų produktų perdirbimui, taip pat už paslaugas, nesusijusias su žemės ūkiu. Tai, pavyzdžiui, įplaukos už parduotus maisto produktus bei pašarus, pagamintus iš nusipirktos žaliavos, už įvairius medienos dirbinius, mezginius, audinius ir pan. Atskirose žiniaraščio eilutėse įrašytinos tokių įplaukų rūšys</w:t>
                          </w:r>
                          <w:r>
                            <w:rPr>
                              <w:b/>
                              <w:bCs/>
                              <w:color w:val="000000"/>
                              <w:szCs w:val="22"/>
                            </w:rPr>
                            <w:t>.</w:t>
                          </w:r>
                        </w:p>
                      </w:sdtContent>
                    </w:sdt>
                  </w:sdtContent>
                </w:sdt>
                <w:sdt>
                  <w:sdtPr>
                    <w:alias w:val="31 p."/>
                    <w:tag w:val="part_53ab2ed548dd4eb585faf26caed95e69"/>
                    <w:lock w:val="sdtLocked"/>
                    <w:richText/>
                  </w:sdtPr>
                  <w:sdtContent>
                    <w:p>
                      <w:pPr>
                        <w:ind w:firstLine="709"/>
                        <w:jc w:val="both"/>
                        <w:rPr>
                          <w:color w:val="000000"/>
                        </w:rPr>
                      </w:pPr>
                      <w:sdt>
                        <w:sdtPr>
                          <w:alias w:val="Numeris"/>
                          <w:tag w:val="nr_53ab2ed548dd4eb585faf26caed95e69"/>
                          <w:lock w:val="sdtLocked"/>
                          <w:richText/>
                        </w:sdtPr>
                        <w:sdtContent>
                          <w:r>
                            <w:rPr>
                              <w:color w:val="000000"/>
                              <w:szCs w:val="22"/>
                            </w:rPr>
                            <w:t>31</w:t>
                          </w:r>
                        </w:sdtContent>
                      </w:sdt>
                      <w:r>
                        <w:rPr>
                          <w:color w:val="000000"/>
                          <w:szCs w:val="22"/>
                        </w:rPr>
                        <w:t xml:space="preserve">. </w:t>
                      </w:r>
                      <w:r>
                        <w:rPr>
                          <w:i/>
                          <w:iCs/>
                          <w:color w:val="000000"/>
                          <w:szCs w:val="22"/>
                        </w:rPr>
                        <w:t>Piniginių įplaukų ir išlaidų žiniaraštyje</w:t>
                      </w:r>
                      <w:r>
                        <w:rPr>
                          <w:color w:val="000000"/>
                          <w:szCs w:val="22"/>
                        </w:rPr>
                        <w:t xml:space="preserve"> išlaidos surašomos pagal jų rūšis:</w:t>
                      </w:r>
                    </w:p>
                    <w:sdt>
                      <w:sdtPr>
                        <w:alias w:val="31.1 p."/>
                        <w:tag w:val="part_b108c60d87bc4e26909d34a0f05f89b4"/>
                        <w:lock w:val="sdtLocked"/>
                        <w:richText/>
                      </w:sdtPr>
                      <w:sdtContent>
                        <w:p>
                          <w:pPr>
                            <w:ind w:firstLine="709"/>
                            <w:jc w:val="both"/>
                            <w:rPr>
                              <w:color w:val="000000"/>
                            </w:rPr>
                          </w:pPr>
                          <w:sdt>
                            <w:sdtPr>
                              <w:alias w:val="Numeris"/>
                              <w:tag w:val="nr_b108c60d87bc4e26909d34a0f05f89b4"/>
                              <w:lock w:val="sdtLocked"/>
                              <w:richText/>
                            </w:sdtPr>
                            <w:sdtContent>
                              <w:r>
                                <w:rPr>
                                  <w:color w:val="000000"/>
                                  <w:szCs w:val="22"/>
                                </w:rPr>
                                <w:t>31.1</w:t>
                              </w:r>
                            </w:sdtContent>
                          </w:sdt>
                          <w:r>
                            <w:rPr>
                              <w:color w:val="000000"/>
                              <w:szCs w:val="22"/>
                            </w:rPr>
                            <w:t>. Į išlaidas elektros energijai, vandeniui ir dujoms reikia įskaityti tiktai tas, kurios susijusios su ūkio veikla. Todėl iš bendrų sumokėtų už elektrą, vandenį ir dujas sumų reikia atimti atitinkamas išlaidas, tenkančias ūkininko šeimos asmeninėms reikmėms tenkinti (gyvenamųjų patalpų apšvietimo, vandens ir dujų, suvartotų buityje, ir pan.).</w:t>
                          </w:r>
                        </w:p>
                      </w:sdtContent>
                    </w:sdt>
                    <w:sdt>
                      <w:sdtPr>
                        <w:alias w:val="31.2 p."/>
                        <w:tag w:val="part_9c67c1064d8c440e876f2afaf2cee6bd"/>
                        <w:lock w:val="sdtLocked"/>
                        <w:richText/>
                      </w:sdtPr>
                      <w:sdtContent>
                        <w:p>
                          <w:pPr>
                            <w:ind w:firstLine="709"/>
                            <w:jc w:val="both"/>
                            <w:rPr>
                              <w:color w:val="000000"/>
                            </w:rPr>
                          </w:pPr>
                          <w:sdt>
                            <w:sdtPr>
                              <w:alias w:val="Numeris"/>
                              <w:tag w:val="nr_9c67c1064d8c440e876f2afaf2cee6bd"/>
                              <w:lock w:val="sdtLocked"/>
                              <w:richText/>
                            </w:sdtPr>
                            <w:sdtContent>
                              <w:r>
                                <w:rPr>
                                  <w:color w:val="000000"/>
                                  <w:szCs w:val="22"/>
                                </w:rPr>
                                <w:t>31.2</w:t>
                              </w:r>
                            </w:sdtContent>
                          </w:sdt>
                          <w:r>
                            <w:rPr>
                              <w:color w:val="000000"/>
                              <w:szCs w:val="22"/>
                            </w:rPr>
                            <w:t>. Į išlaidas kurui bei tepalams, atsarginėms dalims, mažaverčiams daiktams pirkti, gamybinėms paslaugoms apmokėti ir kitas materialines išlaidas neįskaitomos ūkininkui ar jo partneriams priklausančių automobilių, naudojamų ūkio veiklai, eksploatavimo išlaidos. Šios išlaidos</w:t>
                          </w:r>
                          <w:r>
                            <w:rPr>
                              <w:i/>
                              <w:iCs/>
                              <w:color w:val="000000"/>
                              <w:szCs w:val="22"/>
                            </w:rPr>
                            <w:t xml:space="preserve"> Piniginių įplaukų ir išlaidų</w:t>
                          </w:r>
                          <w:r>
                            <w:rPr>
                              <w:color w:val="000000"/>
                              <w:szCs w:val="22"/>
                            </w:rPr>
                            <w:t xml:space="preserve"> </w:t>
                          </w:r>
                          <w:r>
                            <w:rPr>
                              <w:i/>
                              <w:iCs/>
                              <w:color w:val="000000"/>
                              <w:szCs w:val="22"/>
                            </w:rPr>
                            <w:t>žiniaraštyje</w:t>
                          </w:r>
                          <w:r>
                            <w:rPr>
                              <w:color w:val="000000"/>
                              <w:szCs w:val="22"/>
                            </w:rPr>
                            <w:t xml:space="preserve"> pateikiamos atskirai, dviejose eilutėse. Vienoje registruojamos visos minėtų automobilių eksploatavimo išlaidos. Kitoje eilutėje su minuso ženklu (arba raudona spalva) įrašoma šių išlaidų suma, proporcinga šių automobilių naudojimui asmeninėms ūkininko ir jo partnerių reikmėms. Ši suma apskaičiuojama pagal transporto priemonių panaudojimo asmeninėms reikmėms dalį. Ji nustatoma apytiksliai, atsižvelgiant į asmeniniais reikalais nuvažiuotų kilometrų skaičių. Į ūkio veiklos išlaidas gali būti įtraukta iki 50 proc. išlaidų padarytų lengvojo automobilio kurui, tepalams ir kitoms su juo susijusioms prekėms pirkti.</w:t>
                          </w:r>
                        </w:p>
                      </w:sdtContent>
                    </w:sdt>
                    <w:sdt>
                      <w:sdtPr>
                        <w:alias w:val="31.3 p."/>
                        <w:tag w:val="part_451c539ece654ccf808dc1611e3760cf"/>
                        <w:lock w:val="sdtLocked"/>
                        <w:richText/>
                      </w:sdtPr>
                      <w:sdtContent>
                        <w:p>
                          <w:pPr>
                            <w:ind w:firstLine="709"/>
                            <w:jc w:val="both"/>
                            <w:rPr>
                              <w:color w:val="000000"/>
                            </w:rPr>
                          </w:pPr>
                          <w:sdt>
                            <w:sdtPr>
                              <w:alias w:val="Numeris"/>
                              <w:tag w:val="nr_451c539ece654ccf808dc1611e3760cf"/>
                              <w:lock w:val="sdtLocked"/>
                              <w:richText/>
                            </w:sdtPr>
                            <w:sdtContent>
                              <w:r>
                                <w:rPr>
                                  <w:color w:val="000000"/>
                                  <w:szCs w:val="22"/>
                                </w:rPr>
                                <w:t>31.3</w:t>
                              </w:r>
                            </w:sdtContent>
                          </w:sdt>
                          <w:r>
                            <w:rPr>
                              <w:color w:val="000000"/>
                              <w:szCs w:val="22"/>
                            </w:rPr>
                            <w:t>. Bendras lengvojo transporto išlaikymo išlaidas galima detalizuoti pagal sudėtines dalis (kuras bei tepalai, atsarginės dalys, padangos ir kt.) žiniaraščio pabaigoje esančiose laisvose eilutėse.</w:t>
                          </w:r>
                        </w:p>
                      </w:sdtContent>
                    </w:sdt>
                    <w:sdt>
                      <w:sdtPr>
                        <w:alias w:val="31.4 p."/>
                        <w:tag w:val="part_05c87f2d0e0345d58add49f9c5c6fc00"/>
                        <w:lock w:val="sdtLocked"/>
                        <w:richText/>
                      </w:sdtPr>
                      <w:sdtContent>
                        <w:p>
                          <w:pPr>
                            <w:ind w:firstLine="709"/>
                            <w:jc w:val="both"/>
                            <w:rPr>
                              <w:color w:val="000000"/>
                            </w:rPr>
                          </w:pPr>
                          <w:sdt>
                            <w:sdtPr>
                              <w:alias w:val="Numeris"/>
                              <w:tag w:val="nr_05c87f2d0e0345d58add49f9c5c6fc00"/>
                              <w:lock w:val="sdtLocked"/>
                              <w:richText/>
                            </w:sdtPr>
                            <w:sdtContent>
                              <w:r>
                                <w:rPr>
                                  <w:color w:val="000000"/>
                                  <w:szCs w:val="22"/>
                                </w:rPr>
                                <w:t>31.4</w:t>
                              </w:r>
                            </w:sdtContent>
                          </w:sdt>
                          <w:r>
                            <w:rPr>
                              <w:color w:val="000000"/>
                              <w:szCs w:val="22"/>
                            </w:rPr>
                            <w:t>. Į išlaidas gamybinėms paslaugoms apmokėti įskaitomos kitoms įmonėms bei ūkininkams sumokėtos sumos už žemės įdirbimą, dirvos tręšimą, derliaus nuėmimą, technikos remontą, veterinarines ir kitas paslaugas.</w:t>
                          </w:r>
                        </w:p>
                      </w:sdtContent>
                    </w:sdt>
                    <w:sdt>
                      <w:sdtPr>
                        <w:alias w:val="31.5 p."/>
                        <w:tag w:val="part_40dcbd9ab2a14fad9089161ae6b764d1"/>
                        <w:lock w:val="sdtLocked"/>
                        <w:richText/>
                      </w:sdtPr>
                      <w:sdtContent>
                        <w:p>
                          <w:pPr>
                            <w:ind w:firstLine="709"/>
                            <w:jc w:val="both"/>
                            <w:rPr>
                              <w:color w:val="000000"/>
                            </w:rPr>
                          </w:pPr>
                          <w:sdt>
                            <w:sdtPr>
                              <w:alias w:val="Numeris"/>
                              <w:tag w:val="nr_40dcbd9ab2a14fad9089161ae6b764d1"/>
                              <w:lock w:val="sdtLocked"/>
                              <w:richText/>
                            </w:sdtPr>
                            <w:sdtContent>
                              <w:r>
                                <w:rPr>
                                  <w:color w:val="000000"/>
                                  <w:szCs w:val="22"/>
                                </w:rPr>
                                <w:t>31.5</w:t>
                              </w:r>
                            </w:sdtContent>
                          </w:sdt>
                          <w:r>
                            <w:rPr>
                              <w:color w:val="000000"/>
                              <w:szCs w:val="22"/>
                            </w:rPr>
                            <w:t>. Išlaidas atlyginimams sudaro samdomiems darbuotojams išmokėtas darbo užmokestis, iš darbuotojams priskaityto darbo užmokesčio išskaičiuotas ir sumokėtas gyventojų pajamų mokestis bei socialinio draudimo įmokos. Išlaidas socialiniam bei sveikatos draudimui sudaro ūkininko bei ūkininko partnerių ir samdomų darbuotojų valstybinio socialinio draudimo ir privalomojo sveikatos draudimo įmokos, mokamos ūkininko lėšomis.</w:t>
                          </w:r>
                        </w:p>
                      </w:sdtContent>
                    </w:sdt>
                  </w:sdtContent>
                </w:sdt>
                <w:sdt>
                  <w:sdtPr>
                    <w:alias w:val="32 p."/>
                    <w:tag w:val="part_67ca370e736a424e87f71c16b42fcc6b"/>
                    <w:lock w:val="sdtLocked"/>
                    <w:richText/>
                  </w:sdtPr>
                  <w:sdtContent>
                    <w:p>
                      <w:pPr>
                        <w:tabs>
                          <w:tab w:val="left" w:pos="1134"/>
                        </w:tabs>
                        <w:overflowPunct w:val="0"/>
                        <w:ind w:firstLine="720"/>
                        <w:jc w:val="both"/>
                        <w:textAlignment w:val="baseline"/>
                        <w:rPr>
                          <w:b/>
                          <w:bCs/>
                          <w:color w:val="000000"/>
                        </w:rPr>
                      </w:pPr>
                      <w:sdt>
                        <w:sdtPr>
                          <w:alias w:val="Numeris"/>
                          <w:tag w:val="nr_67ca370e736a424e87f71c16b42fcc6b"/>
                          <w:lock w:val="sdtLocked"/>
                          <w:richText/>
                        </w:sdtPr>
                        <w:sdtContent>
                          <w:r>
                            <w:rPr>
                              <w:szCs w:val="24"/>
                            </w:rPr>
                            <w:t>32</w:t>
                          </w:r>
                        </w:sdtContent>
                      </w:sdt>
                      <w:r>
                        <w:rPr>
                          <w:szCs w:val="24"/>
                        </w:rPr>
                        <w:t xml:space="preserve">. Duomenys apie išlaidas imami iš </w:t>
                      </w:r>
                      <w:r>
                        <w:rPr>
                          <w:i/>
                          <w:iCs/>
                          <w:szCs w:val="24"/>
                        </w:rPr>
                        <w:t xml:space="preserve">Pinigų </w:t>
                      </w:r>
                      <w:r>
                        <w:rPr>
                          <w:i/>
                          <w:szCs w:val="24"/>
                        </w:rPr>
                        <w:t xml:space="preserve">kasoje, banko sąskaitose ir pirkimų ir pardavimų apskaitos </w:t>
                      </w:r>
                      <w:r>
                        <w:rPr>
                          <w:i/>
                          <w:iCs/>
                          <w:szCs w:val="24"/>
                        </w:rPr>
                        <w:t>žurnalo</w:t>
                      </w:r>
                      <w:r>
                        <w:rPr>
                          <w:szCs w:val="24"/>
                        </w:rPr>
                        <w:t xml:space="preserve"> „Kasos“ bei „Banko“ išlaidų skilčių arba tiesiogiai iš pinigų išleidimo dokumentų (kasos išlaidų orderių, mokėjimo nurodymų, samdomų asmenų darbo užmokesčio apskaičiavimo žiniaraščių ir kt.). Bendra piniginių išlaidų suma </w:t>
                      </w:r>
                      <w:r>
                        <w:rPr>
                          <w:i/>
                          <w:iCs/>
                          <w:szCs w:val="24"/>
                        </w:rPr>
                        <w:t>Piniginių įplaukų ir išlaidų</w:t>
                      </w:r>
                      <w:r>
                        <w:rPr>
                          <w:szCs w:val="24"/>
                        </w:rPr>
                        <w:t xml:space="preserve"> </w:t>
                      </w:r>
                      <w:r>
                        <w:rPr>
                          <w:i/>
                          <w:iCs/>
                          <w:szCs w:val="24"/>
                        </w:rPr>
                        <w:t>žiniaraštyje</w:t>
                      </w:r>
                      <w:r>
                        <w:rPr>
                          <w:szCs w:val="24"/>
                        </w:rPr>
                        <w:t xml:space="preserve"> sutikrinama su </w:t>
                      </w:r>
                      <w:r>
                        <w:rPr>
                          <w:i/>
                          <w:iCs/>
                          <w:szCs w:val="24"/>
                        </w:rPr>
                        <w:t xml:space="preserve">Pinigų </w:t>
                      </w:r>
                      <w:r>
                        <w:rPr>
                          <w:i/>
                          <w:szCs w:val="24"/>
                        </w:rPr>
                        <w:t xml:space="preserve">kasoje, banko sąskaitose ir pirkimų ir pardavimų apskaitos </w:t>
                      </w:r>
                      <w:r>
                        <w:rPr>
                          <w:i/>
                          <w:iCs/>
                          <w:szCs w:val="24"/>
                        </w:rPr>
                        <w:t>žurnalo</w:t>
                      </w:r>
                      <w:r>
                        <w:rPr>
                          <w:szCs w:val="24"/>
                        </w:rPr>
                        <w:t xml:space="preserve"> duomenimis.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ef4760a89511e5be7fbe3f919a1ebe">
                        <w:r w:rsidRPr="00532B9F">
                          <w:rPr>
                            <w:rFonts w:ascii="Times New Roman" w:eastAsia="MS Mincho" w:hAnsi="Times New Roman"/>
                            <w:sz w:val="20"/>
                            <w:i/>
                            <w:iCs/>
                            <w:color w:val="0000FF" w:themeColor="hyperlink"/>
                            <w:u w:val="single"/>
                          </w:rPr>
                          <w:t>3D-941</w:t>
                        </w:r>
                      </w:fldSimple>
                      <w:r>
                        <w:rPr>
                          <w:rFonts w:ascii="Times New Roman" w:eastAsia="MS Mincho" w:hAnsi="Times New Roman"/>
                          <w:sz w:val="20"/>
                          <w:i/>
                          <w:iCs/>
                        </w:rPr>
                        <w:t>,
2015-12-22,
paskelbta TAR 2015-12-23, i. k. 2015-20239            </w:t>
                      </w:r>
                    </w:p>
                    <w:p/>
                  </w:sdtContent>
                </w:sdt>
              </w:sdtContent>
            </w:sdt>
            <w:sdt>
              <w:sdtPr>
                <w:alias w:val="skirsnis"/>
                <w:tag w:val="part_9b8023f202394361b5a7c1a0ae03199d"/>
                <w:lock w:val="sdtLocked"/>
                <w:richText/>
              </w:sdtPr>
              <w:sdtContent>
                <w:p>
                  <w:pPr>
                    <w:jc w:val="center"/>
                    <w:rPr>
                      <w:b/>
                      <w:bCs/>
                      <w:color w:val="000000"/>
                    </w:rPr>
                  </w:pPr>
                  <w:sdt>
                    <w:sdtPr>
                      <w:alias w:val="Pavadinimas"/>
                      <w:tag w:val="title_9b8023f202394361b5a7c1a0ae03199d"/>
                      <w:lock w:val="sdtLocked"/>
                      <w:richText/>
                    </w:sdtPr>
                    <w:sdtContent>
                      <w:r>
                        <w:rPr>
                          <w:b/>
                          <w:bCs/>
                          <w:color w:val="000000"/>
                          <w:szCs w:val="22"/>
                        </w:rPr>
                        <w:t>Ilgalaikio turto apskaita</w:t>
                      </w:r>
                    </w:sdtContent>
                  </w:sdt>
                </w:p>
                <w:p>
                  <w:pPr>
                    <w:jc w:val="center"/>
                    <w:rPr>
                      <w:b/>
                      <w:bCs/>
                      <w:color w:val="000000"/>
                    </w:rPr>
                  </w:pPr>
                </w:p>
                <w:sdt>
                  <w:sdtPr>
                    <w:alias w:val="33 p."/>
                    <w:tag w:val="part_89ae871d62ca4981ba1b7840dd905b33"/>
                    <w:lock w:val="sdtLocked"/>
                    <w:richText/>
                  </w:sdtPr>
                  <w:sdtContent>
                    <w:p>
                      <w:pPr>
                        <w:ind w:firstLine="709"/>
                        <w:jc w:val="both"/>
                        <w:rPr>
                          <w:color w:val="000000"/>
                        </w:rPr>
                      </w:pPr>
                      <w:sdt>
                        <w:sdtPr>
                          <w:alias w:val="Numeris"/>
                          <w:tag w:val="nr_89ae871d62ca4981ba1b7840dd905b33"/>
                          <w:lock w:val="sdtLocked"/>
                          <w:richText/>
                        </w:sdtPr>
                        <w:sdtContent>
                          <w:r>
                            <w:rPr>
                              <w:color w:val="000000"/>
                              <w:szCs w:val="22"/>
                            </w:rPr>
                            <w:t>33</w:t>
                          </w:r>
                        </w:sdtContent>
                      </w:sdt>
                      <w:r>
                        <w:rPr>
                          <w:color w:val="000000"/>
                          <w:szCs w:val="22"/>
                        </w:rPr>
                        <w:t>. Ūkininko ūkio ilgalaikiu turtu laikomas turtas, kuris teikia ūkininko ūkiui naudos ilgiau nei vienerius metus, o jo vertė yra ne mažesnė už ūkininko nusistatytą minimalią ilgalaikio turto vertę. Pasirinkdamas vertę, nuo kurios ūkio turtas bus laikomas ilgalaikiu, ūkininkas gali surašyti laisvos formos pažymą. Ilgalaikis turtas apskaitoje skirstomas į grupes pagal jo pobūdį ir paskirtį. Ilgalaikio turto minimali vertė gali būti pasirenkama pagal nusistatytas turto grupes.</w:t>
                      </w:r>
                    </w:p>
                  </w:sdtContent>
                </w:sdt>
                <w:sdt>
                  <w:sdtPr>
                    <w:alias w:val="34 p."/>
                    <w:tag w:val="part_87a047fcf5eb4d7b82bef4ef68c6f4b4"/>
                    <w:lock w:val="sdtLocked"/>
                    <w:richText/>
                  </w:sdtPr>
                  <w:sdtContent>
                    <w:p>
                      <w:pPr>
                        <w:ind w:firstLine="709"/>
                        <w:jc w:val="both"/>
                        <w:rPr>
                          <w:color w:val="000000"/>
                        </w:rPr>
                      </w:pPr>
                      <w:sdt>
                        <w:sdtPr>
                          <w:alias w:val="Numeris"/>
                          <w:tag w:val="nr_87a047fcf5eb4d7b82bef4ef68c6f4b4"/>
                          <w:lock w:val="sdtLocked"/>
                          <w:richText/>
                        </w:sdtPr>
                        <w:sdtContent>
                          <w:r>
                            <w:rPr>
                              <w:color w:val="000000"/>
                              <w:szCs w:val="22"/>
                            </w:rPr>
                            <w:t>34</w:t>
                          </w:r>
                        </w:sdtContent>
                      </w:sdt>
                      <w:r>
                        <w:rPr>
                          <w:color w:val="000000"/>
                          <w:szCs w:val="22"/>
                        </w:rPr>
                        <w:t xml:space="preserve">. Ūkininko ūkio ilgalaikiam turtui registruoti skirtas </w:t>
                      </w:r>
                      <w:r>
                        <w:rPr>
                          <w:i/>
                          <w:iCs/>
                          <w:color w:val="000000"/>
                          <w:szCs w:val="22"/>
                        </w:rPr>
                        <w:t>Ilgalaikio turto žiniaraštis</w:t>
                      </w:r>
                      <w:r>
                        <w:rPr>
                          <w:b/>
                          <w:bCs/>
                          <w:i/>
                          <w:iCs/>
                          <w:color w:val="000000"/>
                          <w:szCs w:val="22"/>
                        </w:rPr>
                        <w:t xml:space="preserve"> </w:t>
                      </w:r>
                      <w:r>
                        <w:rPr>
                          <w:color w:val="000000"/>
                          <w:szCs w:val="22"/>
                        </w:rPr>
                        <w:t>(5 priedas)</w:t>
                      </w:r>
                      <w:r>
                        <w:rPr>
                          <w:b/>
                          <w:bCs/>
                          <w:i/>
                          <w:iCs/>
                          <w:color w:val="000000"/>
                          <w:szCs w:val="22"/>
                        </w:rPr>
                        <w:t xml:space="preserve">. </w:t>
                      </w:r>
                      <w:r>
                        <w:rPr>
                          <w:color w:val="000000"/>
                          <w:szCs w:val="22"/>
                        </w:rPr>
                        <w:t>Jis skirtas nematerialiojo,</w:t>
                      </w:r>
                      <w:r>
                        <w:rPr>
                          <w:b/>
                          <w:bCs/>
                          <w:color w:val="000000"/>
                          <w:szCs w:val="22"/>
                        </w:rPr>
                        <w:t xml:space="preserve"> </w:t>
                      </w:r>
                      <w:r>
                        <w:rPr>
                          <w:color w:val="000000"/>
                          <w:szCs w:val="22"/>
                        </w:rPr>
                        <w:t>materialiojo ir finansinio turto apskaitai pagal kiekvieną turto objektą.</w:t>
                      </w:r>
                    </w:p>
                  </w:sdtContent>
                </w:sdt>
                <w:sdt>
                  <w:sdtPr>
                    <w:alias w:val="35 p."/>
                    <w:tag w:val="part_2daeb60952a948e285fbc49e81d96cd7"/>
                    <w:lock w:val="sdtLocked"/>
                    <w:richText/>
                  </w:sdtPr>
                  <w:sdtContent>
                    <w:p>
                      <w:pPr>
                        <w:ind w:firstLine="709"/>
                        <w:jc w:val="both"/>
                        <w:rPr>
                          <w:color w:val="000000"/>
                        </w:rPr>
                      </w:pPr>
                      <w:sdt>
                        <w:sdtPr>
                          <w:alias w:val="Numeris"/>
                          <w:tag w:val="nr_2daeb60952a948e285fbc49e81d96cd7"/>
                          <w:lock w:val="sdtLocked"/>
                          <w:richText/>
                        </w:sdtPr>
                        <w:sdtContent>
                          <w:r>
                            <w:rPr>
                              <w:color w:val="000000"/>
                              <w:szCs w:val="22"/>
                            </w:rPr>
                            <w:t>35</w:t>
                          </w:r>
                        </w:sdtContent>
                      </w:sdt>
                      <w:r>
                        <w:rPr>
                          <w:color w:val="000000"/>
                          <w:szCs w:val="22"/>
                        </w:rPr>
                        <w:t>. Ilgalaikis materialusis turtas – materialų pavidalą turintis turtas, kuris teikia ūkiui naudos ilgiau nei vienerius metus, pvz., žemė, pastatai, transporto priemonės, įrengimai ir pan.</w:t>
                      </w:r>
                    </w:p>
                  </w:sdtContent>
                </w:sdt>
                <w:sdt>
                  <w:sdtPr>
                    <w:alias w:val="36 p."/>
                    <w:tag w:val="part_186edd4dc06841128d2a144586845e6c"/>
                    <w:lock w:val="sdtLocked"/>
                    <w:richText/>
                  </w:sdtPr>
                  <w:sdtContent>
                    <w:p>
                      <w:pPr>
                        <w:ind w:firstLine="709"/>
                        <w:jc w:val="both"/>
                        <w:rPr>
                          <w:color w:val="000000"/>
                        </w:rPr>
                      </w:pPr>
                      <w:sdt>
                        <w:sdtPr>
                          <w:alias w:val="Numeris"/>
                          <w:tag w:val="nr_186edd4dc06841128d2a144586845e6c"/>
                          <w:lock w:val="sdtLocked"/>
                          <w:richText/>
                        </w:sdtPr>
                        <w:sdtContent>
                          <w:r>
                            <w:rPr>
                              <w:color w:val="000000"/>
                              <w:szCs w:val="22"/>
                            </w:rPr>
                            <w:t>36</w:t>
                          </w:r>
                        </w:sdtContent>
                      </w:sdt>
                      <w:r>
                        <w:rPr>
                          <w:color w:val="000000"/>
                          <w:szCs w:val="22"/>
                        </w:rPr>
                        <w:t>. Ilgalaikis nematerialusis turtas – materialaus pavidalo neturintis ilgiau nei vienerius metus naudojamas turtas. Tokį turtą sudaro verslo liudijimai, licencijos, kompiuterinės programos, teisės naudotis mokslinių tyrimų rezultatais.</w:t>
                      </w:r>
                    </w:p>
                  </w:sdtContent>
                </w:sdt>
                <w:sdt>
                  <w:sdtPr>
                    <w:alias w:val="37 p."/>
                    <w:tag w:val="part_5442e4ac56e847c1ad34fffb448a2be4"/>
                    <w:lock w:val="sdtLocked"/>
                    <w:richText/>
                  </w:sdtPr>
                  <w:sdtContent>
                    <w:p>
                      <w:pPr>
                        <w:ind w:firstLine="709"/>
                        <w:jc w:val="both"/>
                        <w:rPr>
                          <w:color w:val="000000"/>
                        </w:rPr>
                      </w:pPr>
                      <w:sdt>
                        <w:sdtPr>
                          <w:alias w:val="Numeris"/>
                          <w:tag w:val="nr_5442e4ac56e847c1ad34fffb448a2be4"/>
                          <w:lock w:val="sdtLocked"/>
                          <w:richText/>
                        </w:sdtPr>
                        <w:sdtContent>
                          <w:r>
                            <w:rPr>
                              <w:color w:val="000000"/>
                              <w:szCs w:val="22"/>
                            </w:rPr>
                            <w:t>37</w:t>
                          </w:r>
                        </w:sdtContent>
                      </w:sdt>
                      <w:r>
                        <w:rPr>
                          <w:color w:val="000000"/>
                          <w:szCs w:val="22"/>
                        </w:rPr>
                        <w:t>. Ilgalaikis finansinis turtas – ilgesniam nei vienerių metų laikotarpiui ūkio įsigyti valstybės ir įmonių vertybiniai popieriai (akcijos, obligacijos, pajai) ir kitos ilgalaikės finansinės investicijos.</w:t>
                      </w:r>
                    </w:p>
                  </w:sdtContent>
                </w:sdt>
                <w:sdt>
                  <w:sdtPr>
                    <w:alias w:val="38 p."/>
                    <w:tag w:val="part_a9456e5b67fc45b8ba6bf8db4436e4eb"/>
                    <w:lock w:val="sdtLocked"/>
                    <w:richText/>
                  </w:sdtPr>
                  <w:sdtContent>
                    <w:p>
                      <w:pPr>
                        <w:ind w:firstLine="709"/>
                        <w:jc w:val="both"/>
                        <w:rPr>
                          <w:color w:val="000000"/>
                        </w:rPr>
                      </w:pPr>
                      <w:sdt>
                        <w:sdtPr>
                          <w:alias w:val="Numeris"/>
                          <w:tag w:val="nr_a9456e5b67fc45b8ba6bf8db4436e4eb"/>
                          <w:lock w:val="sdtLocked"/>
                          <w:richText/>
                        </w:sdtPr>
                        <w:sdtContent>
                          <w:r>
                            <w:rPr>
                              <w:color w:val="000000"/>
                              <w:szCs w:val="22"/>
                            </w:rPr>
                            <w:t>38</w:t>
                          </w:r>
                        </w:sdtContent>
                      </w:sdt>
                      <w:r>
                        <w:rPr>
                          <w:color w:val="000000"/>
                          <w:szCs w:val="22"/>
                        </w:rPr>
                        <w:t xml:space="preserve">. Pradedant pildyti </w:t>
                      </w:r>
                      <w:r>
                        <w:rPr>
                          <w:i/>
                          <w:iCs/>
                          <w:color w:val="000000"/>
                          <w:szCs w:val="22"/>
                        </w:rPr>
                        <w:t>Ilgalaikio turto žiniaraštį</w:t>
                      </w:r>
                      <w:r>
                        <w:rPr>
                          <w:color w:val="000000"/>
                          <w:szCs w:val="22"/>
                        </w:rPr>
                        <w:t>, pirmiausia atskirose eilutėse įrašomi metų pradžioje turimo turto objektai. Kiekvienam ilgalaikio materialiojo turto objektui turi būti suteiktas inventoriaus numeris, kuris įrašomas šalia pavadinimo. Surašius kiekvienos grupės turtą metų pradžioje, paliekamos kelios laisvos eilutės įrašyti per metus įsigytam turtui.</w:t>
                      </w:r>
                    </w:p>
                  </w:sdtContent>
                </w:sdt>
                <w:sdt>
                  <w:sdtPr>
                    <w:alias w:val="39 p."/>
                    <w:tag w:val="part_01f57ee4f474481ca2e2eed8829c001a"/>
                    <w:lock w:val="sdtLocked"/>
                    <w:richText/>
                  </w:sdtPr>
                  <w:sdtContent>
                    <w:p>
                      <w:pPr>
                        <w:ind w:firstLine="709"/>
                        <w:jc w:val="both"/>
                        <w:rPr>
                          <w:color w:val="000000"/>
                        </w:rPr>
                      </w:pPr>
                      <w:sdt>
                        <w:sdtPr>
                          <w:alias w:val="Numeris"/>
                          <w:tag w:val="nr_01f57ee4f474481ca2e2eed8829c001a"/>
                          <w:lock w:val="sdtLocked"/>
                          <w:richText/>
                        </w:sdtPr>
                        <w:sdtContent>
                          <w:r>
                            <w:rPr>
                              <w:color w:val="000000"/>
                              <w:szCs w:val="22"/>
                            </w:rPr>
                            <w:t>39</w:t>
                          </w:r>
                        </w:sdtContent>
                      </w:sdt>
                      <w:r>
                        <w:rPr>
                          <w:color w:val="000000"/>
                          <w:szCs w:val="22"/>
                        </w:rPr>
                        <w:t xml:space="preserve">. Atskiroje skiltyje įrašoma turto pagaminimo arba įsigijimo data. Ji gali nesutapti su naudojimo pradžios data, kurią irgi svarbu nurodyti, nes nenaudojamo turto nusidėvėjimas neskaičiuojamas. Kiekvieno turto objekto eilutėje nurodoma jo įsigijimo arba perkainotoji vertė metų pradžioje ir per ataskaitinius metus įsigyto turto vertė. Įsigijus (pasigaminus) ilgalaikį turtą jis registruojamas </w:t>
                      </w:r>
                      <w:r>
                        <w:rPr>
                          <w:i/>
                          <w:iCs/>
                          <w:color w:val="000000"/>
                          <w:szCs w:val="22"/>
                        </w:rPr>
                        <w:t>Ilgalaikio turto žiniaraštyje</w:t>
                      </w:r>
                      <w:r>
                        <w:rPr>
                          <w:color w:val="000000"/>
                          <w:szCs w:val="22"/>
                        </w:rPr>
                        <w:t xml:space="preserve"> faktine jo įsigijimo savikaina arba jo pagaminimui padarytų išlaidų suma.</w:t>
                      </w:r>
                    </w:p>
                  </w:sdtContent>
                </w:sdt>
                <w:sdt>
                  <w:sdtPr>
                    <w:alias w:val="40 p."/>
                    <w:tag w:val="part_99fcc1e04e6f4863ad09fc8649c8c170"/>
                    <w:lock w:val="sdtLocked"/>
                    <w:richText/>
                  </w:sdtPr>
                  <w:sdtContent>
                    <w:p>
                      <w:pPr>
                        <w:overflowPunct w:val="0"/>
                        <w:ind w:firstLine="709"/>
                        <w:jc w:val="both"/>
                        <w:textAlignment w:val="baseline"/>
                        <w:rPr>
                          <w:color w:val="000000"/>
                        </w:rPr>
                      </w:pPr>
                      <w:sdt>
                        <w:sdtPr>
                          <w:alias w:val="Numeris"/>
                          <w:tag w:val="nr_99fcc1e04e6f4863ad09fc8649c8c170"/>
                          <w:lock w:val="sdtLocked"/>
                          <w:richText/>
                        </w:sdtPr>
                        <w:sdtContent>
                          <w:r>
                            <w:rPr>
                              <w:szCs w:val="18"/>
                            </w:rPr>
                            <w:t>40</w:t>
                          </w:r>
                        </w:sdtContent>
                      </w:sdt>
                      <w:r>
                        <w:rPr>
                          <w:szCs w:val="18"/>
                        </w:rPr>
                        <w:t>. Ilgalaikiam materialiajam turtui skaičiuojamas nusidėvėjimas, o ilgalaikiam nematerialiajam turtui – amortizacija. Nusidėvėjimo sumai per metus apskaičiuoti reikia nustatyti objekto likvidacinę vertę, tai yra atsargų ir medžiagų, kurias numatoma gauti likvidavus turtą, vertę.</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ba5c0506f11e4a698d921e3e46801">
                        <w:r w:rsidRPr="00532B9F">
                          <w:rPr>
                            <w:rFonts w:ascii="Times New Roman" w:eastAsia="MS Mincho" w:hAnsi="Times New Roman"/>
                            <w:sz w:val="20"/>
                            <w:i/>
                            <w:iCs/>
                            <w:color w:val="0000FF" w:themeColor="hyperlink"/>
                            <w:u w:val="single"/>
                          </w:rPr>
                          <w:t>3D-725</w:t>
                        </w:r>
                      </w:fldSimple>
                      <w:r>
                        <w:rPr>
                          <w:rFonts w:ascii="Times New Roman" w:eastAsia="MS Mincho" w:hAnsi="Times New Roman"/>
                          <w:sz w:val="20"/>
                          <w:i/>
                          <w:iCs/>
                        </w:rPr>
                        <w:t>,
2014-10-10,
paskelbta TAR 2014-10-10, i. k. 2014-13951            </w:t>
                      </w:r>
                    </w:p>
                    <w:p/>
                  </w:sdtContent>
                </w:sdt>
                <w:sdt>
                  <w:sdtPr>
                    <w:alias w:val="41 p."/>
                    <w:tag w:val="part_6dbafee40a6d45808c65a12063e9f6c1"/>
                    <w:lock w:val="sdtLocked"/>
                    <w:richText/>
                  </w:sdtPr>
                  <w:sdtContent>
                    <w:p>
                      <w:pPr>
                        <w:ind w:firstLine="709"/>
                        <w:jc w:val="both"/>
                        <w:rPr>
                          <w:color w:val="000000"/>
                        </w:rPr>
                      </w:pPr>
                      <w:sdt>
                        <w:sdtPr>
                          <w:alias w:val="Numeris"/>
                          <w:tag w:val="nr_6dbafee40a6d45808c65a12063e9f6c1"/>
                          <w:lock w:val="sdtLocked"/>
                          <w:richText/>
                        </w:sdtPr>
                        <w:sdtContent>
                          <w:r>
                            <w:rPr>
                              <w:color w:val="000000"/>
                              <w:szCs w:val="22"/>
                            </w:rPr>
                            <w:t>41</w:t>
                          </w:r>
                        </w:sdtContent>
                      </w:sdt>
                      <w:r>
                        <w:rPr>
                          <w:color w:val="000000"/>
                          <w:szCs w:val="22"/>
                        </w:rPr>
                        <w:t xml:space="preserve">. Ūkininkams rekomenduojamas tiesinis nusidėvėjimo (amortizacijos) skaičiavimo metodas. Jo taikymas pagrįstas prielaida, kad turtas dėvisi tolygiai per visą jo naudojimo laiką. Numatomas naudojimo laikas (metai) įrašomas atskiroje </w:t>
                      </w:r>
                      <w:r>
                        <w:rPr>
                          <w:i/>
                          <w:iCs/>
                          <w:color w:val="000000"/>
                          <w:szCs w:val="22"/>
                        </w:rPr>
                        <w:t>Ilgalaikio turto žiniaraščio</w:t>
                      </w:r>
                      <w:r>
                        <w:rPr>
                          <w:color w:val="000000"/>
                          <w:szCs w:val="22"/>
                        </w:rPr>
                        <w:t xml:space="preserve"> skiltyje. Nuo to priklauso metinė nusidėvėjimo suma. Norint apskaičiuoti turto nusidėvėjimo sumą per metus, iš jo įsigijimo (perkainotos) vertės atimama likvidacinė vertė ir gauta suma dalijama iš numatomų naudoti metų skaičiaus.</w:t>
                      </w:r>
                    </w:p>
                  </w:sdtContent>
                </w:sdt>
                <w:sdt>
                  <w:sdtPr>
                    <w:alias w:val="42 p."/>
                    <w:tag w:val="part_c8d1f82442f241db8f321235c1f8c80f"/>
                    <w:lock w:val="sdtLocked"/>
                    <w:richText/>
                  </w:sdtPr>
                  <w:sdtContent>
                    <w:p>
                      <w:pPr>
                        <w:ind w:firstLine="709"/>
                        <w:jc w:val="both"/>
                        <w:rPr>
                          <w:color w:val="000000"/>
                        </w:rPr>
                      </w:pPr>
                      <w:sdt>
                        <w:sdtPr>
                          <w:alias w:val="Numeris"/>
                          <w:tag w:val="nr_c8d1f82442f241db8f321235c1f8c80f"/>
                          <w:lock w:val="sdtLocked"/>
                          <w:richText/>
                        </w:sdtPr>
                        <w:sdtContent>
                          <w:r>
                            <w:rPr>
                              <w:color w:val="000000"/>
                              <w:szCs w:val="22"/>
                            </w:rPr>
                            <w:t>42</w:t>
                          </w:r>
                        </w:sdtContent>
                      </w:sdt>
                      <w:r>
                        <w:rPr>
                          <w:color w:val="000000"/>
                          <w:szCs w:val="22"/>
                        </w:rPr>
                        <w:t>. Ataskaitiniais metais įsigyto turto nusidėvėjimo (amortizacijos) suma pradedama skaičiuoti nuo mėnesio, einančio po to, kai turtas pradėtas naudoti. Pirmaisiais naudojimo metais nusidėvėjimo suma sužinoma, apskaičiavus nusidėvėjimą per mėnesį ir gautą sumą padauginus iš turto naudojimo tais metais mėnesių.</w:t>
                      </w:r>
                    </w:p>
                  </w:sdtContent>
                </w:sdt>
                <w:sdt>
                  <w:sdtPr>
                    <w:alias w:val="43 p."/>
                    <w:tag w:val="part_9bd4f50b5c6746be9d269b6bd72f37b4"/>
                    <w:lock w:val="sdtLocked"/>
                    <w:richText/>
                  </w:sdtPr>
                  <w:sdtContent>
                    <w:p>
                      <w:pPr>
                        <w:ind w:firstLine="709"/>
                        <w:jc w:val="both"/>
                        <w:rPr>
                          <w:color w:val="000000"/>
                        </w:rPr>
                      </w:pPr>
                      <w:sdt>
                        <w:sdtPr>
                          <w:alias w:val="Numeris"/>
                          <w:tag w:val="nr_9bd4f50b5c6746be9d269b6bd72f37b4"/>
                          <w:lock w:val="sdtLocked"/>
                          <w:richText/>
                        </w:sdtPr>
                        <w:sdtContent>
                          <w:r>
                            <w:rPr>
                              <w:color w:val="000000"/>
                              <w:szCs w:val="22"/>
                            </w:rPr>
                            <w:t>43</w:t>
                          </w:r>
                        </w:sdtContent>
                      </w:sdt>
                      <w:r>
                        <w:rPr>
                          <w:color w:val="000000"/>
                          <w:szCs w:val="22"/>
                        </w:rPr>
                        <w:t xml:space="preserve">. Jei turtas ataskaitiniais metais buvo nurašytas, atskiroje </w:t>
                      </w:r>
                      <w:r>
                        <w:rPr>
                          <w:i/>
                          <w:iCs/>
                          <w:color w:val="000000"/>
                          <w:szCs w:val="22"/>
                        </w:rPr>
                        <w:t>Ilgalaikio turto žiniarašč</w:t>
                      </w:r>
                      <w:r>
                        <w:rPr>
                          <w:color w:val="000000"/>
                          <w:szCs w:val="22"/>
                        </w:rPr>
                        <w:t>io</w:t>
                      </w:r>
                      <w:r>
                        <w:rPr>
                          <w:i/>
                          <w:iCs/>
                          <w:color w:val="000000"/>
                          <w:szCs w:val="22"/>
                        </w:rPr>
                        <w:t xml:space="preserve"> </w:t>
                      </w:r>
                      <w:r>
                        <w:rPr>
                          <w:color w:val="000000"/>
                          <w:szCs w:val="22"/>
                        </w:rPr>
                        <w:t>skiltyje pažymima jo nurašymo data. Ilgalaikio turto nusidėvėjimas (amortizacija) nebeskaičiuojamas nuo kito mėnesio, einančio po to, kai turtas nurašytas arba tuomet, kai turtas tampa visiškai nudėvėtas.</w:t>
                      </w:r>
                    </w:p>
                  </w:sdtContent>
                </w:sdt>
                <w:sdt>
                  <w:sdtPr>
                    <w:alias w:val="44 p."/>
                    <w:tag w:val="part_9e373bb1150e44528c6574041b420e7b"/>
                    <w:lock w:val="sdtLocked"/>
                    <w:richText/>
                  </w:sdtPr>
                  <w:sdtContent>
                    <w:p>
                      <w:pPr>
                        <w:ind w:firstLine="709"/>
                        <w:jc w:val="both"/>
                        <w:rPr>
                          <w:color w:val="000000"/>
                        </w:rPr>
                      </w:pPr>
                      <w:sdt>
                        <w:sdtPr>
                          <w:alias w:val="Numeris"/>
                          <w:tag w:val="nr_9e373bb1150e44528c6574041b420e7b"/>
                          <w:lock w:val="sdtLocked"/>
                          <w:richText/>
                        </w:sdtPr>
                        <w:sdtContent>
                          <w:r>
                            <w:rPr>
                              <w:color w:val="000000"/>
                              <w:szCs w:val="22"/>
                            </w:rPr>
                            <w:t>44</w:t>
                          </w:r>
                        </w:sdtContent>
                      </w:sdt>
                      <w:r>
                        <w:rPr>
                          <w:color w:val="000000"/>
                          <w:szCs w:val="22"/>
                        </w:rPr>
                        <w:t>. Metų pabaigoje apskaičiuojama turimo turto likutinė vertė: iš įsigijimo (perkainotos) vertės atimama nusidėvėjimo (amortizacijos) suma metų pradžioje ir per metus apskaičiuota nusidėvėjimo (amortizacijos) suma. Jei ataskaitinių metų pabaigoje turtas buvo perkainotas arba buvo atlikta jo rekonstrukcija ar remontas, prie apskaičiuotos likutinės vertės pridedama dėl perkainojimo padidėjusi vertė (arba atimama sumažėjusi vertė) ir rekonstrukcijos ar remonto išlaidų suma.</w:t>
                      </w:r>
                    </w:p>
                  </w:sdtContent>
                </w:sdt>
                <w:sdt>
                  <w:sdtPr>
                    <w:alias w:val="45 p."/>
                    <w:tag w:val="part_27cebff1d74e4520aae3876b92719efb"/>
                    <w:lock w:val="sdtLocked"/>
                    <w:richText/>
                  </w:sdtPr>
                  <w:sdtContent>
                    <w:p>
                      <w:pPr>
                        <w:ind w:firstLine="709"/>
                        <w:jc w:val="both"/>
                        <w:rPr>
                          <w:color w:val="000000"/>
                        </w:rPr>
                      </w:pPr>
                      <w:sdt>
                        <w:sdtPr>
                          <w:alias w:val="Numeris"/>
                          <w:tag w:val="nr_27cebff1d74e4520aae3876b92719efb"/>
                          <w:lock w:val="sdtLocked"/>
                          <w:richText/>
                        </w:sdtPr>
                        <w:sdtContent>
                          <w:r>
                            <w:rPr>
                              <w:color w:val="000000"/>
                              <w:szCs w:val="22"/>
                            </w:rPr>
                            <w:t>45</w:t>
                          </w:r>
                        </w:sdtContent>
                      </w:sdt>
                      <w:r>
                        <w:rPr>
                          <w:color w:val="000000"/>
                          <w:szCs w:val="22"/>
                        </w:rPr>
                        <w:t xml:space="preserve">. Iš </w:t>
                      </w:r>
                      <w:r>
                        <w:rPr>
                          <w:i/>
                          <w:iCs/>
                          <w:color w:val="000000"/>
                          <w:szCs w:val="22"/>
                        </w:rPr>
                        <w:t xml:space="preserve">Ilgalaikio turto žiniaraščio </w:t>
                      </w:r>
                      <w:r>
                        <w:rPr>
                          <w:color w:val="000000"/>
                          <w:szCs w:val="22"/>
                        </w:rPr>
                        <w:t>duomenų apskaičiuojama ilgalaikio nematerialiojo, ilgalaikio materialiojo ir ilgalaikio finansinio turto ir viso ilgalaikio turto bendroji vertė, nusidėvėjimo suma metų pradžioje, per metus įsigyto, nurašyto turto vertė, apskaičiuoto nusidėvėjimo (amortizacijos) suma per metus, metų pabaigoje turimo turto įsigijimo (perkainota) ir likutinė vertė. Šie rodikliai naudojami balansui ataskaitinio laikotarpio pabaigoje sudaryti.</w:t>
                      </w:r>
                    </w:p>
                  </w:sdtContent>
                </w:sdt>
                <w:sdt>
                  <w:sdtPr>
                    <w:alias w:val="46 p."/>
                    <w:tag w:val="part_be4245f6d71b40098d8e863c0ffab381"/>
                    <w:lock w:val="sdtLocked"/>
                    <w:richText/>
                  </w:sdtPr>
                  <w:sdtContent>
                    <w:p>
                      <w:pPr>
                        <w:ind w:firstLine="709"/>
                        <w:jc w:val="both"/>
                        <w:rPr>
                          <w:color w:val="000000"/>
                        </w:rPr>
                      </w:pPr>
                      <w:sdt>
                        <w:sdtPr>
                          <w:alias w:val="Numeris"/>
                          <w:tag w:val="nr_be4245f6d71b40098d8e863c0ffab381"/>
                          <w:lock w:val="sdtLocked"/>
                          <w:richText/>
                        </w:sdtPr>
                        <w:sdtContent>
                          <w:r>
                            <w:rPr>
                              <w:color w:val="000000"/>
                              <w:szCs w:val="22"/>
                            </w:rPr>
                            <w:t>46</w:t>
                          </w:r>
                        </w:sdtContent>
                      </w:sdt>
                      <w:r>
                        <w:rPr>
                          <w:color w:val="000000"/>
                          <w:szCs w:val="22"/>
                        </w:rPr>
                        <w:t xml:space="preserve">. Europos Sąjungos struktūrinių fondų ir kitų dotacijų (subsidijų) lėšomis įsigyto ilgalaikio turto nusidėvėjimo suma mažinamos ilgalaikio turto nusidėvėjimo sąnaudos, todėl </w:t>
                      </w:r>
                      <w:r>
                        <w:rPr>
                          <w:i/>
                          <w:iCs/>
                          <w:color w:val="000000"/>
                          <w:szCs w:val="22"/>
                        </w:rPr>
                        <w:t>Ilgalaikio turto žiniaraštyje</w:t>
                      </w:r>
                      <w:r>
                        <w:rPr>
                          <w:color w:val="000000"/>
                          <w:szCs w:val="22"/>
                        </w:rPr>
                        <w:t xml:space="preserve"> reikia apskaičiuoti subsidijuotosios ilgalaikio turto dalies nusidėvėjimą bei ilgalaikio turto nusidėvėjimo sumą be subsidijuotosios ilgalaikio turto dalies nusidėvėjimo. Pastaroji suma bus naudojama, skaičiuojant ūkininko ūkio finansinį rezultatą – pelną arba nuostolius.</w:t>
                      </w:r>
                    </w:p>
                    <w:p>
                      <w:pPr>
                        <w:jc w:val="center"/>
                        <w:rPr>
                          <w:b/>
                          <w:bCs/>
                          <w:color w:val="000000"/>
                        </w:rPr>
                      </w:pPr>
                    </w:p>
                  </w:sdtContent>
                </w:sdt>
              </w:sdtContent>
            </w:sdt>
            <w:sdt>
              <w:sdtPr>
                <w:alias w:val="skirsnis"/>
                <w:tag w:val="part_7e127f887b9a46ef9607782b6b4aa395"/>
                <w:lock w:val="sdtLocked"/>
                <w:richText/>
              </w:sdtPr>
              <w:sdtContent>
                <w:p>
                  <w:pPr>
                    <w:jc w:val="center"/>
                    <w:rPr>
                      <w:b/>
                      <w:bCs/>
                      <w:color w:val="000000"/>
                    </w:rPr>
                  </w:pPr>
                  <w:sdt>
                    <w:sdtPr>
                      <w:alias w:val="Pavadinimas"/>
                      <w:tag w:val="title_7e127f887b9a46ef9607782b6b4aa395"/>
                      <w:lock w:val="sdtLocked"/>
                      <w:richText/>
                    </w:sdtPr>
                    <w:sdtContent>
                      <w:r>
                        <w:rPr>
                          <w:b/>
                          <w:bCs/>
                          <w:color w:val="000000"/>
                          <w:szCs w:val="22"/>
                        </w:rPr>
                        <w:t>Trumpalaikio turto apskaita</w:t>
                      </w:r>
                    </w:sdtContent>
                  </w:sdt>
                </w:p>
                <w:p>
                  <w:pPr>
                    <w:jc w:val="center"/>
                    <w:rPr>
                      <w:b/>
                      <w:bCs/>
                      <w:color w:val="000000"/>
                    </w:rPr>
                  </w:pPr>
                </w:p>
                <w:sdt>
                  <w:sdtPr>
                    <w:alias w:val="47 p."/>
                    <w:tag w:val="part_5473853bb29543d196d340b06717b481"/>
                    <w:lock w:val="sdtLocked"/>
                    <w:richText/>
                  </w:sdtPr>
                  <w:sdtContent>
                    <w:p>
                      <w:pPr>
                        <w:ind w:firstLine="709"/>
                        <w:jc w:val="both"/>
                        <w:rPr>
                          <w:color w:val="000000"/>
                        </w:rPr>
                      </w:pPr>
                      <w:sdt>
                        <w:sdtPr>
                          <w:alias w:val="Numeris"/>
                          <w:tag w:val="nr_5473853bb29543d196d340b06717b481"/>
                          <w:lock w:val="sdtLocked"/>
                          <w:richText/>
                        </w:sdtPr>
                        <w:sdtContent>
                          <w:r>
                            <w:rPr>
                              <w:color w:val="000000"/>
                              <w:szCs w:val="22"/>
                            </w:rPr>
                            <w:t>47</w:t>
                          </w:r>
                        </w:sdtContent>
                      </w:sdt>
                      <w:r>
                        <w:rPr>
                          <w:color w:val="000000"/>
                          <w:szCs w:val="22"/>
                        </w:rPr>
                        <w:t>. Atsargos – tai trumpalaikis ūkininko ūkio turtas, įgytas tiesiogiai produkcijos gamybai (sėklos, trąšos, chemikalai, kuras ir t. t.), taip pat ūkyje pagaminta (grūdai, šakniavaisiai, kiaušiniai, pienas ir kt.) bei nebaigta gaminti (rudeninis arimas) produkcija. Informaciją apie turimas atsargas ūkininkas sužinos atlikus inventorizaciją.</w:t>
                      </w:r>
                    </w:p>
                  </w:sdtContent>
                </w:sdt>
                <w:sdt>
                  <w:sdtPr>
                    <w:alias w:val="48 p."/>
                    <w:tag w:val="part_4d100a46d308488fb126210d55ebf5e2"/>
                    <w:lock w:val="sdtLocked"/>
                    <w:richText/>
                  </w:sdtPr>
                  <w:sdtContent>
                    <w:p>
                      <w:pPr>
                        <w:ind w:firstLine="709"/>
                        <w:jc w:val="both"/>
                        <w:rPr>
                          <w:color w:val="000000"/>
                        </w:rPr>
                      </w:pPr>
                      <w:sdt>
                        <w:sdtPr>
                          <w:alias w:val="Numeris"/>
                          <w:tag w:val="nr_4d100a46d308488fb126210d55ebf5e2"/>
                          <w:lock w:val="sdtLocked"/>
                          <w:richText/>
                        </w:sdtPr>
                        <w:sdtContent>
                          <w:r>
                            <w:rPr>
                              <w:color w:val="000000"/>
                              <w:szCs w:val="22"/>
                            </w:rPr>
                            <w:t>48</w:t>
                          </w:r>
                        </w:sdtContent>
                      </w:sdt>
                      <w:r>
                        <w:rPr>
                          <w:color w:val="000000"/>
                          <w:szCs w:val="22"/>
                        </w:rPr>
                        <w:t xml:space="preserve">. Medžiagos ir produkcija ūkininko ūkyje gali būti apskaitomi taikant nuolat apskaitomų arba periodiškai apskaitomų atsargų būdą. Jų apskaitai rekomenduojamas </w:t>
                      </w:r>
                      <w:r>
                        <w:rPr>
                          <w:i/>
                          <w:iCs/>
                          <w:color w:val="000000"/>
                          <w:szCs w:val="22"/>
                        </w:rPr>
                        <w:t xml:space="preserve">Medžiagų ir produkcijos žiniaraštis </w:t>
                      </w:r>
                      <w:r>
                        <w:rPr>
                          <w:color w:val="000000"/>
                          <w:szCs w:val="22"/>
                        </w:rPr>
                        <w:t>(6 priedas), kuriame registruojamos visos medžiagų ir produkcijos gavimo ir išleidimo operacijos, jas sugrupuojant pagal gavimo ir išleidimo kryptis.</w:t>
                      </w:r>
                    </w:p>
                  </w:sdtContent>
                </w:sdt>
                <w:sdt>
                  <w:sdtPr>
                    <w:alias w:val="49 p."/>
                    <w:tag w:val="part_14a699dd144e4e7d9190c9f4a0cffaaf"/>
                    <w:lock w:val="sdtLocked"/>
                    <w:richText/>
                  </w:sdtPr>
                  <w:sdtContent>
                    <w:p>
                      <w:pPr>
                        <w:ind w:firstLine="709"/>
                        <w:jc w:val="both"/>
                        <w:rPr>
                          <w:color w:val="000000"/>
                        </w:rPr>
                      </w:pPr>
                      <w:sdt>
                        <w:sdtPr>
                          <w:alias w:val="Numeris"/>
                          <w:tag w:val="nr_14a699dd144e4e7d9190c9f4a0cffaaf"/>
                          <w:lock w:val="sdtLocked"/>
                          <w:richText/>
                        </w:sdtPr>
                        <w:sdtContent>
                          <w:r>
                            <w:rPr>
                              <w:color w:val="000000"/>
                              <w:szCs w:val="22"/>
                            </w:rPr>
                            <w:t>49</w:t>
                          </w:r>
                        </w:sdtContent>
                      </w:sdt>
                      <w:r>
                        <w:rPr>
                          <w:color w:val="000000"/>
                          <w:szCs w:val="22"/>
                        </w:rPr>
                        <w:t>. Ūkininkams, apskaitą tvarkantiems supaprastintąja apskaitos sistema ir vadovaujantis šiomis rekomendacijomis, rekomenduojamas periodiškai apskaitomų atsargų būdas, kuomet medžiagų ir produkcijos likučiai finansinių metų pabaigoje nustatomi inventorizavimo būdu. Pirktų medžiagų likučiai įkainojami įsigijimo savikaina arba grynąja galimo realizavimo verte, atsižvelgiant į tai, kuri iš jų mažesnė. Ūkininko ūkyje pagamintos produkcijos likučiai įkainojama grynąja galimo realizavimo verte.</w:t>
                      </w:r>
                    </w:p>
                  </w:sdtContent>
                </w:sdt>
                <w:sdt>
                  <w:sdtPr>
                    <w:alias w:val="50 p."/>
                    <w:tag w:val="part_3e165618d17149769c8acee52552a7c6"/>
                    <w:lock w:val="sdtLocked"/>
                    <w:richText/>
                  </w:sdtPr>
                  <w:sdtContent>
                    <w:p>
                      <w:pPr>
                        <w:ind w:firstLine="709"/>
                        <w:jc w:val="both"/>
                        <w:rPr>
                          <w:color w:val="000000"/>
                        </w:rPr>
                      </w:pPr>
                      <w:sdt>
                        <w:sdtPr>
                          <w:alias w:val="Numeris"/>
                          <w:tag w:val="nr_3e165618d17149769c8acee52552a7c6"/>
                          <w:lock w:val="sdtLocked"/>
                          <w:richText/>
                        </w:sdtPr>
                        <w:sdtContent>
                          <w:r>
                            <w:rPr>
                              <w:color w:val="000000"/>
                              <w:szCs w:val="22"/>
                            </w:rPr>
                            <w:t>50</w:t>
                          </w:r>
                        </w:sdtContent>
                      </w:sdt>
                      <w:r>
                        <w:rPr>
                          <w:color w:val="000000"/>
                          <w:szCs w:val="22"/>
                        </w:rPr>
                        <w:t xml:space="preserve">. Atsargų likučio faktinę įsigijimo vertę ūkininkams rekomenduojama nustatyti </w:t>
                      </w:r>
                      <w:r>
                        <w:rPr>
                          <w:b/>
                          <w:bCs/>
                          <w:color w:val="000000"/>
                          <w:szCs w:val="22"/>
                        </w:rPr>
                        <w:t>FIFO</w:t>
                      </w:r>
                      <w:r>
                        <w:rPr>
                          <w:color w:val="000000"/>
                          <w:szCs w:val="22"/>
                        </w:rPr>
                        <w:t xml:space="preserve"> būdu. Taikant šį būdą daroma prielaida, kad pirmiausia sunaudojamos anksčiausiai įsigytos atsargos, todėl anksčiausiai sunaudotų atsargų įkainojimas turi atitikti anksčiausiai įsigytų atsargų įkainojimą.</w:t>
                      </w:r>
                    </w:p>
                  </w:sdtContent>
                </w:sdt>
                <w:sdt>
                  <w:sdtPr>
                    <w:alias w:val="51 p."/>
                    <w:tag w:val="part_b5cf7d0f99074ca98e06d68bdd3356b3"/>
                    <w:lock w:val="sdtLocked"/>
                    <w:richText/>
                  </w:sdtPr>
                  <w:sdtContent>
                    <w:p>
                      <w:pPr>
                        <w:ind w:firstLine="709"/>
                        <w:jc w:val="both"/>
                        <w:rPr>
                          <w:color w:val="000000"/>
                        </w:rPr>
                      </w:pPr>
                      <w:sdt>
                        <w:sdtPr>
                          <w:alias w:val="Numeris"/>
                          <w:tag w:val="nr_b5cf7d0f99074ca98e06d68bdd3356b3"/>
                          <w:lock w:val="sdtLocked"/>
                          <w:richText/>
                        </w:sdtPr>
                        <w:sdtContent>
                          <w:r>
                            <w:rPr>
                              <w:color w:val="000000"/>
                              <w:szCs w:val="22"/>
                            </w:rPr>
                            <w:t>51</w:t>
                          </w:r>
                        </w:sdtContent>
                      </w:sdt>
                      <w:r>
                        <w:rPr>
                          <w:color w:val="000000"/>
                          <w:szCs w:val="22"/>
                        </w:rPr>
                        <w:t>. Ūkininko asmeninėms reikmėms arba ūkio vidaus reikmėms sunaudota produkcija įkainojama tikrąja verte atėmus pardavimo vietos išlaidas.</w:t>
                      </w:r>
                    </w:p>
                    <w:p>
                      <w:pPr>
                        <w:jc w:val="center"/>
                        <w:rPr>
                          <w:b/>
                          <w:bCs/>
                          <w:color w:val="000000"/>
                        </w:rPr>
                      </w:pPr>
                    </w:p>
                  </w:sdtContent>
                </w:sdt>
              </w:sdtContent>
            </w:sdt>
            <w:sdt>
              <w:sdtPr>
                <w:alias w:val="skirsnis"/>
                <w:tag w:val="part_ec1ab8a6a91e4ac696d5c8bdc95d0ec8"/>
                <w:lock w:val="sdtLocked"/>
                <w:richText/>
              </w:sdtPr>
              <w:sdtContent>
                <w:p>
                  <w:pPr>
                    <w:jc w:val="center"/>
                    <w:rPr>
                      <w:b/>
                      <w:bCs/>
                      <w:color w:val="000000"/>
                    </w:rPr>
                  </w:pPr>
                  <w:sdt>
                    <w:sdtPr>
                      <w:alias w:val="Pavadinimas"/>
                      <w:tag w:val="title_ec1ab8a6a91e4ac696d5c8bdc95d0ec8"/>
                      <w:lock w:val="sdtLocked"/>
                      <w:richText/>
                    </w:sdtPr>
                    <w:sdtContent>
                      <w:r>
                        <w:rPr>
                          <w:b/>
                          <w:bCs/>
                          <w:color w:val="000000"/>
                          <w:szCs w:val="22"/>
                        </w:rPr>
                        <w:t>Gyvulių apskaita</w:t>
                      </w:r>
                    </w:sdtContent>
                  </w:sdt>
                </w:p>
                <w:p>
                  <w:pPr>
                    <w:jc w:val="center"/>
                    <w:rPr>
                      <w:b/>
                      <w:bCs/>
                      <w:color w:val="000000"/>
                    </w:rPr>
                  </w:pPr>
                </w:p>
                <w:sdt>
                  <w:sdtPr>
                    <w:alias w:val="52 p."/>
                    <w:tag w:val="part_db335614266c4317ad21aa2ba7d6e358"/>
                    <w:lock w:val="sdtLocked"/>
                    <w:richText/>
                  </w:sdtPr>
                  <w:sdtContent>
                    <w:p>
                      <w:pPr>
                        <w:ind w:firstLine="709"/>
                        <w:jc w:val="both"/>
                        <w:rPr>
                          <w:color w:val="000000"/>
                        </w:rPr>
                      </w:pPr>
                      <w:sdt>
                        <w:sdtPr>
                          <w:alias w:val="Numeris"/>
                          <w:tag w:val="nr_db335614266c4317ad21aa2ba7d6e358"/>
                          <w:lock w:val="sdtLocked"/>
                          <w:richText/>
                        </w:sdtPr>
                        <w:sdtContent>
                          <w:r>
                            <w:rPr>
                              <w:color w:val="000000"/>
                              <w:szCs w:val="22"/>
                            </w:rPr>
                            <w:t>52</w:t>
                          </w:r>
                        </w:sdtContent>
                      </w:sdt>
                      <w:r>
                        <w:rPr>
                          <w:color w:val="000000"/>
                          <w:szCs w:val="22"/>
                        </w:rPr>
                        <w:t xml:space="preserve">. Gyvulių apskaitai pagal gyvulių amžiaus ir lyties grupes tvarkyti rekomenduojamas </w:t>
                      </w:r>
                      <w:r>
                        <w:rPr>
                          <w:i/>
                          <w:iCs/>
                          <w:color w:val="000000"/>
                          <w:szCs w:val="22"/>
                        </w:rPr>
                        <w:t>Gyvulių žiniaraštis</w:t>
                      </w:r>
                      <w:r>
                        <w:rPr>
                          <w:b/>
                          <w:bCs/>
                          <w:i/>
                          <w:iCs/>
                          <w:color w:val="000000"/>
                          <w:szCs w:val="22"/>
                        </w:rPr>
                        <w:t xml:space="preserve"> </w:t>
                      </w:r>
                      <w:r>
                        <w:rPr>
                          <w:color w:val="000000"/>
                          <w:szCs w:val="22"/>
                        </w:rPr>
                        <w:t xml:space="preserve">(7 priedas). Likutis laikotarpio pradžioje šiame žiniaraštyje įrašomas iš praeito ataskaitinio laikotarpio </w:t>
                      </w:r>
                      <w:r>
                        <w:rPr>
                          <w:i/>
                          <w:iCs/>
                          <w:color w:val="000000"/>
                          <w:szCs w:val="22"/>
                        </w:rPr>
                        <w:t>Gyvulių žiniaraščio</w:t>
                      </w:r>
                      <w:r>
                        <w:rPr>
                          <w:color w:val="000000"/>
                          <w:szCs w:val="22"/>
                        </w:rPr>
                        <w:t xml:space="preserve"> likučio laikotarpio pabaigoje eilutės.</w:t>
                      </w:r>
                    </w:p>
                  </w:sdtContent>
                </w:sdt>
                <w:sdt>
                  <w:sdtPr>
                    <w:alias w:val="53 p."/>
                    <w:tag w:val="part_d0f8609f579f49f883fe49ea8d5bcaf3"/>
                    <w:lock w:val="sdtLocked"/>
                    <w:richText/>
                  </w:sdtPr>
                  <w:sdtContent>
                    <w:p>
                      <w:pPr>
                        <w:ind w:firstLine="709"/>
                        <w:jc w:val="both"/>
                        <w:rPr>
                          <w:color w:val="000000"/>
                        </w:rPr>
                      </w:pPr>
                      <w:sdt>
                        <w:sdtPr>
                          <w:alias w:val="Numeris"/>
                          <w:tag w:val="nr_d0f8609f579f49f883fe49ea8d5bcaf3"/>
                          <w:lock w:val="sdtLocked"/>
                          <w:richText/>
                        </w:sdtPr>
                        <w:sdtContent>
                          <w:r>
                            <w:rPr>
                              <w:color w:val="000000"/>
                              <w:szCs w:val="22"/>
                            </w:rPr>
                            <w:t>53</w:t>
                          </w:r>
                        </w:sdtContent>
                      </w:sdt>
                      <w:r>
                        <w:rPr>
                          <w:color w:val="000000"/>
                          <w:szCs w:val="22"/>
                        </w:rPr>
                        <w:t xml:space="preserve">. Tvarkant apskaitą supaprastintąja sistema, rekomenduojama gyvulius apskaityti taikant periodiškai apskaitomų atsargų būdą, kuomet </w:t>
                      </w:r>
                      <w:r>
                        <w:rPr>
                          <w:i/>
                          <w:iCs/>
                          <w:color w:val="000000"/>
                          <w:szCs w:val="22"/>
                        </w:rPr>
                        <w:t xml:space="preserve">Gyvulių žiniaraštyje </w:t>
                      </w:r>
                      <w:r>
                        <w:rPr>
                          <w:color w:val="000000"/>
                          <w:szCs w:val="22"/>
                        </w:rPr>
                        <w:t>užregistruojami likučiai laikotarpio pradžioje. Per ataskaitinį laikotarpį žiniaraštyje kaupiama informacija natūriniais matais apie gyvulių suvartojimą asmeninėms ir ūkio reikmėms. Ataskaitinio laikotarpio pabaigoje šie duomenys įkainojami tikrąja verte atėmus pardavimo vietos išlaidas. Taikant šį būdą, kiekvienos gyvulių grupės likutis ataskaitinio laikotarpio pabaigoje nustatomas inventorizavimo būdu ir įkainojamas tikrąja verte, atėmus pardavimo vietos išlaidas.</w:t>
                      </w:r>
                    </w:p>
                  </w:sdtContent>
                </w:sdt>
              </w:sdtContent>
            </w:sdt>
            <w:sdt>
              <w:sdtPr>
                <w:alias w:val="skirsnis"/>
                <w:tag w:val="part_e4f61e8d0fb649fa8534a509c1bc7234"/>
                <w:lock w:val="sdtLocked"/>
                <w:richText/>
              </w:sdtPr>
              <w:sdtContent>
                <w:p>
                  <w:pPr>
                    <w:jc w:val="center"/>
                    <w:rPr>
                      <w:b/>
                      <w:bCs/>
                      <w:color w:val="000000"/>
                    </w:rPr>
                  </w:pPr>
                  <w:sdt>
                    <w:sdtPr>
                      <w:alias w:val="Pavadinimas"/>
                      <w:tag w:val="title_e4f61e8d0fb649fa8534a509c1bc7234"/>
                      <w:lock w:val="sdtLocked"/>
                      <w:richText/>
                    </w:sdtPr>
                    <w:sdtContent>
                      <w:r>
                        <w:rPr>
                          <w:b/>
                          <w:bCs/>
                          <w:color w:val="000000"/>
                          <w:szCs w:val="22"/>
                        </w:rPr>
                        <w:t>Atsiskaitymų apskaita</w:t>
                      </w:r>
                    </w:sdtContent>
                  </w:sdt>
                </w:p>
                <w:p>
                  <w:pPr>
                    <w:jc w:val="center"/>
                    <w:rPr>
                      <w:b/>
                      <w:bCs/>
                      <w:color w:val="000000"/>
                    </w:rPr>
                  </w:pPr>
                </w:p>
                <w:sdt>
                  <w:sdtPr>
                    <w:alias w:val="54 p."/>
                    <w:tag w:val="part_711440978a284694a1cf11b53c475320"/>
                    <w:lock w:val="sdtLocked"/>
                    <w:richText/>
                  </w:sdtPr>
                  <w:sdtContent>
                    <w:p>
                      <w:pPr>
                        <w:tabs>
                          <w:tab w:val="left" w:pos="1134"/>
                        </w:tabs>
                        <w:overflowPunct w:val="0"/>
                        <w:ind w:firstLine="720"/>
                        <w:jc w:val="both"/>
                        <w:textAlignment w:val="baseline"/>
                        <w:rPr>
                          <w:color w:val="000000"/>
                        </w:rPr>
                      </w:pPr>
                      <w:sdt>
                        <w:sdtPr>
                          <w:alias w:val="Numeris"/>
                          <w:tag w:val="nr_711440978a284694a1cf11b53c475320"/>
                          <w:lock w:val="sdtLocked"/>
                          <w:richText/>
                        </w:sdtPr>
                        <w:sdtContent>
                          <w:r>
                            <w:rPr>
                              <w:szCs w:val="24"/>
                            </w:rPr>
                            <w:t>54</w:t>
                          </w:r>
                        </w:sdtContent>
                      </w:sdt>
                      <w:r>
                        <w:rPr>
                          <w:szCs w:val="24"/>
                        </w:rPr>
                        <w:t xml:space="preserve">. Atsiskaitymų už PVM apskaitai rekomenduojamas </w:t>
                      </w:r>
                      <w:r>
                        <w:rPr>
                          <w:i/>
                          <w:iCs/>
                          <w:szCs w:val="24"/>
                        </w:rPr>
                        <w:t>Atsiskaitymų už</w:t>
                      </w:r>
                      <w:r>
                        <w:rPr>
                          <w:szCs w:val="24"/>
                        </w:rPr>
                        <w:t xml:space="preserve"> </w:t>
                      </w:r>
                      <w:r>
                        <w:rPr>
                          <w:i/>
                          <w:iCs/>
                          <w:szCs w:val="24"/>
                        </w:rPr>
                        <w:t>PVM žiniaraštis</w:t>
                      </w:r>
                      <w:r>
                        <w:rPr>
                          <w:bCs/>
                          <w:i/>
                          <w:iCs/>
                          <w:szCs w:val="24"/>
                        </w:rPr>
                        <w:t xml:space="preserve"> </w:t>
                      </w:r>
                      <w:r>
                        <w:rPr>
                          <w:szCs w:val="24"/>
                        </w:rPr>
                        <w:t xml:space="preserve">(8 priedas), kuriame įrašai daromi mėnesio pabaigoje. Iš </w:t>
                      </w:r>
                      <w:r>
                        <w:rPr>
                          <w:i/>
                          <w:iCs/>
                          <w:szCs w:val="24"/>
                        </w:rPr>
                        <w:t xml:space="preserve">Pinigų </w:t>
                      </w:r>
                      <w:r>
                        <w:rPr>
                          <w:i/>
                          <w:szCs w:val="24"/>
                        </w:rPr>
                        <w:t>kasoje, banko sąskaitose ir pirkimų ir pardavimų apskaitos</w:t>
                      </w:r>
                      <w:r>
                        <w:rPr>
                          <w:szCs w:val="24"/>
                        </w:rPr>
                        <w:t xml:space="preserve"> </w:t>
                      </w:r>
                      <w:r>
                        <w:rPr>
                          <w:i/>
                          <w:iCs/>
                          <w:szCs w:val="24"/>
                        </w:rPr>
                        <w:t>žurnalo</w:t>
                      </w:r>
                      <w:r>
                        <w:rPr>
                          <w:szCs w:val="24"/>
                        </w:rPr>
                        <w:t xml:space="preserve"> perkeliami duomenys apie per mėnesį pirktų ir parduotų prekių vertę bei joms priskaičiuotą PVM, atsiskaitymus su valstybės iždu ir iždo atsiskaitymus su ūkiu.</w:t>
                      </w:r>
                      <w:r>
                        <w:rPr>
                          <w:bCs/>
                          <w:szCs w:val="24"/>
                        </w:rPr>
                        <w:t xml:space="preserve"> </w:t>
                      </w:r>
                      <w:r>
                        <w:rPr>
                          <w:szCs w:val="24"/>
                        </w:rPr>
                        <w:t>Apie šio žiniaraščio reikalingumą sprendžia pats ūkininkas.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ef4760a89511e5be7fbe3f919a1ebe">
                        <w:r w:rsidRPr="00532B9F">
                          <w:rPr>
                            <w:rFonts w:ascii="Times New Roman" w:eastAsia="MS Mincho" w:hAnsi="Times New Roman"/>
                            <w:sz w:val="20"/>
                            <w:i/>
                            <w:iCs/>
                            <w:color w:val="0000FF" w:themeColor="hyperlink"/>
                            <w:u w:val="single"/>
                          </w:rPr>
                          <w:t>3D-941</w:t>
                        </w:r>
                      </w:fldSimple>
                      <w:r>
                        <w:rPr>
                          <w:rFonts w:ascii="Times New Roman" w:eastAsia="MS Mincho" w:hAnsi="Times New Roman"/>
                          <w:sz w:val="20"/>
                          <w:i/>
                          <w:iCs/>
                        </w:rPr>
                        <w:t>,
2015-12-22,
paskelbta TAR 2015-12-23, i. k. 2015-20239            </w:t>
                      </w:r>
                    </w:p>
                    <w:p/>
                  </w:sdtContent>
                </w:sdt>
                <w:sdt>
                  <w:sdtPr>
                    <w:alias w:val="55 p."/>
                    <w:tag w:val="part_800adef2f14643189b9e30abe5b9e018"/>
                    <w:lock w:val="sdtLocked"/>
                    <w:richText/>
                  </w:sdtPr>
                  <w:sdtContent>
                    <w:p>
                      <w:pPr>
                        <w:overflowPunct w:val="0"/>
                        <w:ind w:firstLine="709"/>
                        <w:jc w:val="both"/>
                        <w:textAlignment w:val="baseline"/>
                        <w:rPr>
                          <w:color w:val="000000"/>
                        </w:rPr>
                      </w:pPr>
                      <w:sdt>
                        <w:sdtPr>
                          <w:alias w:val="Numeris"/>
                          <w:tag w:val="nr_800adef2f14643189b9e30abe5b9e018"/>
                          <w:lock w:val="sdtLocked"/>
                          <w:richText/>
                        </w:sdtPr>
                        <w:sdtContent>
                          <w:r>
                            <w:rPr>
                              <w:szCs w:val="24"/>
                            </w:rPr>
                            <w:t>55</w:t>
                          </w:r>
                        </w:sdtContent>
                      </w:sdt>
                      <w:r>
                        <w:rPr>
                          <w:szCs w:val="24"/>
                        </w:rPr>
                        <w:t xml:space="preserve">. Valstybinio socialinio draudimo ir sveikatos draudimo įmokų bei samdomų asmenų gyventojų pajamų mokesčio apskaitą rekomenduojama tvarkyti </w:t>
                      </w:r>
                      <w:r>
                        <w:rPr>
                          <w:i/>
                          <w:iCs/>
                          <w:szCs w:val="24"/>
                        </w:rPr>
                        <w:t xml:space="preserve">Atsiskaitymų už socialinio ir sveikatos draudimo įmokas, gyventojų pajamų mokestį žiniaraštyje </w:t>
                      </w:r>
                      <w:r>
                        <w:rPr>
                          <w:szCs w:val="24"/>
                        </w:rPr>
                        <w:t>(9 priedas). Jis pildomas kartą per mėnesį. Apie šio žiniaraščio reikalingumą taip pat sprendžia pats ūkininkas.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ba5c0506f11e4a698d921e3e46801">
                        <w:r w:rsidRPr="00532B9F">
                          <w:rPr>
                            <w:rFonts w:ascii="Times New Roman" w:eastAsia="MS Mincho" w:hAnsi="Times New Roman"/>
                            <w:sz w:val="20"/>
                            <w:i/>
                            <w:iCs/>
                            <w:color w:val="0000FF" w:themeColor="hyperlink"/>
                            <w:u w:val="single"/>
                          </w:rPr>
                          <w:t>3D-725</w:t>
                        </w:r>
                      </w:fldSimple>
                      <w:r>
                        <w:rPr>
                          <w:rFonts w:ascii="Times New Roman" w:eastAsia="MS Mincho" w:hAnsi="Times New Roman"/>
                          <w:sz w:val="20"/>
                          <w:i/>
                          <w:iCs/>
                        </w:rPr>
                        <w:t>,
2014-10-10,
paskelbta TAR 2014-10-10, i. k. 2014-13951            </w:t>
                      </w:r>
                    </w:p>
                    <w:p/>
                  </w:sdtContent>
                </w:sdt>
                <w:sdt>
                  <w:sdtPr>
                    <w:alias w:val="56 p."/>
                    <w:tag w:val="part_bbf238db40e449dc809d4c3935d3c3fa"/>
                    <w:lock w:val="sdtLocked"/>
                    <w:richText/>
                  </w:sdtPr>
                  <w:sdtContent>
                    <w:p>
                      <w:pPr>
                        <w:overflowPunct w:val="0"/>
                        <w:ind w:firstLine="709"/>
                        <w:jc w:val="both"/>
                        <w:textAlignment w:val="baseline"/>
                        <w:rPr>
                          <w:color w:val="000000"/>
                        </w:rPr>
                      </w:pPr>
                      <w:sdt>
                        <w:sdtPr>
                          <w:alias w:val="Numeris"/>
                          <w:tag w:val="nr_bbf238db40e449dc809d4c3935d3c3fa"/>
                          <w:lock w:val="sdtLocked"/>
                          <w:richText/>
                        </w:sdtPr>
                        <w:sdtContent>
                          <w:r>
                            <w:rPr>
                              <w:szCs w:val="24"/>
                            </w:rPr>
                            <w:t>56</w:t>
                          </w:r>
                        </w:sdtContent>
                      </w:sdt>
                      <w:r>
                        <w:rPr>
                          <w:szCs w:val="24"/>
                        </w:rPr>
                        <w:t xml:space="preserve">. Samdomų asmenų socialinio ir sveikatos draudimo įmokos bei gyventojų pajamų mokestis apskaičiuojamos ir į </w:t>
                      </w:r>
                      <w:r>
                        <w:rPr>
                          <w:i/>
                          <w:iCs/>
                          <w:szCs w:val="24"/>
                        </w:rPr>
                        <w:t xml:space="preserve">Atsiskaitymų už socialinio ir sveikatos draudimo įmokas, gyventojų pajamų mokestį žiniaraštį </w:t>
                      </w:r>
                      <w:r>
                        <w:rPr>
                          <w:szCs w:val="24"/>
                        </w:rPr>
                        <w:t xml:space="preserve">įrašomos remiantis </w:t>
                      </w:r>
                      <w:r>
                        <w:rPr>
                          <w:i/>
                          <w:iCs/>
                          <w:szCs w:val="24"/>
                        </w:rPr>
                        <w:t>Samdomų asmenų darbo užmokesčio apskaičiavimo žiniaraščio</w:t>
                      </w:r>
                      <w:r>
                        <w:rPr>
                          <w:szCs w:val="24"/>
                        </w:rPr>
                        <w:t xml:space="preserve"> (10 priedas) duomenimis.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ba5c0506f11e4a698d921e3e46801">
                        <w:r w:rsidRPr="00532B9F">
                          <w:rPr>
                            <w:rFonts w:ascii="Times New Roman" w:eastAsia="MS Mincho" w:hAnsi="Times New Roman"/>
                            <w:sz w:val="20"/>
                            <w:i/>
                            <w:iCs/>
                            <w:color w:val="0000FF" w:themeColor="hyperlink"/>
                            <w:u w:val="single"/>
                          </w:rPr>
                          <w:t>3D-725</w:t>
                        </w:r>
                      </w:fldSimple>
                      <w:r>
                        <w:rPr>
                          <w:rFonts w:ascii="Times New Roman" w:eastAsia="MS Mincho" w:hAnsi="Times New Roman"/>
                          <w:sz w:val="20"/>
                          <w:i/>
                          <w:iCs/>
                        </w:rPr>
                        <w:t>,
2014-10-10,
paskelbta TAR 2014-10-10, i. k. 2014-13951            </w:t>
                      </w:r>
                    </w:p>
                    <w:p/>
                  </w:sdtContent>
                </w:sdt>
                <w:sdt>
                  <w:sdtPr>
                    <w:alias w:val="57 p."/>
                    <w:tag w:val="part_90772d53a2f043bb9667e843827965f2"/>
                    <w:lock w:val="sdtLocked"/>
                    <w:richText/>
                  </w:sdtPr>
                  <w:sdtContent>
                    <w:p>
                      <w:pPr>
                        <w:overflowPunct w:val="0"/>
                        <w:ind w:firstLine="709"/>
                        <w:jc w:val="both"/>
                        <w:textAlignment w:val="baseline"/>
                        <w:rPr>
                          <w:color w:val="000000"/>
                        </w:rPr>
                      </w:pPr>
                      <w:sdt>
                        <w:sdtPr>
                          <w:alias w:val="Numeris"/>
                          <w:tag w:val="nr_90772d53a2f043bb9667e843827965f2"/>
                          <w:lock w:val="sdtLocked"/>
                          <w:richText/>
                        </w:sdtPr>
                        <w:sdtContent>
                          <w:r>
                            <w:rPr>
                              <w:szCs w:val="24"/>
                            </w:rPr>
                            <w:t>57</w:t>
                          </w:r>
                        </w:sdtContent>
                      </w:sdt>
                      <w:r>
                        <w:rPr>
                          <w:szCs w:val="24"/>
                        </w:rPr>
                        <w:t xml:space="preserve">. Ūkininko ir jo partnerių socialinio ir sveikatos draudimo įmokos apskaičiuojamos ir tiesiogiai įrašomos į </w:t>
                      </w:r>
                      <w:r>
                        <w:rPr>
                          <w:i/>
                          <w:iCs/>
                          <w:szCs w:val="24"/>
                        </w:rPr>
                        <w:t xml:space="preserve">Atsiskaitymų už socialinio ir sveikatos draudimo įmokas, gyventojų pajamų mokestį žiniaraštį </w:t>
                      </w:r>
                      <w:r>
                        <w:rPr>
                          <w:szCs w:val="24"/>
                        </w:rPr>
                        <w:t>(6–7 skiltys).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ba5c0506f11e4a698d921e3e46801">
                        <w:r w:rsidRPr="00532B9F">
                          <w:rPr>
                            <w:rFonts w:ascii="Times New Roman" w:eastAsia="MS Mincho" w:hAnsi="Times New Roman"/>
                            <w:sz w:val="20"/>
                            <w:i/>
                            <w:iCs/>
                            <w:color w:val="0000FF" w:themeColor="hyperlink"/>
                            <w:u w:val="single"/>
                          </w:rPr>
                          <w:t>3D-725</w:t>
                        </w:r>
                      </w:fldSimple>
                      <w:r>
                        <w:rPr>
                          <w:rFonts w:ascii="Times New Roman" w:eastAsia="MS Mincho" w:hAnsi="Times New Roman"/>
                          <w:sz w:val="20"/>
                          <w:i/>
                          <w:iCs/>
                        </w:rPr>
                        <w:t>,
2014-10-10,
paskelbta TAR 2014-10-10, i. k. 2014-13951            </w:t>
                      </w:r>
                    </w:p>
                    <w:p/>
                  </w:sdtContent>
                </w:sdt>
                <w:sdt>
                  <w:sdtPr>
                    <w:alias w:val="58 p."/>
                    <w:tag w:val="part_b7139b1a7b92454e952fde1acf211697"/>
                    <w:lock w:val="sdtLocked"/>
                    <w:richText/>
                  </w:sdtPr>
                  <w:sdtContent>
                    <w:p>
                      <w:pPr>
                        <w:ind w:firstLine="709"/>
                        <w:jc w:val="both"/>
                        <w:rPr>
                          <w:color w:val="000000"/>
                        </w:rPr>
                      </w:pPr>
                      <w:sdt>
                        <w:sdtPr>
                          <w:alias w:val="Numeris"/>
                          <w:tag w:val="nr_b7139b1a7b92454e952fde1acf211697"/>
                          <w:lock w:val="sdtLocked"/>
                          <w:richText/>
                        </w:sdtPr>
                        <w:sdtContent>
                          <w:r>
                            <w:rPr>
                              <w:color w:val="000000"/>
                              <w:szCs w:val="22"/>
                            </w:rPr>
                            <w:t>58</w:t>
                          </w:r>
                        </w:sdtContent>
                      </w:sdt>
                      <w:r>
                        <w:rPr>
                          <w:color w:val="000000"/>
                          <w:szCs w:val="22"/>
                        </w:rPr>
                        <w:t>. Įrašai apie socialinio ir sveikatos draudimo įmokų sumokėjimą daromi remiantis kvitų duomenimis (mokant grynaisiais pinigais) arba mokėjimo nurodymų duomenimis (mokant iš sąskaitos banke).</w:t>
                      </w:r>
                    </w:p>
                  </w:sdtContent>
                </w:sdt>
                <w:sdt>
                  <w:sdtPr>
                    <w:alias w:val="59 p."/>
                    <w:tag w:val="part_cecd967f6a754878b5030ea8e0a46e6d"/>
                    <w:lock w:val="sdtLocked"/>
                    <w:richText/>
                  </w:sdtPr>
                  <w:sdtContent>
                    <w:p>
                      <w:pPr>
                        <w:overflowPunct w:val="0"/>
                        <w:ind w:firstLine="709"/>
                        <w:jc w:val="both"/>
                        <w:textAlignment w:val="baseline"/>
                        <w:rPr>
                          <w:color w:val="000000"/>
                        </w:rPr>
                      </w:pPr>
                      <w:sdt>
                        <w:sdtPr>
                          <w:alias w:val="Numeris"/>
                          <w:tag w:val="nr_cecd967f6a754878b5030ea8e0a46e6d"/>
                          <w:lock w:val="sdtLocked"/>
                          <w:richText/>
                        </w:sdtPr>
                        <w:sdtContent>
                          <w:r>
                            <w:rPr>
                              <w:szCs w:val="24"/>
                            </w:rPr>
                            <w:t>59</w:t>
                          </w:r>
                        </w:sdtContent>
                      </w:sdt>
                      <w:r>
                        <w:rPr>
                          <w:szCs w:val="24"/>
                        </w:rPr>
                        <w:t xml:space="preserve">. Kiekvieno mėnesio pabaigoje </w:t>
                      </w:r>
                      <w:r>
                        <w:rPr>
                          <w:i/>
                          <w:iCs/>
                          <w:szCs w:val="24"/>
                        </w:rPr>
                        <w:t xml:space="preserve">Atsiskaitymų už socialinio ir sveikatos draudimo įmokas, gyventojų pajamų mokestį žiniaraščio </w:t>
                      </w:r>
                      <w:r>
                        <w:rPr>
                          <w:szCs w:val="24"/>
                        </w:rPr>
                        <w:t>8 skiltyje įrašomas likutis mėnesio pabaigoje, kuris apskaičiuojamas prie likučio, buvusio mėnesio pradžioje, pridedant apskaičiuotas už einamąjį mėnesį įmokų sumas (8 skiltis) ir atimant sumokėtas sumas (14 skiltis). Mėnesio pabaigos likutis yra kito mėnesio pradžios likutis.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ba5c0506f11e4a698d921e3e46801">
                        <w:r w:rsidRPr="00532B9F">
                          <w:rPr>
                            <w:rFonts w:ascii="Times New Roman" w:eastAsia="MS Mincho" w:hAnsi="Times New Roman"/>
                            <w:sz w:val="20"/>
                            <w:i/>
                            <w:iCs/>
                            <w:color w:val="0000FF" w:themeColor="hyperlink"/>
                            <w:u w:val="single"/>
                          </w:rPr>
                          <w:t>3D-725</w:t>
                        </w:r>
                      </w:fldSimple>
                      <w:r>
                        <w:rPr>
                          <w:rFonts w:ascii="Times New Roman" w:eastAsia="MS Mincho" w:hAnsi="Times New Roman"/>
                          <w:sz w:val="20"/>
                          <w:i/>
                          <w:iCs/>
                        </w:rPr>
                        <w:t>,
2014-10-10,
paskelbta TAR 2014-10-10, i. k. 2014-13951            </w:t>
                      </w:r>
                    </w:p>
                    <w:p/>
                  </w:sdtContent>
                </w:sdt>
                <w:sdt>
                  <w:sdtPr>
                    <w:alias w:val="60 p."/>
                    <w:tag w:val="part_c740c85df738400cb867804e1dd69c2f"/>
                    <w:lock w:val="sdtLocked"/>
                    <w:richText/>
                  </w:sdtPr>
                  <w:sdtContent>
                    <w:p>
                      <w:pPr>
                        <w:ind w:firstLine="709"/>
                        <w:jc w:val="both"/>
                        <w:rPr>
                          <w:color w:val="000000"/>
                        </w:rPr>
                      </w:pPr>
                      <w:sdt>
                        <w:sdtPr>
                          <w:alias w:val="Numeris"/>
                          <w:tag w:val="nr_c740c85df738400cb867804e1dd69c2f"/>
                          <w:lock w:val="sdtLocked"/>
                          <w:richText/>
                        </w:sdtPr>
                        <w:sdtContent>
                          <w:r>
                            <w:rPr>
                              <w:color w:val="000000"/>
                              <w:szCs w:val="22"/>
                            </w:rPr>
                            <w:t>60</w:t>
                          </w:r>
                        </w:sdtContent>
                      </w:sdt>
                      <w:r>
                        <w:rPr>
                          <w:color w:val="000000"/>
                          <w:szCs w:val="22"/>
                        </w:rPr>
                        <w:t xml:space="preserve">. Visų kitų atsiskaitymų apskaitą rekomenduojama tvarkyti </w:t>
                      </w:r>
                      <w:r>
                        <w:rPr>
                          <w:i/>
                          <w:iCs/>
                          <w:color w:val="000000"/>
                          <w:szCs w:val="22"/>
                        </w:rPr>
                        <w:t xml:space="preserve">Atsiskaitymų žiniaraštyje </w:t>
                      </w:r>
                      <w:r>
                        <w:rPr>
                          <w:color w:val="000000"/>
                          <w:szCs w:val="22"/>
                        </w:rPr>
                        <w:t>(11 priedas).</w:t>
                      </w:r>
                    </w:p>
                  </w:sdtContent>
                </w:sdt>
                <w:sdt>
                  <w:sdtPr>
                    <w:alias w:val="61 p."/>
                    <w:tag w:val="part_a6af216a23644971b48d9e034024ff21"/>
                    <w:lock w:val="sdtLocked"/>
                    <w:richText/>
                  </w:sdtPr>
                  <w:sdtContent>
                    <w:p>
                      <w:pPr>
                        <w:ind w:firstLine="709"/>
                        <w:jc w:val="both"/>
                        <w:rPr>
                          <w:color w:val="000000"/>
                        </w:rPr>
                      </w:pPr>
                      <w:sdt>
                        <w:sdtPr>
                          <w:alias w:val="Numeris"/>
                          <w:tag w:val="nr_a6af216a23644971b48d9e034024ff21"/>
                          <w:lock w:val="sdtLocked"/>
                          <w:richText/>
                        </w:sdtPr>
                        <w:sdtContent>
                          <w:r>
                            <w:rPr>
                              <w:color w:val="000000"/>
                              <w:szCs w:val="22"/>
                            </w:rPr>
                            <w:t>61</w:t>
                          </w:r>
                        </w:sdtContent>
                      </w:sdt>
                      <w:r>
                        <w:rPr>
                          <w:color w:val="000000"/>
                          <w:szCs w:val="22"/>
                        </w:rPr>
                        <w:t xml:space="preserve">. Atsiskaitymų su pirkėjais apskaitą rekomenduojama tvarkyti pagal kiekvieną pirkėją. </w:t>
                      </w:r>
                      <w:r>
                        <w:rPr>
                          <w:i/>
                          <w:iCs/>
                          <w:color w:val="000000"/>
                          <w:szCs w:val="22"/>
                        </w:rPr>
                        <w:t>Atsiskaitymų žiniaraštyje</w:t>
                      </w:r>
                      <w:r>
                        <w:rPr>
                          <w:color w:val="000000"/>
                          <w:szCs w:val="22"/>
                        </w:rPr>
                        <w:t xml:space="preserve"> įrašai apie pirkėjų skolos susidarymą daromi remiantis pirkimo operacijas pagrindžiančiais dokumentais, skolų apmokėjimas registruojamas pagal mokėjimo dokumentus.</w:t>
                      </w:r>
                    </w:p>
                  </w:sdtContent>
                </w:sdt>
                <w:sdt>
                  <w:sdtPr>
                    <w:alias w:val="62 p."/>
                    <w:tag w:val="part_366b2a4f7efd420fbb25d7d05aec0e19"/>
                    <w:lock w:val="sdtLocked"/>
                    <w:richText/>
                  </w:sdtPr>
                  <w:sdtContent>
                    <w:p>
                      <w:pPr>
                        <w:ind w:firstLine="709"/>
                        <w:jc w:val="both"/>
                        <w:rPr>
                          <w:color w:val="000000"/>
                        </w:rPr>
                      </w:pPr>
                      <w:sdt>
                        <w:sdtPr>
                          <w:alias w:val="Numeris"/>
                          <w:tag w:val="nr_366b2a4f7efd420fbb25d7d05aec0e19"/>
                          <w:lock w:val="sdtLocked"/>
                          <w:richText/>
                        </w:sdtPr>
                        <w:sdtContent>
                          <w:r>
                            <w:rPr>
                              <w:color w:val="000000"/>
                              <w:szCs w:val="22"/>
                            </w:rPr>
                            <w:t>62</w:t>
                          </w:r>
                        </w:sdtContent>
                      </w:sdt>
                      <w:r>
                        <w:rPr>
                          <w:color w:val="000000"/>
                          <w:szCs w:val="22"/>
                        </w:rPr>
                        <w:t xml:space="preserve">. Kitų ilgalaikių ir trumpalaikių skolų ūkiui atsiradimas </w:t>
                      </w:r>
                      <w:r>
                        <w:rPr>
                          <w:i/>
                          <w:iCs/>
                          <w:color w:val="000000"/>
                          <w:szCs w:val="22"/>
                        </w:rPr>
                        <w:t>Atsiskaitymų žiniaraštyje</w:t>
                      </w:r>
                      <w:r>
                        <w:rPr>
                          <w:color w:val="000000"/>
                          <w:szCs w:val="22"/>
                        </w:rPr>
                        <w:t xml:space="preserve"> fiksuojamas remiantis atitinkamais skolą patvirtinančiais dokumentais, skolos grąžinimas – banko išrašais ar kitais pinigų sumokėjimą pateisinančiais dokumentais.</w:t>
                      </w:r>
                    </w:p>
                  </w:sdtContent>
                </w:sdt>
                <w:sdt>
                  <w:sdtPr>
                    <w:alias w:val="63 p."/>
                    <w:tag w:val="part_613a7b0748564c658bef3eaac3519c67"/>
                    <w:lock w:val="sdtLocked"/>
                    <w:richText/>
                  </w:sdtPr>
                  <w:sdtContent>
                    <w:p>
                      <w:pPr>
                        <w:ind w:firstLine="709"/>
                        <w:jc w:val="both"/>
                        <w:rPr>
                          <w:color w:val="000000"/>
                        </w:rPr>
                      </w:pPr>
                      <w:sdt>
                        <w:sdtPr>
                          <w:alias w:val="Numeris"/>
                          <w:tag w:val="nr_613a7b0748564c658bef3eaac3519c67"/>
                          <w:lock w:val="sdtLocked"/>
                          <w:richText/>
                        </w:sdtPr>
                        <w:sdtContent>
                          <w:r>
                            <w:rPr>
                              <w:color w:val="000000"/>
                              <w:szCs w:val="22"/>
                            </w:rPr>
                            <w:t>63</w:t>
                          </w:r>
                        </w:sdtContent>
                      </w:sdt>
                      <w:r>
                        <w:rPr>
                          <w:color w:val="000000"/>
                          <w:szCs w:val="22"/>
                        </w:rPr>
                        <w:t xml:space="preserve">. Ilgalaikių ir trumpalaikių ūkio skolų apskaitą </w:t>
                      </w:r>
                      <w:r>
                        <w:rPr>
                          <w:i/>
                          <w:iCs/>
                          <w:color w:val="000000"/>
                          <w:szCs w:val="22"/>
                        </w:rPr>
                        <w:t>Atsiskaitymų žiniaraštyje</w:t>
                      </w:r>
                      <w:r>
                        <w:rPr>
                          <w:color w:val="000000"/>
                          <w:szCs w:val="22"/>
                        </w:rPr>
                        <w:t xml:space="preserve"> rekomenduojama tvarkyti pagal kreditorius. Skolų atsiradimas pateikiamas skolų susidarymo dalyje remiantis sutartimis, banko išrašais, o apmokėjimas – remiantis mokėjimo nurodymais ar kitais pinigų sumokėjimą pateisinančiais dokumentais.</w:t>
                      </w:r>
                    </w:p>
                  </w:sdtContent>
                </w:sdt>
                <w:sdt>
                  <w:sdtPr>
                    <w:alias w:val="64 p."/>
                    <w:tag w:val="part_96d963f0c7cc47979b250857af313f65"/>
                    <w:lock w:val="sdtLocked"/>
                    <w:richText/>
                  </w:sdtPr>
                  <w:sdtContent>
                    <w:p>
                      <w:pPr>
                        <w:ind w:firstLine="709"/>
                        <w:jc w:val="both"/>
                        <w:rPr>
                          <w:color w:val="000000"/>
                        </w:rPr>
                      </w:pPr>
                      <w:sdt>
                        <w:sdtPr>
                          <w:alias w:val="Numeris"/>
                          <w:tag w:val="nr_96d963f0c7cc47979b250857af313f65"/>
                          <w:lock w:val="sdtLocked"/>
                          <w:richText/>
                        </w:sdtPr>
                        <w:sdtContent>
                          <w:r>
                            <w:rPr>
                              <w:color w:val="000000"/>
                              <w:szCs w:val="22"/>
                            </w:rPr>
                            <w:t>64</w:t>
                          </w:r>
                        </w:sdtContent>
                      </w:sdt>
                      <w:r>
                        <w:rPr>
                          <w:color w:val="000000"/>
                          <w:szCs w:val="22"/>
                        </w:rPr>
                        <w:t>. Atsiskaitymų su tiekėjais ir rangovais apskaitą rekomenduojama tvarkyti pagal kiekvieną tiekėją. Ūkio skola tiekėjams fiksuojama remiantis iš tiekėjų ir rangovų gautomis PVM sąskaitomis–faktūromis, sąskaitomis–faktūromi</w:t>
                      </w:r>
                      <w:r>
                        <w:rPr>
                          <w:i/>
                          <w:iCs/>
                          <w:color w:val="000000"/>
                          <w:szCs w:val="22"/>
                        </w:rPr>
                        <w:t>s</w:t>
                      </w:r>
                      <w:r>
                        <w:rPr>
                          <w:color w:val="000000"/>
                          <w:szCs w:val="22"/>
                        </w:rPr>
                        <w:t xml:space="preserve"> ar kitais laisvos formos dokumentais, skolos apmokėjimas – remiantis mokėjimo nurodymais</w:t>
                      </w:r>
                      <w:r>
                        <w:rPr>
                          <w:i/>
                          <w:iCs/>
                          <w:color w:val="000000"/>
                          <w:szCs w:val="22"/>
                        </w:rPr>
                        <w:t xml:space="preserve"> </w:t>
                      </w:r>
                      <w:r>
                        <w:rPr>
                          <w:color w:val="000000"/>
                          <w:szCs w:val="22"/>
                        </w:rPr>
                        <w:t>ar kitais pinigų sumokėjimą pateisinančiais dokumentais.</w:t>
                      </w:r>
                    </w:p>
                  </w:sdtContent>
                </w:sdt>
                <w:sdt>
                  <w:sdtPr>
                    <w:alias w:val="65 p."/>
                    <w:tag w:val="part_e725ff4c914f4f62a1ee50a096377e12"/>
                    <w:lock w:val="sdtLocked"/>
                    <w:richText/>
                  </w:sdtPr>
                  <w:sdtContent>
                    <w:p>
                      <w:pPr>
                        <w:ind w:firstLine="709"/>
                        <w:jc w:val="both"/>
                        <w:rPr>
                          <w:color w:val="000000"/>
                        </w:rPr>
                      </w:pPr>
                      <w:sdt>
                        <w:sdtPr>
                          <w:alias w:val="Numeris"/>
                          <w:tag w:val="nr_e725ff4c914f4f62a1ee50a096377e12"/>
                          <w:lock w:val="sdtLocked"/>
                          <w:richText/>
                        </w:sdtPr>
                        <w:sdtContent>
                          <w:r>
                            <w:rPr>
                              <w:color w:val="000000"/>
                              <w:szCs w:val="22"/>
                            </w:rPr>
                            <w:t>65</w:t>
                          </w:r>
                        </w:sdtContent>
                      </w:sdt>
                      <w:r>
                        <w:rPr>
                          <w:color w:val="000000"/>
                          <w:szCs w:val="22"/>
                        </w:rPr>
                        <w:t>. Ūkio skolų likučiai mėnesio pabaigoje apskaičiuojami prie kiekvienos skolos likučio mėnesio pradžioje pridedant apskaičiuotą skolą per mėnesį ir atimant per mėnesį sumokėtą sumą.</w:t>
                      </w:r>
                    </w:p>
                  </w:sdtContent>
                </w:sdt>
                <w:sdt>
                  <w:sdtPr>
                    <w:alias w:val="66 p."/>
                    <w:tag w:val="part_9b6b0d8a1b53455682fd4cdf7a7060c2"/>
                    <w:lock w:val="sdtLocked"/>
                    <w:richText/>
                  </w:sdtPr>
                  <w:sdtContent>
                    <w:p>
                      <w:pPr>
                        <w:tabs>
                          <w:tab w:val="left" w:pos="1134"/>
                        </w:tabs>
                        <w:overflowPunct w:val="0"/>
                        <w:ind w:firstLine="720"/>
                        <w:jc w:val="both"/>
                        <w:textAlignment w:val="baseline"/>
                        <w:rPr>
                          <w:color w:val="000000"/>
                        </w:rPr>
                      </w:pPr>
                      <w:sdt>
                        <w:sdtPr>
                          <w:alias w:val="Numeris"/>
                          <w:tag w:val="nr_9b6b0d8a1b53455682fd4cdf7a7060c2"/>
                          <w:lock w:val="sdtLocked"/>
                          <w:richText/>
                        </w:sdtPr>
                        <w:sdtContent>
                          <w:r>
                            <w:rPr>
                              <w:szCs w:val="24"/>
                            </w:rPr>
                            <w:t>66</w:t>
                          </w:r>
                        </w:sdtContent>
                      </w:sdt>
                      <w:r>
                        <w:rPr>
                          <w:szCs w:val="24"/>
                        </w:rPr>
                        <w:t xml:space="preserve">. Ūkininkas gali nepildyti </w:t>
                      </w:r>
                      <w:r>
                        <w:rPr>
                          <w:i/>
                          <w:iCs/>
                          <w:szCs w:val="24"/>
                        </w:rPr>
                        <w:t xml:space="preserve">Atsiskaitymų už socialinio ir sveikatos draudimo įmokas, gyventojų pajamų mokestį žiniaraščio </w:t>
                      </w:r>
                      <w:r>
                        <w:rPr>
                          <w:szCs w:val="24"/>
                        </w:rPr>
                        <w:t xml:space="preserve">ir </w:t>
                      </w:r>
                      <w:r>
                        <w:rPr>
                          <w:i/>
                          <w:iCs/>
                          <w:szCs w:val="24"/>
                        </w:rPr>
                        <w:t>Atsiskaitymų žiniaraščio</w:t>
                      </w:r>
                      <w:r>
                        <w:rPr>
                          <w:szCs w:val="24"/>
                        </w:rPr>
                        <w:t xml:space="preserve">, jeigu jo atsiskaitymų operacijų yra nedaug ir jų apskaitai užtenka </w:t>
                      </w:r>
                      <w:r>
                        <w:rPr>
                          <w:i/>
                          <w:iCs/>
                          <w:szCs w:val="24"/>
                        </w:rPr>
                        <w:t xml:space="preserve">Pinigų </w:t>
                      </w:r>
                      <w:r>
                        <w:rPr>
                          <w:i/>
                          <w:szCs w:val="24"/>
                        </w:rPr>
                        <w:t xml:space="preserve">kasoje, banko sąskaitose ir pirkimų ir pardavimų apskaitos </w:t>
                      </w:r>
                      <w:r>
                        <w:rPr>
                          <w:i/>
                          <w:iCs/>
                          <w:szCs w:val="24"/>
                        </w:rPr>
                        <w:t>žurnalo</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ba5c0506f11e4a698d921e3e46801">
                        <w:r w:rsidRPr="00532B9F">
                          <w:rPr>
                            <w:rFonts w:ascii="Times New Roman" w:eastAsia="MS Mincho" w:hAnsi="Times New Roman"/>
                            <w:sz w:val="20"/>
                            <w:i/>
                            <w:iCs/>
                            <w:color w:val="0000FF" w:themeColor="hyperlink"/>
                            <w:u w:val="single"/>
                          </w:rPr>
                          <w:t>3D-725</w:t>
                        </w:r>
                      </w:fldSimple>
                      <w:r>
                        <w:rPr>
                          <w:rFonts w:ascii="Times New Roman" w:eastAsia="MS Mincho" w:hAnsi="Times New Roman"/>
                          <w:sz w:val="20"/>
                          <w:i/>
                          <w:iCs/>
                        </w:rPr>
                        <w:t>,
2014-10-10,
paskelbta TAR 2014-10-10, i. k. 2014-13951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ef4760a89511e5be7fbe3f919a1ebe">
                        <w:r w:rsidRPr="00532B9F">
                          <w:rPr>
                            <w:rFonts w:ascii="Times New Roman" w:eastAsia="MS Mincho" w:hAnsi="Times New Roman"/>
                            <w:sz w:val="20"/>
                            <w:i/>
                            <w:iCs/>
                            <w:color w:val="0000FF" w:themeColor="hyperlink"/>
                            <w:u w:val="single"/>
                          </w:rPr>
                          <w:t>3D-941</w:t>
                        </w:r>
                      </w:fldSimple>
                      <w:r>
                        <w:rPr>
                          <w:rFonts w:ascii="Times New Roman" w:eastAsia="MS Mincho" w:hAnsi="Times New Roman"/>
                          <w:sz w:val="20"/>
                          <w:i/>
                          <w:iCs/>
                        </w:rPr>
                        <w:t>,
2015-12-22,
paskelbta TAR 2015-12-23, i. k. 2015-20239            </w:t>
                      </w:r>
                    </w:p>
                    <w:p/>
                  </w:sdtContent>
                </w:sdt>
              </w:sdtContent>
            </w:sdt>
          </w:sdtContent>
        </w:sdt>
        <w:sdt>
          <w:sdtPr>
            <w:alias w:val="skyrius"/>
            <w:tag w:val="part_c6435fd09401441d8efc288a81d9d241"/>
            <w:lock w:val="sdtLocked"/>
            <w:richText/>
          </w:sdtPr>
          <w:sdtContent>
            <w:p>
              <w:pPr>
                <w:jc w:val="center"/>
                <w:rPr>
                  <w:b/>
                  <w:bCs/>
                  <w:color w:val="000000"/>
                </w:rPr>
              </w:pPr>
              <w:sdt>
                <w:sdtPr>
                  <w:alias w:val="Numeris"/>
                  <w:tag w:val="nr_c6435fd09401441d8efc288a81d9d241"/>
                  <w:lock w:val="sdtLocked"/>
                  <w:richText/>
                </w:sdtPr>
                <w:sdtContent>
                  <w:r>
                    <w:rPr>
                      <w:b/>
                      <w:bCs/>
                      <w:caps/>
                      <w:color w:val="000000"/>
                      <w:szCs w:val="22"/>
                    </w:rPr>
                    <w:t>IV</w:t>
                  </w:r>
                </w:sdtContent>
              </w:sdt>
              <w:r>
                <w:rPr>
                  <w:b/>
                  <w:bCs/>
                  <w:caps/>
                  <w:color w:val="000000"/>
                  <w:szCs w:val="22"/>
                </w:rPr>
                <w:t xml:space="preserve">. </w:t>
              </w:r>
              <w:sdt>
                <w:sdtPr>
                  <w:alias w:val="Pavadinimas"/>
                  <w:tag w:val="title_c6435fd09401441d8efc288a81d9d241"/>
                  <w:lock w:val="sdtLocked"/>
                  <w:richText/>
                </w:sdtPr>
                <w:sdtContent>
                  <w:r>
                    <w:rPr>
                      <w:b/>
                      <w:bCs/>
                      <w:caps/>
                      <w:color w:val="000000"/>
                      <w:szCs w:val="22"/>
                    </w:rPr>
                    <w:t>Ūkininko ūkio finansinė atskaitomybė</w:t>
                  </w:r>
                </w:sdtContent>
              </w:sdt>
            </w:p>
            <w:p>
              <w:pPr>
                <w:jc w:val="center"/>
                <w:rPr>
                  <w:b/>
                  <w:bCs/>
                  <w:color w:val="000000"/>
                </w:rPr>
              </w:pPr>
            </w:p>
            <w:sdt>
              <w:sdtPr>
                <w:alias w:val="skirsnis"/>
                <w:tag w:val="part_1e869975719341d690882e81e50c506b"/>
                <w:lock w:val="sdtLocked"/>
                <w:richText/>
              </w:sdtPr>
              <w:sdtContent>
                <w:p>
                  <w:pPr>
                    <w:jc w:val="center"/>
                    <w:rPr>
                      <w:b/>
                      <w:bCs/>
                      <w:color w:val="000000"/>
                    </w:rPr>
                  </w:pPr>
                  <w:sdt>
                    <w:sdtPr>
                      <w:alias w:val="Pavadinimas"/>
                      <w:tag w:val="title_1e869975719341d690882e81e50c506b"/>
                      <w:lock w:val="sdtLocked"/>
                      <w:richText/>
                    </w:sdtPr>
                    <w:sdtContent>
                      <w:r>
                        <w:rPr>
                          <w:b/>
                          <w:bCs/>
                          <w:color w:val="000000"/>
                          <w:szCs w:val="22"/>
                        </w:rPr>
                        <w:t>Finansinio rezultato apskaičiavimas</w:t>
                      </w:r>
                    </w:sdtContent>
                  </w:sdt>
                </w:p>
                <w:p>
                  <w:pPr>
                    <w:ind w:firstLine="709"/>
                    <w:jc w:val="both"/>
                    <w:rPr>
                      <w:color w:val="000000"/>
                    </w:rPr>
                  </w:pPr>
                </w:p>
                <w:sdt>
                  <w:sdtPr>
                    <w:alias w:val="67 p."/>
                    <w:tag w:val="part_16a1934f713249579028abb97bd0b8d7"/>
                    <w:lock w:val="sdtLocked"/>
                    <w:richText/>
                  </w:sdtPr>
                  <w:sdtContent>
                    <w:p>
                      <w:pPr>
                        <w:ind w:firstLine="709"/>
                        <w:jc w:val="both"/>
                        <w:rPr>
                          <w:color w:val="000000"/>
                        </w:rPr>
                      </w:pPr>
                      <w:sdt>
                        <w:sdtPr>
                          <w:alias w:val="Numeris"/>
                          <w:tag w:val="nr_16a1934f713249579028abb97bd0b8d7"/>
                          <w:lock w:val="sdtLocked"/>
                          <w:richText/>
                        </w:sdtPr>
                        <w:sdtContent>
                          <w:r>
                            <w:rPr>
                              <w:color w:val="000000"/>
                              <w:szCs w:val="22"/>
                            </w:rPr>
                            <w:t>67</w:t>
                          </w:r>
                        </w:sdtContent>
                      </w:sdt>
                      <w:r>
                        <w:rPr>
                          <w:color w:val="000000"/>
                          <w:szCs w:val="22"/>
                        </w:rPr>
                        <w:t>. Norint nustatyti ūkio veiklos rezultatą, reikia apskaičiuoti pelną arba nuostolį. Pelnas gaunamas tuomet, kai ūkio veiklos pajamos viršija sąnaudas. Jei sąnaudos viršija pajamas, gaunamas nuostolis.</w:t>
                      </w:r>
                    </w:p>
                  </w:sdtContent>
                </w:sdt>
                <w:sdt>
                  <w:sdtPr>
                    <w:alias w:val="68 p."/>
                    <w:tag w:val="part_c38a8a61c811492095e01bcf88834a98"/>
                    <w:lock w:val="sdtLocked"/>
                    <w:richText/>
                  </w:sdtPr>
                  <w:sdtContent>
                    <w:p>
                      <w:pPr>
                        <w:ind w:firstLine="709"/>
                        <w:jc w:val="both"/>
                        <w:rPr>
                          <w:color w:val="000000"/>
                        </w:rPr>
                      </w:pPr>
                      <w:sdt>
                        <w:sdtPr>
                          <w:alias w:val="Numeris"/>
                          <w:tag w:val="nr_c38a8a61c811492095e01bcf88834a98"/>
                          <w:lock w:val="sdtLocked"/>
                          <w:richText/>
                        </w:sdtPr>
                        <w:sdtContent>
                          <w:r>
                            <w:rPr>
                              <w:color w:val="000000"/>
                              <w:szCs w:val="22"/>
                            </w:rPr>
                            <w:t>68</w:t>
                          </w:r>
                        </w:sdtContent>
                      </w:sdt>
                      <w:r>
                        <w:rPr>
                          <w:color w:val="000000"/>
                          <w:szCs w:val="22"/>
                        </w:rPr>
                        <w:t xml:space="preserve">. Ūkininko ūkio veiklos finansinis rezultatas apskaičiuojamas </w:t>
                      </w:r>
                      <w:r>
                        <w:rPr>
                          <w:i/>
                          <w:iCs/>
                          <w:color w:val="000000"/>
                          <w:szCs w:val="22"/>
                        </w:rPr>
                        <w:t>Pelno (nuostolių) ataskaitoje</w:t>
                      </w:r>
                      <w:r>
                        <w:rPr>
                          <w:color w:val="000000"/>
                          <w:szCs w:val="22"/>
                        </w:rPr>
                        <w:t xml:space="preserve"> (apskaitą tvarkant supaprastintąja apskaitos sistema) (12 priedas). Tvarkant ūkininko ūkio veiklos apskaitą supaprastintąja sistema, pinigų principu sukauptos piniginės įplaukos ir piniginės išlaidos šioje ataskaitoje perskaičiuojamos į pajamas ir sąnaudas pajamoms uždirbti.</w:t>
                      </w:r>
                    </w:p>
                  </w:sdtContent>
                </w:sdt>
                <w:sdt>
                  <w:sdtPr>
                    <w:alias w:val="69 p."/>
                    <w:tag w:val="part_dc3805aa0d294c69a0dd5fb4bebeab40"/>
                    <w:lock w:val="sdtLocked"/>
                    <w:richText/>
                  </w:sdtPr>
                  <w:sdtContent>
                    <w:p>
                      <w:pPr>
                        <w:ind w:firstLine="709"/>
                        <w:jc w:val="both"/>
                        <w:rPr>
                          <w:color w:val="000000"/>
                        </w:rPr>
                      </w:pPr>
                      <w:sdt>
                        <w:sdtPr>
                          <w:alias w:val="Numeris"/>
                          <w:tag w:val="nr_dc3805aa0d294c69a0dd5fb4bebeab40"/>
                          <w:lock w:val="sdtLocked"/>
                          <w:richText/>
                        </w:sdtPr>
                        <w:sdtContent>
                          <w:r>
                            <w:rPr>
                              <w:color w:val="000000"/>
                              <w:szCs w:val="22"/>
                            </w:rPr>
                            <w:t>69</w:t>
                          </w:r>
                        </w:sdtContent>
                      </w:sdt>
                      <w:r>
                        <w:rPr>
                          <w:color w:val="000000"/>
                          <w:szCs w:val="22"/>
                        </w:rPr>
                        <w:t xml:space="preserve">. Iš </w:t>
                      </w:r>
                      <w:r>
                        <w:rPr>
                          <w:i/>
                          <w:iCs/>
                          <w:color w:val="000000"/>
                          <w:szCs w:val="22"/>
                        </w:rPr>
                        <w:t>Piniginių įplaukų ir išlaidų žiniaraščio</w:t>
                      </w:r>
                      <w:r>
                        <w:rPr>
                          <w:color w:val="000000"/>
                          <w:szCs w:val="22"/>
                        </w:rPr>
                        <w:t xml:space="preserve"> į </w:t>
                      </w:r>
                      <w:r>
                        <w:rPr>
                          <w:i/>
                          <w:iCs/>
                          <w:color w:val="000000"/>
                          <w:szCs w:val="22"/>
                        </w:rPr>
                        <w:t>Pelno (nuostolių) ataskaitą</w:t>
                      </w:r>
                      <w:r>
                        <w:rPr>
                          <w:color w:val="000000"/>
                          <w:szCs w:val="22"/>
                        </w:rPr>
                        <w:t xml:space="preserve"> įrašoma piniginių įplaukų suma iš viso. Ji turi būti perskaičiuojama į ūkio veiklos pajamas pagal tokią formulę:</w:t>
                      </w:r>
                    </w:p>
                    <w:p>
                      <w:pPr>
                        <w:ind w:firstLine="709"/>
                        <w:jc w:val="both"/>
                        <w:rPr>
                          <w:color w:val="000000"/>
                        </w:rPr>
                      </w:pPr>
                    </w:p>
                  </w:sdtContent>
                </w:sdt>
              </w:sdtContent>
            </w:sdt>
            <w:sdt>
              <w:sdtPr>
                <w:alias w:val="skirsnis"/>
                <w:tag w:val="part_2b1156c86a584d3f84dc0b7f061b7297"/>
                <w:lock w:val="sdtLocked"/>
                <w:richText/>
              </w:sdtPr>
              <w:sdtContent>
                <w:sdt>
                  <w:sdtPr>
                    <w:alias w:val="Pavadinimas"/>
                    <w:tag w:val="title_2b1156c86a584d3f84dc0b7f061b7297"/>
                    <w:lock w:val="sdtLocked"/>
                    <w:richText/>
                  </w:sdtPr>
                  <w:sdtContent>
                    <w:p>
                      <w:pPr>
                        <w:jc w:val="center"/>
                        <w:rPr>
                          <w:b/>
                          <w:bCs/>
                          <w:color w:val="000000"/>
                        </w:rPr>
                      </w:pPr>
                      <w:r>
                        <w:rPr>
                          <w:b/>
                          <w:bCs/>
                          <w:color w:val="000000"/>
                          <w:szCs w:val="22"/>
                        </w:rPr>
                        <w:t>Piniginės įplaukos ± Pirkėjų skolų pokytis ± kitų skolų ūkiui pokytis</w:t>
                      </w:r>
                    </w:p>
                    <w:p>
                      <w:pPr>
                        <w:jc w:val="center"/>
                        <w:rPr>
                          <w:b/>
                          <w:bCs/>
                          <w:color w:val="000000"/>
                        </w:rPr>
                      </w:pPr>
                      <w:r>
                        <w:rPr>
                          <w:b/>
                          <w:bCs/>
                          <w:color w:val="000000"/>
                          <w:szCs w:val="22"/>
                        </w:rPr>
                        <w:t>+ ūkininko asmeninėms reikmėms sunaudota produkcija</w:t>
                      </w:r>
                    </w:p>
                  </w:sdtContent>
                </w:sdt>
                <w:p>
                  <w:pPr>
                    <w:jc w:val="center"/>
                    <w:rPr>
                      <w:b/>
                      <w:bCs/>
                      <w:color w:val="000000"/>
                    </w:rPr>
                  </w:pPr>
                </w:p>
                <w:sdt>
                  <w:sdtPr>
                    <w:alias w:val="70 p."/>
                    <w:tag w:val="part_787449a0c6714bfa80089df73843eb92"/>
                    <w:lock w:val="sdtLocked"/>
                    <w:richText/>
                  </w:sdtPr>
                  <w:sdtContent>
                    <w:p>
                      <w:pPr>
                        <w:ind w:firstLine="709"/>
                        <w:jc w:val="both"/>
                        <w:rPr>
                          <w:color w:val="000000"/>
                        </w:rPr>
                      </w:pPr>
                      <w:sdt>
                        <w:sdtPr>
                          <w:alias w:val="Numeris"/>
                          <w:tag w:val="nr_787449a0c6714bfa80089df73843eb92"/>
                          <w:lock w:val="sdtLocked"/>
                          <w:richText/>
                        </w:sdtPr>
                        <w:sdtContent>
                          <w:r>
                            <w:rPr>
                              <w:color w:val="000000"/>
                              <w:szCs w:val="22"/>
                            </w:rPr>
                            <w:t>70</w:t>
                          </w:r>
                        </w:sdtContent>
                      </w:sdt>
                      <w:r>
                        <w:rPr>
                          <w:color w:val="000000"/>
                          <w:szCs w:val="22"/>
                        </w:rPr>
                        <w:t xml:space="preserve">. Pirkėjų skolų ir kitų skolų pokytis įrašomas iš </w:t>
                      </w:r>
                      <w:r>
                        <w:rPr>
                          <w:i/>
                          <w:iCs/>
                          <w:color w:val="000000"/>
                          <w:szCs w:val="22"/>
                        </w:rPr>
                        <w:t xml:space="preserve">Atsiskaitymų žiniaraščio. </w:t>
                      </w:r>
                      <w:r>
                        <w:rPr>
                          <w:color w:val="000000"/>
                          <w:szCs w:val="22"/>
                        </w:rPr>
                        <w:t>Jeigu per ataskaitinį laikotarpį, tai yra palyginus laikotarpio pradžios skolas su laikotarpio pabaigos skolomis, pirkėjų skolos ir kitos skolos ūkiui padidėjo, skaičiuojant ūkininko ūkio veiklos pajamas jos pridedamos prie piniginių įplaukų. Jeigu per ataskaitinį laikotarpį pirkėjų skolos ir kitos skolos ūkiui sumažėjo, skaičiuojant ūkininko ūkio veiklos pajamas jos atimamos iš piniginių įplaukų. Skaičiuojant pirkėjų skolų ir kitų skolų pokytį reikia eliminuoti tas skolas, kurios nesusiję su ūkininko ūkio veikla, pvz., skolas už parduotą ilgalaikį turtą, suteiktas paskolas ir kt.</w:t>
                      </w:r>
                    </w:p>
                  </w:sdtContent>
                </w:sdt>
                <w:sdt>
                  <w:sdtPr>
                    <w:alias w:val="71 p."/>
                    <w:tag w:val="part_ab23494e3d934f1db92bf3cd7a28ce0c"/>
                    <w:lock w:val="sdtLocked"/>
                    <w:richText/>
                  </w:sdtPr>
                  <w:sdtContent>
                    <w:p>
                      <w:pPr>
                        <w:ind w:firstLine="709"/>
                        <w:jc w:val="both"/>
                        <w:rPr>
                          <w:color w:val="000000"/>
                        </w:rPr>
                      </w:pPr>
                      <w:sdt>
                        <w:sdtPr>
                          <w:alias w:val="Numeris"/>
                          <w:tag w:val="nr_ab23494e3d934f1db92bf3cd7a28ce0c"/>
                          <w:lock w:val="sdtLocked"/>
                          <w:richText/>
                        </w:sdtPr>
                        <w:sdtContent>
                          <w:r>
                            <w:rPr>
                              <w:color w:val="000000"/>
                              <w:szCs w:val="22"/>
                            </w:rPr>
                            <w:t>71</w:t>
                          </w:r>
                        </w:sdtContent>
                      </w:sdt>
                      <w:r>
                        <w:rPr>
                          <w:color w:val="000000"/>
                          <w:szCs w:val="22"/>
                        </w:rPr>
                        <w:t xml:space="preserve">. Iš </w:t>
                      </w:r>
                      <w:r>
                        <w:rPr>
                          <w:i/>
                          <w:iCs/>
                          <w:color w:val="000000"/>
                          <w:szCs w:val="22"/>
                        </w:rPr>
                        <w:t>Piniginių įplaukų ir išlaidų žiniaraščio</w:t>
                      </w:r>
                      <w:r>
                        <w:rPr>
                          <w:color w:val="000000"/>
                          <w:szCs w:val="22"/>
                        </w:rPr>
                        <w:t xml:space="preserve"> į </w:t>
                      </w:r>
                      <w:r>
                        <w:rPr>
                          <w:i/>
                          <w:iCs/>
                          <w:color w:val="000000"/>
                          <w:szCs w:val="22"/>
                        </w:rPr>
                        <w:t>Pelno (nuostolių) ataskaitą</w:t>
                      </w:r>
                      <w:r>
                        <w:rPr>
                          <w:color w:val="000000"/>
                          <w:szCs w:val="22"/>
                        </w:rPr>
                        <w:t xml:space="preserve"> įrašoma piniginių išlaidų suma iš viso. Ji turi būti perskaičiuojama į sąnaudas, padarytas ūkio veiklos pajamoms uždirbti. Sąnaudos apskaičiuojamos taip:</w:t>
                      </w:r>
                    </w:p>
                    <w:p>
                      <w:pPr>
                        <w:ind w:firstLine="709"/>
                        <w:jc w:val="both"/>
                        <w:rPr>
                          <w:color w:val="000000"/>
                        </w:rPr>
                      </w:pPr>
                    </w:p>
                  </w:sdtContent>
                </w:sdt>
              </w:sdtContent>
            </w:sdt>
            <w:sdt>
              <w:sdtPr>
                <w:alias w:val="skirsnis"/>
                <w:tag w:val="part_5faf8687a6cb4718956c2407e04024ac"/>
                <w:lock w:val="sdtLocked"/>
                <w:richText/>
              </w:sdtPr>
              <w:sdtContent>
                <w:sdt>
                  <w:sdtPr>
                    <w:alias w:val="Pavadinimas"/>
                    <w:tag w:val="title_5faf8687a6cb4718956c2407e04024ac"/>
                    <w:lock w:val="sdtLocked"/>
                    <w:richText/>
                  </w:sdtPr>
                  <w:sdtContent>
                    <w:p>
                      <w:pPr>
                        <w:jc w:val="center"/>
                        <w:rPr>
                          <w:b/>
                          <w:bCs/>
                          <w:color w:val="000000"/>
                        </w:rPr>
                      </w:pPr>
                      <w:r>
                        <w:rPr>
                          <w:b/>
                          <w:bCs/>
                          <w:color w:val="000000"/>
                          <w:szCs w:val="22"/>
                        </w:rPr>
                        <w:t>Piniginės išlaidos</w:t>
                      </w:r>
                    </w:p>
                    <w:p>
                      <w:pPr>
                        <w:jc w:val="center"/>
                        <w:rPr>
                          <w:b/>
                          <w:bCs/>
                          <w:color w:val="000000"/>
                        </w:rPr>
                      </w:pPr>
                      <w:r>
                        <w:rPr>
                          <w:b/>
                          <w:bCs/>
                          <w:color w:val="000000"/>
                          <w:szCs w:val="22"/>
                        </w:rPr>
                        <w:t>± skolų tiekėjams pokytis</w:t>
                      </w:r>
                    </w:p>
                    <w:p>
                      <w:pPr>
                        <w:jc w:val="center"/>
                        <w:rPr>
                          <w:b/>
                          <w:bCs/>
                          <w:color w:val="000000"/>
                        </w:rPr>
                      </w:pPr>
                      <w:r>
                        <w:rPr>
                          <w:b/>
                          <w:bCs/>
                          <w:color w:val="000000"/>
                          <w:szCs w:val="22"/>
                        </w:rPr>
                        <w:t>± kitų ūkio skolų pokytis</w:t>
                      </w:r>
                    </w:p>
                    <w:p>
                      <w:pPr>
                        <w:jc w:val="center"/>
                        <w:rPr>
                          <w:b/>
                          <w:bCs/>
                          <w:color w:val="000000"/>
                        </w:rPr>
                      </w:pPr>
                      <w:r>
                        <w:rPr>
                          <w:b/>
                          <w:bCs/>
                          <w:color w:val="000000"/>
                          <w:szCs w:val="22"/>
                        </w:rPr>
                        <w:t>± atsargų likučių vertės pokytis</w:t>
                      </w:r>
                    </w:p>
                    <w:p>
                      <w:pPr>
                        <w:jc w:val="center"/>
                        <w:rPr>
                          <w:b/>
                          <w:bCs/>
                          <w:color w:val="000000"/>
                        </w:rPr>
                      </w:pPr>
                      <w:r>
                        <w:rPr>
                          <w:b/>
                          <w:bCs/>
                          <w:color w:val="000000"/>
                          <w:szCs w:val="22"/>
                        </w:rPr>
                        <w:t>± gyvulių ir kitų gyvūnų likučių vertės pokytis</w:t>
                      </w:r>
                    </w:p>
                    <w:p>
                      <w:pPr>
                        <w:jc w:val="center"/>
                        <w:rPr>
                          <w:b/>
                          <w:bCs/>
                          <w:color w:val="000000"/>
                        </w:rPr>
                      </w:pPr>
                      <w:r>
                        <w:rPr>
                          <w:b/>
                          <w:bCs/>
                          <w:color w:val="000000"/>
                          <w:szCs w:val="22"/>
                        </w:rPr>
                        <w:t>± pasėlių likučių vertės pokytis</w:t>
                      </w:r>
                    </w:p>
                    <w:p>
                      <w:pPr>
                        <w:jc w:val="center"/>
                        <w:rPr>
                          <w:b/>
                          <w:bCs/>
                          <w:color w:val="000000"/>
                        </w:rPr>
                      </w:pPr>
                      <w:r>
                        <w:rPr>
                          <w:b/>
                          <w:bCs/>
                          <w:color w:val="000000"/>
                          <w:szCs w:val="22"/>
                        </w:rPr>
                        <w:t>+ ilgalaikio turto nusidėvėjimas</w:t>
                      </w:r>
                    </w:p>
                  </w:sdtContent>
                </w:sdt>
                <w:p>
                  <w:pPr>
                    <w:jc w:val="center"/>
                    <w:rPr>
                      <w:b/>
                      <w:bCs/>
                      <w:color w:val="000000"/>
                    </w:rPr>
                  </w:pPr>
                  <w:r>
                    <w:rPr>
                      <w:b/>
                      <w:bCs/>
                      <w:color w:val="000000"/>
                      <w:szCs w:val="22"/>
                    </w:rPr>
                    <w:t>- per ataskaitinį laikotarpį panaudota dotacijų, susijusių su turtu, dalis</w:t>
                  </w:r>
                </w:p>
                <w:p>
                  <w:pPr>
                    <w:ind w:firstLine="709"/>
                    <w:jc w:val="both"/>
                    <w:rPr>
                      <w:color w:val="000000"/>
                    </w:rPr>
                  </w:pPr>
                </w:p>
                <w:sdt>
                  <w:sdtPr>
                    <w:alias w:val="72 p."/>
                    <w:tag w:val="part_eb1d3ab9322d4cf09b6c9185b0c15e73"/>
                    <w:lock w:val="sdtLocked"/>
                    <w:richText/>
                  </w:sdtPr>
                  <w:sdtContent>
                    <w:p>
                      <w:pPr>
                        <w:ind w:firstLine="709"/>
                        <w:jc w:val="both"/>
                        <w:rPr>
                          <w:color w:val="000000"/>
                        </w:rPr>
                      </w:pPr>
                      <w:sdt>
                        <w:sdtPr>
                          <w:alias w:val="Numeris"/>
                          <w:tag w:val="nr_eb1d3ab9322d4cf09b6c9185b0c15e73"/>
                          <w:lock w:val="sdtLocked"/>
                          <w:richText/>
                        </w:sdtPr>
                        <w:sdtContent>
                          <w:r>
                            <w:rPr>
                              <w:color w:val="000000"/>
                              <w:szCs w:val="22"/>
                            </w:rPr>
                            <w:t>72</w:t>
                          </w:r>
                        </w:sdtContent>
                      </w:sdt>
                      <w:r>
                        <w:rPr>
                          <w:color w:val="000000"/>
                          <w:szCs w:val="22"/>
                        </w:rPr>
                        <w:t xml:space="preserve">. Skolų tiekėjams ir kitų ūkio skolų likučių padidėjimas yra pridedamas prie piniginių išlaidų, o skolų tiekėjams ir kitų ūkio skolų likučių sumažėjimas yra atimamas iš piniginių išlaidų. Šių skolų pokytis įrašomas iš </w:t>
                      </w:r>
                      <w:r>
                        <w:rPr>
                          <w:i/>
                          <w:iCs/>
                          <w:color w:val="000000"/>
                          <w:szCs w:val="22"/>
                        </w:rPr>
                        <w:t>Atsiskaitymų žiniaraščio.</w:t>
                      </w:r>
                      <w:r>
                        <w:rPr>
                          <w:color w:val="000000"/>
                          <w:szCs w:val="22"/>
                        </w:rPr>
                        <w:t xml:space="preserve"> Skolų tiekėjams ir kitų skolų pokytis skaičiuojamas tik tų skolų, kurios susiję su ūkio veikla. Pavyzdžiui, skaičiuojant šį pokytį, reikia eliminuoti skolon įsigyto ilgalaikio turto vertę (be PVM), skolas už ilgalaikio turto rekonstrukciją (remontą), pagerinančius jo naudingąsias savybes (be PVM), banko paskolas ir pan.</w:t>
                      </w:r>
                    </w:p>
                  </w:sdtContent>
                </w:sdt>
                <w:sdt>
                  <w:sdtPr>
                    <w:alias w:val="73 p."/>
                    <w:tag w:val="part_b5a5d71be98d45679d1256c207d9c1a8"/>
                    <w:lock w:val="sdtLocked"/>
                    <w:richText/>
                  </w:sdtPr>
                  <w:sdtContent>
                    <w:p>
                      <w:pPr>
                        <w:ind w:firstLine="709"/>
                        <w:jc w:val="both"/>
                        <w:rPr>
                          <w:color w:val="000000"/>
                        </w:rPr>
                      </w:pPr>
                      <w:sdt>
                        <w:sdtPr>
                          <w:alias w:val="Numeris"/>
                          <w:tag w:val="nr_b5a5d71be98d45679d1256c207d9c1a8"/>
                          <w:lock w:val="sdtLocked"/>
                          <w:richText/>
                        </w:sdtPr>
                        <w:sdtContent>
                          <w:r>
                            <w:rPr>
                              <w:color w:val="000000"/>
                              <w:szCs w:val="22"/>
                            </w:rPr>
                            <w:t>73</w:t>
                          </w:r>
                        </w:sdtContent>
                      </w:sdt>
                      <w:r>
                        <w:rPr>
                          <w:color w:val="000000"/>
                          <w:szCs w:val="22"/>
                        </w:rPr>
                        <w:t>. Atsargų likučių vertės sumažėjimas yra pridedamas prie piniginių išlaidų, o atsargų likučių vertės padidėjimas yra atimamas iš piniginių išlaidų. Atsargų likučių vertės pokyčiai apskaičiuojami iš atsargų vertės, nurodytos balanse ataskaitinio laikotarpio pabaigoje, atėmus atsargų vertę, nurodytą balanse ataskaitinio laikotarpio pradžioje.</w:t>
                      </w:r>
                    </w:p>
                  </w:sdtContent>
                </w:sdt>
                <w:sdt>
                  <w:sdtPr>
                    <w:alias w:val="74 p."/>
                    <w:tag w:val="part_1ae93d5200d84a5197ee27d042e7c8ea"/>
                    <w:lock w:val="sdtLocked"/>
                    <w:richText/>
                  </w:sdtPr>
                  <w:sdtContent>
                    <w:p>
                      <w:pPr>
                        <w:ind w:firstLine="709"/>
                        <w:jc w:val="both"/>
                        <w:rPr>
                          <w:color w:val="000000"/>
                        </w:rPr>
                      </w:pPr>
                      <w:sdt>
                        <w:sdtPr>
                          <w:alias w:val="Numeris"/>
                          <w:tag w:val="nr_1ae93d5200d84a5197ee27d042e7c8ea"/>
                          <w:lock w:val="sdtLocked"/>
                          <w:richText/>
                        </w:sdtPr>
                        <w:sdtContent>
                          <w:r>
                            <w:rPr>
                              <w:color w:val="000000"/>
                              <w:szCs w:val="22"/>
                            </w:rPr>
                            <w:t>74</w:t>
                          </w:r>
                        </w:sdtContent>
                      </w:sdt>
                      <w:r>
                        <w:rPr>
                          <w:color w:val="000000"/>
                          <w:szCs w:val="22"/>
                        </w:rPr>
                        <w:t>. Gyvulių ir kitų gyvūnų likučių vertės sumažėjimas yra pridedamas prie piniginių išlaidų, o jų likučių vertės padidėjimas yra atimamas iš piniginių išlaidų. Gyvulių ir kitų gyvūnų likučių vertės pokyčiai apskaičiuojami iš gyvulių ir kitų gyvūnų vertės, nurodytos balanse ataskaitinio laikotarpio pabaigoje, atėmus gyvulių ir kitų gyvūnų vertę, nurodytą balanse ataskaitinio laikotarpio pradžioje.</w:t>
                      </w:r>
                    </w:p>
                  </w:sdtContent>
                </w:sdt>
                <w:sdt>
                  <w:sdtPr>
                    <w:alias w:val="75 p."/>
                    <w:tag w:val="part_2cd9aebabef14955b29a9be6b5d51a7e"/>
                    <w:lock w:val="sdtLocked"/>
                    <w:richText/>
                  </w:sdtPr>
                  <w:sdtContent>
                    <w:p>
                      <w:pPr>
                        <w:ind w:firstLine="709"/>
                        <w:jc w:val="both"/>
                        <w:rPr>
                          <w:color w:val="000000"/>
                        </w:rPr>
                      </w:pPr>
                      <w:sdt>
                        <w:sdtPr>
                          <w:alias w:val="Numeris"/>
                          <w:tag w:val="nr_2cd9aebabef14955b29a9be6b5d51a7e"/>
                          <w:lock w:val="sdtLocked"/>
                          <w:richText/>
                        </w:sdtPr>
                        <w:sdtContent>
                          <w:r>
                            <w:rPr>
                              <w:color w:val="000000"/>
                              <w:szCs w:val="22"/>
                            </w:rPr>
                            <w:t>75</w:t>
                          </w:r>
                        </w:sdtContent>
                      </w:sdt>
                      <w:r>
                        <w:rPr>
                          <w:color w:val="000000"/>
                          <w:szCs w:val="22"/>
                        </w:rPr>
                        <w:t>. Pasėlių likučių vertės sumažėjimas yra pridedamas prie piniginių išlaidų, o jų likučių vertės padidėjimas yra atimamas iš piniginių išlaidų. Pasėlių likučių vertės pokyčiai apskaičiuojami iš pasėlių vertės, nurodytos balanse ataskaitinio laikotarpio pabaigoje, atėmus pasėlių vertę, nurodytą balanse ataskaitinio laikotarpio pradžioje.</w:t>
                      </w:r>
                    </w:p>
                  </w:sdtContent>
                </w:sdt>
                <w:sdt>
                  <w:sdtPr>
                    <w:alias w:val="76 p."/>
                    <w:tag w:val="part_fb1b49d3a66749e0a88b5fadb4f4a474"/>
                    <w:lock w:val="sdtLocked"/>
                    <w:richText/>
                  </w:sdtPr>
                  <w:sdtContent>
                    <w:p>
                      <w:pPr>
                        <w:ind w:firstLine="709"/>
                        <w:jc w:val="both"/>
                        <w:rPr>
                          <w:color w:val="000000"/>
                        </w:rPr>
                      </w:pPr>
                      <w:sdt>
                        <w:sdtPr>
                          <w:alias w:val="Numeris"/>
                          <w:tag w:val="nr_fb1b49d3a66749e0a88b5fadb4f4a474"/>
                          <w:lock w:val="sdtLocked"/>
                          <w:richText/>
                        </w:sdtPr>
                        <w:sdtContent>
                          <w:r>
                            <w:rPr>
                              <w:color w:val="000000"/>
                              <w:szCs w:val="22"/>
                            </w:rPr>
                            <w:t>76</w:t>
                          </w:r>
                        </w:sdtContent>
                      </w:sdt>
                      <w:r>
                        <w:rPr>
                          <w:color w:val="000000"/>
                          <w:szCs w:val="22"/>
                        </w:rPr>
                        <w:t xml:space="preserve">. Per ataskaitinį laikotarpį apskaičiuota ilgalaikio turto nusidėvėjimo (amortizacijos) suma pridedama prie piniginių išlaidų, nes didina sąnaudas. Ilgalaikio turto nusidėvėjimo sąnaudos yra nepiniginės sąnaudos. Ilgalaikio turto nusidėvėjimo (amortizacijos) suma įrašoma iš </w:t>
                      </w:r>
                      <w:r>
                        <w:rPr>
                          <w:i/>
                          <w:iCs/>
                          <w:color w:val="000000"/>
                          <w:szCs w:val="22"/>
                        </w:rPr>
                        <w:t>Ilgalaikio turto žiniaraščio.</w:t>
                      </w:r>
                      <w:r>
                        <w:rPr>
                          <w:color w:val="000000"/>
                          <w:szCs w:val="22"/>
                        </w:rPr>
                        <w:t xml:space="preserve"> Įrašoma nusidėvėjimo (amortizacijos) suma be subsidijuotos ilgalaikio turto dalies nusidėvėjimo.</w:t>
                      </w:r>
                    </w:p>
                  </w:sdtContent>
                </w:sdt>
                <w:sdt>
                  <w:sdtPr>
                    <w:alias w:val="77 p."/>
                    <w:tag w:val="part_de670577664241e98031e634bdb8f148"/>
                    <w:lock w:val="sdtLocked"/>
                    <w:richText/>
                  </w:sdtPr>
                  <w:sdtContent>
                    <w:p>
                      <w:pPr>
                        <w:ind w:firstLine="709"/>
                        <w:jc w:val="both"/>
                        <w:rPr>
                          <w:color w:val="000000"/>
                        </w:rPr>
                      </w:pPr>
                      <w:sdt>
                        <w:sdtPr>
                          <w:alias w:val="Numeris"/>
                          <w:tag w:val="nr_de670577664241e98031e634bdb8f148"/>
                          <w:lock w:val="sdtLocked"/>
                          <w:richText/>
                        </w:sdtPr>
                        <w:sdtContent>
                          <w:r>
                            <w:rPr>
                              <w:color w:val="000000"/>
                              <w:szCs w:val="22"/>
                            </w:rPr>
                            <w:t>77</w:t>
                          </w:r>
                        </w:sdtContent>
                      </w:sdt>
                      <w:r>
                        <w:rPr>
                          <w:color w:val="000000"/>
                          <w:szCs w:val="22"/>
                        </w:rPr>
                        <w:t>. Dotacijų, susijusių su pajamomis, straipsnyje pateikiama per ataskaitinį laikotarpį gauta tiesioginių ir kompensacinių išmokų suma. Dotacijų, susijusių su turtu, sumomis, panaudotomis per ataskaitinį laikotarpį, mažinamos ilgalaikio turto nusidėvėjimo sąnaudos, todėl jų suma įrašoma atskiroje eilutėje.</w:t>
                      </w:r>
                    </w:p>
                  </w:sdtContent>
                </w:sdt>
                <w:sdt>
                  <w:sdtPr>
                    <w:alias w:val="78 p."/>
                    <w:tag w:val="part_a46328266b9d44b2abd7acc6697a8011"/>
                    <w:lock w:val="sdtLocked"/>
                    <w:richText/>
                  </w:sdtPr>
                  <w:sdtContent>
                    <w:p>
                      <w:pPr>
                        <w:ind w:firstLine="709"/>
                        <w:jc w:val="both"/>
                        <w:rPr>
                          <w:color w:val="000000"/>
                        </w:rPr>
                      </w:pPr>
                      <w:sdt>
                        <w:sdtPr>
                          <w:alias w:val="Numeris"/>
                          <w:tag w:val="nr_a46328266b9d44b2abd7acc6697a8011"/>
                          <w:lock w:val="sdtLocked"/>
                          <w:richText/>
                        </w:sdtPr>
                        <w:sdtContent>
                          <w:r>
                            <w:rPr>
                              <w:color w:val="000000"/>
                              <w:szCs w:val="22"/>
                            </w:rPr>
                            <w:t>78</w:t>
                          </w:r>
                        </w:sdtContent>
                      </w:sdt>
                      <w:r>
                        <w:rPr>
                          <w:color w:val="000000"/>
                          <w:szCs w:val="22"/>
                        </w:rPr>
                        <w:t>. Ūkininkas gali gauti pelną arba nuostolį iš finansinės ar investicinės veiklos. Finansinės veiklos pajamas ūkininkas gali uždirbti gavęs palūkanas už ūkininko ūkio vardu banke laikomus indėlius, gavęs delspinigius iš pirkėjų ar paslaugų vartotojų už laiku nesumokėtas jų skolas ir pan. Finansinės veiklos sąnaudos – ūkininko ūkio sumokėtos baudos ir delspinigiai, palūkanos ir pan. Ūkininkui pardavus nereikalingą ilgalaikį materialųjį turtą brangiau nei jo likutinė vertė, jis uždirbs pelną, kuris įrašomas investicinės veiklos pajamų eilutėje, o pardavus pigiau nei jo likutinė vertė – patirs nuostolį, kuris įrašomas investicinės veiklos sąnaudų eilutėje.</w:t>
                      </w:r>
                    </w:p>
                  </w:sdtContent>
                </w:sdt>
                <w:sdt>
                  <w:sdtPr>
                    <w:alias w:val="79 p."/>
                    <w:tag w:val="part_54f9bacdca5e465f9053e2ac9ce906f5"/>
                    <w:lock w:val="sdtLocked"/>
                    <w:richText/>
                  </w:sdtPr>
                  <w:sdtContent>
                    <w:p>
                      <w:pPr>
                        <w:ind w:firstLine="709"/>
                        <w:jc w:val="both"/>
                        <w:rPr>
                          <w:color w:val="000000"/>
                        </w:rPr>
                      </w:pPr>
                      <w:sdt>
                        <w:sdtPr>
                          <w:alias w:val="Numeris"/>
                          <w:tag w:val="nr_54f9bacdca5e465f9053e2ac9ce906f5"/>
                          <w:lock w:val="sdtLocked"/>
                          <w:richText/>
                        </w:sdtPr>
                        <w:sdtContent>
                          <w:r>
                            <w:rPr>
                              <w:color w:val="000000"/>
                              <w:szCs w:val="22"/>
                            </w:rPr>
                            <w:t>79</w:t>
                          </w:r>
                        </w:sdtContent>
                      </w:sdt>
                      <w:r>
                        <w:rPr>
                          <w:color w:val="000000"/>
                          <w:szCs w:val="22"/>
                        </w:rPr>
                        <w:t>. Prie ūkio veiklos pelno (nuostolių) pridėjus dotacijų, susijusių su pajamomis sumą, pridėjus (atėmus) finansinės ir investicinės ūkininko ūkio veiklos pelną (nuostolius), apskaičiuojamas ūkininko ūkio veiklos finansinis rezultatas – grynasis pelnas (nuostoliai).</w:t>
                      </w:r>
                    </w:p>
                    <w:p>
                      <w:pPr>
                        <w:jc w:val="center"/>
                        <w:rPr>
                          <w:b/>
                          <w:bCs/>
                          <w:color w:val="000000"/>
                        </w:rPr>
                      </w:pPr>
                    </w:p>
                  </w:sdtContent>
                </w:sdt>
                <w:sdt>
                  <w:sdtPr>
                    <w:alias w:val="skirsnis"/>
                    <w:tag w:val="part_4ccf3e120d9247149c422da91b2278e7"/>
                    <w:lock w:val="sdtLocked"/>
                    <w:richText/>
                  </w:sdtPr>
                  <w:sdtContent>
                    <w:p>
                      <w:pPr>
                        <w:jc w:val="center"/>
                        <w:rPr>
                          <w:b/>
                          <w:bCs/>
                          <w:color w:val="000000"/>
                        </w:rPr>
                      </w:pPr>
                      <w:sdt>
                        <w:sdtPr>
                          <w:alias w:val="Pavadinimas"/>
                          <w:tag w:val="title_4ccf3e120d9247149c422da91b2278e7"/>
                          <w:lock w:val="sdtLocked"/>
                          <w:richText/>
                        </w:sdtPr>
                        <w:sdtContent>
                          <w:r>
                            <w:rPr>
                              <w:b/>
                              <w:bCs/>
                              <w:color w:val="000000"/>
                              <w:szCs w:val="22"/>
                            </w:rPr>
                            <w:t>Ūkininko ūkio balansas</w:t>
                          </w:r>
                        </w:sdtContent>
                      </w:sdt>
                    </w:p>
                    <w:p>
                      <w:pPr>
                        <w:jc w:val="center"/>
                        <w:rPr>
                          <w:b/>
                          <w:bCs/>
                          <w:color w:val="000000"/>
                        </w:rPr>
                      </w:pPr>
                    </w:p>
                    <w:sdt>
                      <w:sdtPr>
                        <w:alias w:val="80 p."/>
                        <w:tag w:val="part_87cfb4b54a1d4bb091d22b042349f6ea"/>
                        <w:lock w:val="sdtLocked"/>
                        <w:richText/>
                      </w:sdtPr>
                      <w:sdtContent>
                        <w:p>
                          <w:pPr>
                            <w:ind w:firstLine="709"/>
                            <w:jc w:val="both"/>
                            <w:rPr>
                              <w:color w:val="000000"/>
                            </w:rPr>
                          </w:pPr>
                          <w:sdt>
                            <w:sdtPr>
                              <w:alias w:val="Numeris"/>
                              <w:tag w:val="nr_87cfb4b54a1d4bb091d22b042349f6ea"/>
                              <w:lock w:val="sdtLocked"/>
                              <w:richText/>
                            </w:sdtPr>
                            <w:sdtContent>
                              <w:r>
                                <w:rPr>
                                  <w:color w:val="000000"/>
                                  <w:szCs w:val="22"/>
                                </w:rPr>
                                <w:t>80</w:t>
                              </w:r>
                            </w:sdtContent>
                          </w:sdt>
                          <w:r>
                            <w:rPr>
                              <w:color w:val="000000"/>
                              <w:szCs w:val="22"/>
                            </w:rPr>
                            <w:t xml:space="preserve">. </w:t>
                          </w:r>
                          <w:r>
                            <w:rPr>
                              <w:i/>
                              <w:iCs/>
                              <w:color w:val="000000"/>
                              <w:szCs w:val="22"/>
                            </w:rPr>
                            <w:t>Ūkininko ūkio balansas</w:t>
                          </w:r>
                          <w:r>
                            <w:rPr>
                              <w:color w:val="000000"/>
                              <w:szCs w:val="22"/>
                            </w:rPr>
                            <w:t xml:space="preserve"> (toliau – balansas) (13 priedas) – lentelės formos finansinė ataskaita, kurioje surašytos ataskaitinio laikotarpio pabaigoje ūkininko ūkyje turimo turto, ūkio kapitalo ir skolų sumos.</w:t>
                          </w:r>
                        </w:p>
                      </w:sdtContent>
                    </w:sdt>
                    <w:sdt>
                      <w:sdtPr>
                        <w:alias w:val="81 p."/>
                        <w:tag w:val="part_5425033c17c54f11a30141f790164cf8"/>
                        <w:lock w:val="sdtLocked"/>
                        <w:richText/>
                      </w:sdtPr>
                      <w:sdtContent>
                        <w:p>
                          <w:pPr>
                            <w:ind w:firstLine="709"/>
                            <w:jc w:val="both"/>
                            <w:rPr>
                              <w:color w:val="000000"/>
                            </w:rPr>
                          </w:pPr>
                          <w:sdt>
                            <w:sdtPr>
                              <w:alias w:val="Numeris"/>
                              <w:tag w:val="nr_5425033c17c54f11a30141f790164cf8"/>
                              <w:lock w:val="sdtLocked"/>
                              <w:richText/>
                            </w:sdtPr>
                            <w:sdtContent>
                              <w:r>
                                <w:rPr>
                                  <w:color w:val="000000"/>
                                  <w:szCs w:val="22"/>
                                </w:rPr>
                                <w:t>81</w:t>
                              </w:r>
                            </w:sdtContent>
                          </w:sdt>
                          <w:r>
                            <w:rPr>
                              <w:color w:val="000000"/>
                              <w:szCs w:val="22"/>
                            </w:rPr>
                            <w:t xml:space="preserve">. </w:t>
                          </w:r>
                          <w:r>
                            <w:rPr>
                              <w:i/>
                              <w:iCs/>
                              <w:color w:val="000000"/>
                              <w:szCs w:val="22"/>
                            </w:rPr>
                            <w:t>Balanso</w:t>
                          </w:r>
                          <w:r>
                            <w:rPr>
                              <w:color w:val="000000"/>
                              <w:szCs w:val="22"/>
                            </w:rPr>
                            <w:t xml:space="preserve"> „Ilgalaikio turto“ straipsniuose, kurie užpildomi pagal </w:t>
                          </w:r>
                          <w:r>
                            <w:rPr>
                              <w:i/>
                              <w:iCs/>
                              <w:color w:val="000000"/>
                              <w:szCs w:val="22"/>
                            </w:rPr>
                            <w:t xml:space="preserve">Ilgalaikio turto žiniaraščio </w:t>
                          </w:r>
                          <w:r>
                            <w:rPr>
                              <w:color w:val="000000"/>
                              <w:szCs w:val="22"/>
                            </w:rPr>
                            <w:t>duomenis, nurodomas nematerialusis, materialusis ir finansinis turtas.</w:t>
                          </w:r>
                        </w:p>
                      </w:sdtContent>
                    </w:sdt>
                    <w:sdt>
                      <w:sdtPr>
                        <w:alias w:val="82 p."/>
                        <w:tag w:val="part_da79ca8a0ef6406a88d1c7d21fe15a09"/>
                        <w:lock w:val="sdtLocked"/>
                        <w:richText/>
                      </w:sdtPr>
                      <w:sdtContent>
                        <w:p>
                          <w:pPr>
                            <w:ind w:firstLine="709"/>
                            <w:jc w:val="both"/>
                            <w:rPr>
                              <w:color w:val="000000"/>
                            </w:rPr>
                          </w:pPr>
                          <w:sdt>
                            <w:sdtPr>
                              <w:alias w:val="Numeris"/>
                              <w:tag w:val="nr_da79ca8a0ef6406a88d1c7d21fe15a09"/>
                              <w:lock w:val="sdtLocked"/>
                              <w:richText/>
                            </w:sdtPr>
                            <w:sdtContent>
                              <w:r>
                                <w:rPr>
                                  <w:color w:val="000000"/>
                                  <w:szCs w:val="22"/>
                                </w:rPr>
                                <w:t>82</w:t>
                              </w:r>
                            </w:sdtContent>
                          </w:sdt>
                          <w:r>
                            <w:rPr>
                              <w:color w:val="000000"/>
                              <w:szCs w:val="22"/>
                            </w:rPr>
                            <w:t>. Nematerialusis turtas nurodomas likutine verte, kuri apskaičiuojama iš įsigijimo savikainos atėmus sukauptą amortizaciją ir turto vertės sumažėjimą.</w:t>
                          </w:r>
                        </w:p>
                      </w:sdtContent>
                    </w:sdt>
                    <w:sdt>
                      <w:sdtPr>
                        <w:alias w:val="83 p."/>
                        <w:tag w:val="part_3dfec98eaa0343c5aaefd2cc41e5dd45"/>
                        <w:lock w:val="sdtLocked"/>
                        <w:richText/>
                      </w:sdtPr>
                      <w:sdtContent>
                        <w:p>
                          <w:pPr>
                            <w:ind w:firstLine="709"/>
                            <w:jc w:val="both"/>
                            <w:rPr>
                              <w:color w:val="000000"/>
                            </w:rPr>
                          </w:pPr>
                          <w:sdt>
                            <w:sdtPr>
                              <w:alias w:val="Numeris"/>
                              <w:tag w:val="nr_3dfec98eaa0343c5aaefd2cc41e5dd45"/>
                              <w:lock w:val="sdtLocked"/>
                              <w:richText/>
                            </w:sdtPr>
                            <w:sdtContent>
                              <w:r>
                                <w:rPr>
                                  <w:color w:val="000000"/>
                                  <w:szCs w:val="22"/>
                                </w:rPr>
                                <w:t>83</w:t>
                              </w:r>
                            </w:sdtContent>
                          </w:sdt>
                          <w:r>
                            <w:rPr>
                              <w:color w:val="000000"/>
                              <w:szCs w:val="22"/>
                            </w:rPr>
                            <w:t>. Ilgalaikis materialusis turtas, išskyrus žemę ir nebaigtą statybą, bei daugiamečiai sodiniai balanse pateikiami likutine verte, kuri apskaičiuojama iš įsigijimo savikainos atėmus sukauptą nusidėvėjimą ir turto vertės sumažėjimą.</w:t>
                          </w:r>
                        </w:p>
                      </w:sdtContent>
                    </w:sdt>
                    <w:sdt>
                      <w:sdtPr>
                        <w:alias w:val="84 p."/>
                        <w:tag w:val="part_c9f179844622488f95e233b3a1dfceb8"/>
                        <w:lock w:val="sdtLocked"/>
                        <w:richText/>
                      </w:sdtPr>
                      <w:sdtContent>
                        <w:p>
                          <w:pPr>
                            <w:ind w:firstLine="709"/>
                            <w:jc w:val="both"/>
                            <w:rPr>
                              <w:color w:val="000000"/>
                            </w:rPr>
                          </w:pPr>
                          <w:sdt>
                            <w:sdtPr>
                              <w:alias w:val="Numeris"/>
                              <w:tag w:val="nr_c9f179844622488f95e233b3a1dfceb8"/>
                              <w:lock w:val="sdtLocked"/>
                              <w:richText/>
                            </w:sdtPr>
                            <w:sdtContent>
                              <w:r>
                                <w:rPr>
                                  <w:color w:val="000000"/>
                                  <w:szCs w:val="22"/>
                                </w:rPr>
                                <w:t>84</w:t>
                              </w:r>
                            </w:sdtContent>
                          </w:sdt>
                          <w:r>
                            <w:rPr>
                              <w:color w:val="000000"/>
                              <w:szCs w:val="22"/>
                            </w:rPr>
                            <w:t xml:space="preserve">. Žemė </w:t>
                          </w:r>
                          <w:r>
                            <w:rPr>
                              <w:i/>
                              <w:iCs/>
                              <w:color w:val="000000"/>
                              <w:szCs w:val="22"/>
                            </w:rPr>
                            <w:t>balanse</w:t>
                          </w:r>
                          <w:r>
                            <w:rPr>
                              <w:color w:val="000000"/>
                              <w:szCs w:val="22"/>
                            </w:rPr>
                            <w:t xml:space="preserve"> pateikiama įsigijimo savikaina arba perkainota verte.</w:t>
                          </w:r>
                        </w:p>
                      </w:sdtContent>
                    </w:sdt>
                    <w:sdt>
                      <w:sdtPr>
                        <w:alias w:val="85 p."/>
                        <w:tag w:val="part_b5b53e1f43c7452884115e7f67e8a9c1"/>
                        <w:lock w:val="sdtLocked"/>
                        <w:richText/>
                      </w:sdtPr>
                      <w:sdtContent>
                        <w:p>
                          <w:pPr>
                            <w:ind w:firstLine="709"/>
                            <w:jc w:val="both"/>
                            <w:rPr>
                              <w:color w:val="000000"/>
                            </w:rPr>
                          </w:pPr>
                          <w:sdt>
                            <w:sdtPr>
                              <w:alias w:val="Numeris"/>
                              <w:tag w:val="nr_b5b53e1f43c7452884115e7f67e8a9c1"/>
                              <w:lock w:val="sdtLocked"/>
                              <w:richText/>
                            </w:sdtPr>
                            <w:sdtContent>
                              <w:r>
                                <w:rPr>
                                  <w:color w:val="000000"/>
                                  <w:szCs w:val="22"/>
                                </w:rPr>
                                <w:t>85</w:t>
                              </w:r>
                            </w:sdtContent>
                          </w:sdt>
                          <w:r>
                            <w:rPr>
                              <w:color w:val="000000"/>
                              <w:szCs w:val="22"/>
                            </w:rPr>
                            <w:t xml:space="preserve">. </w:t>
                          </w:r>
                          <w:r>
                            <w:rPr>
                              <w:i/>
                              <w:iCs/>
                              <w:color w:val="000000"/>
                              <w:szCs w:val="22"/>
                            </w:rPr>
                            <w:t>Balanso</w:t>
                          </w:r>
                          <w:r>
                            <w:rPr>
                              <w:color w:val="000000"/>
                              <w:szCs w:val="22"/>
                            </w:rPr>
                            <w:t xml:space="preserve"> straipsnyje „Gyvuliai ir kiti gyvūnai“ įrašoma gyvūnų tikroji vertė, atėmus pardavimo vietos išlaidas. Šie duomenys įrašomi pagal </w:t>
                          </w:r>
                          <w:r>
                            <w:rPr>
                              <w:i/>
                              <w:iCs/>
                              <w:color w:val="000000"/>
                              <w:szCs w:val="22"/>
                            </w:rPr>
                            <w:t xml:space="preserve">Inventorizacijos aprašo </w:t>
                          </w:r>
                          <w:r>
                            <w:rPr>
                              <w:color w:val="000000"/>
                              <w:szCs w:val="22"/>
                            </w:rPr>
                            <w:t>duomenis.</w:t>
                          </w:r>
                        </w:p>
                      </w:sdtContent>
                    </w:sdt>
                    <w:sdt>
                      <w:sdtPr>
                        <w:alias w:val="86 p."/>
                        <w:tag w:val="part_d3ac0a15765d460f8981f47e2dd42c9e"/>
                        <w:lock w:val="sdtLocked"/>
                        <w:richText/>
                      </w:sdtPr>
                      <w:sdtContent>
                        <w:p>
                          <w:pPr>
                            <w:ind w:firstLine="709"/>
                            <w:jc w:val="both"/>
                            <w:rPr>
                              <w:color w:val="000000"/>
                            </w:rPr>
                          </w:pPr>
                          <w:sdt>
                            <w:sdtPr>
                              <w:alias w:val="Numeris"/>
                              <w:tag w:val="nr_d3ac0a15765d460f8981f47e2dd42c9e"/>
                              <w:lock w:val="sdtLocked"/>
                              <w:richText/>
                            </w:sdtPr>
                            <w:sdtContent>
                              <w:r>
                                <w:rPr>
                                  <w:color w:val="000000"/>
                                  <w:szCs w:val="22"/>
                                </w:rPr>
                                <w:t>86</w:t>
                              </w:r>
                            </w:sdtContent>
                          </w:sdt>
                          <w:r>
                            <w:rPr>
                              <w:color w:val="000000"/>
                              <w:szCs w:val="22"/>
                            </w:rPr>
                            <w:t xml:space="preserve">. Straipsnis „Pasėliai“ užpildomas pagal </w:t>
                          </w:r>
                          <w:r>
                            <w:rPr>
                              <w:i/>
                              <w:iCs/>
                              <w:color w:val="000000"/>
                              <w:szCs w:val="22"/>
                            </w:rPr>
                            <w:t>Inventorizacijos aprašo</w:t>
                          </w:r>
                          <w:r>
                            <w:rPr>
                              <w:color w:val="000000"/>
                              <w:szCs w:val="22"/>
                            </w:rPr>
                            <w:t xml:space="preserve"> duomenis.</w:t>
                          </w:r>
                        </w:p>
                      </w:sdtContent>
                    </w:sdt>
                    <w:sdt>
                      <w:sdtPr>
                        <w:alias w:val="87 p."/>
                        <w:tag w:val="part_a80c488b442a4154b20e3d83b48006c1"/>
                        <w:lock w:val="sdtLocked"/>
                        <w:richText/>
                      </w:sdtPr>
                      <w:sdtContent>
                        <w:p>
                          <w:pPr>
                            <w:ind w:firstLine="709"/>
                            <w:jc w:val="both"/>
                            <w:rPr>
                              <w:color w:val="000000"/>
                            </w:rPr>
                          </w:pPr>
                          <w:sdt>
                            <w:sdtPr>
                              <w:alias w:val="Numeris"/>
                              <w:tag w:val="nr_a80c488b442a4154b20e3d83b48006c1"/>
                              <w:lock w:val="sdtLocked"/>
                              <w:richText/>
                            </w:sdtPr>
                            <w:sdtContent>
                              <w:r>
                                <w:rPr>
                                  <w:color w:val="000000"/>
                                  <w:szCs w:val="22"/>
                                </w:rPr>
                                <w:t>87</w:t>
                              </w:r>
                            </w:sdtContent>
                          </w:sdt>
                          <w:r>
                            <w:rPr>
                              <w:color w:val="000000"/>
                              <w:szCs w:val="22"/>
                            </w:rPr>
                            <w:t xml:space="preserve">. </w:t>
                          </w:r>
                          <w:r>
                            <w:rPr>
                              <w:i/>
                              <w:iCs/>
                              <w:color w:val="000000"/>
                              <w:szCs w:val="22"/>
                            </w:rPr>
                            <w:t>Balanso</w:t>
                          </w:r>
                          <w:r>
                            <w:rPr>
                              <w:color w:val="000000"/>
                              <w:szCs w:val="22"/>
                            </w:rPr>
                            <w:t xml:space="preserve"> trumpalaikio turto straipsniuose pateikiamos atsargos (žaliavos, nebaigta gamyba (išskyrus pasėlius), pagaminta produkcija ir kt.), per vienerius metus gautinos sumos, trumpalaikis finansinis turtas ir pinigai.</w:t>
                          </w:r>
                        </w:p>
                      </w:sdtContent>
                    </w:sdt>
                    <w:sdt>
                      <w:sdtPr>
                        <w:alias w:val="88 p."/>
                        <w:tag w:val="part_4c37c2583eca4e1582da6040a78d91b4"/>
                        <w:lock w:val="sdtLocked"/>
                        <w:richText/>
                      </w:sdtPr>
                      <w:sdtContent>
                        <w:p>
                          <w:pPr>
                            <w:ind w:firstLine="709"/>
                            <w:jc w:val="both"/>
                            <w:rPr>
                              <w:color w:val="000000"/>
                            </w:rPr>
                          </w:pPr>
                          <w:sdt>
                            <w:sdtPr>
                              <w:alias w:val="Numeris"/>
                              <w:tag w:val="nr_4c37c2583eca4e1582da6040a78d91b4"/>
                              <w:lock w:val="sdtLocked"/>
                              <w:richText/>
                            </w:sdtPr>
                            <w:sdtContent>
                              <w:r>
                                <w:rPr>
                                  <w:color w:val="000000"/>
                                  <w:szCs w:val="22"/>
                                </w:rPr>
                                <w:t>88</w:t>
                              </w:r>
                            </w:sdtContent>
                          </w:sdt>
                          <w:r>
                            <w:rPr>
                              <w:color w:val="000000"/>
                              <w:szCs w:val="22"/>
                            </w:rPr>
                            <w:t>. Pirktų medžiagų likučiai, sudarant finansinę atskaitomybę, įkainojami jų įsigijimo savikaina arba grynąja galimo realizavimo verte, atsižvelgiant į tai, kuri iš jų mažesnė.</w:t>
                          </w:r>
                        </w:p>
                      </w:sdtContent>
                    </w:sdt>
                    <w:sdt>
                      <w:sdtPr>
                        <w:alias w:val="89 p."/>
                        <w:tag w:val="part_df6c476338a6482882e36a87c02d55d9"/>
                        <w:lock w:val="sdtLocked"/>
                        <w:richText/>
                      </w:sdtPr>
                      <w:sdtContent>
                        <w:p>
                          <w:pPr>
                            <w:ind w:firstLine="709"/>
                            <w:jc w:val="both"/>
                            <w:rPr>
                              <w:color w:val="000000"/>
                            </w:rPr>
                          </w:pPr>
                          <w:sdt>
                            <w:sdtPr>
                              <w:alias w:val="Numeris"/>
                              <w:tag w:val="nr_df6c476338a6482882e36a87c02d55d9"/>
                              <w:lock w:val="sdtLocked"/>
                              <w:richText/>
                            </w:sdtPr>
                            <w:sdtContent>
                              <w:r>
                                <w:rPr>
                                  <w:color w:val="000000"/>
                                  <w:szCs w:val="22"/>
                                </w:rPr>
                                <w:t>89</w:t>
                              </w:r>
                            </w:sdtContent>
                          </w:sdt>
                          <w:r>
                            <w:rPr>
                              <w:color w:val="000000"/>
                              <w:szCs w:val="22"/>
                            </w:rPr>
                            <w:t>. Ūkininko ūkyje pagamintos produkcijos likučiai, sudarant finansinę atskaitomybę, įkainojami grynąja galimo realizavimo verte.</w:t>
                          </w:r>
                        </w:p>
                      </w:sdtContent>
                    </w:sdt>
                    <w:sdt>
                      <w:sdtPr>
                        <w:alias w:val="90 p."/>
                        <w:tag w:val="part_e121af1026464624829e4f1fee93c4c7"/>
                        <w:lock w:val="sdtLocked"/>
                        <w:richText/>
                      </w:sdtPr>
                      <w:sdtContent>
                        <w:p>
                          <w:pPr>
                            <w:tabs>
                              <w:tab w:val="left" w:pos="1134"/>
                            </w:tabs>
                            <w:overflowPunct w:val="0"/>
                            <w:ind w:firstLine="720"/>
                            <w:jc w:val="both"/>
                            <w:textAlignment w:val="baseline"/>
                            <w:rPr>
                              <w:color w:val="000000"/>
                            </w:rPr>
                          </w:pPr>
                          <w:sdt>
                            <w:sdtPr>
                              <w:alias w:val="Numeris"/>
                              <w:tag w:val="nr_e121af1026464624829e4f1fee93c4c7"/>
                              <w:lock w:val="sdtLocked"/>
                              <w:richText/>
                            </w:sdtPr>
                            <w:sdtContent>
                              <w:r>
                                <w:rPr>
                                  <w:szCs w:val="24"/>
                                </w:rPr>
                                <w:t>90</w:t>
                              </w:r>
                            </w:sdtContent>
                          </w:sdt>
                          <w:r>
                            <w:rPr>
                              <w:szCs w:val="24"/>
                            </w:rPr>
                            <w:t xml:space="preserve">. Išankstiniai apmokėjimai įrašomi pagal </w:t>
                          </w:r>
                          <w:r>
                            <w:rPr>
                              <w:i/>
                              <w:iCs/>
                              <w:szCs w:val="24"/>
                            </w:rPr>
                            <w:t>Atsiskaitymų žiniaraščio</w:t>
                          </w:r>
                          <w:r>
                            <w:rPr>
                              <w:szCs w:val="24"/>
                            </w:rPr>
                            <w:t xml:space="preserve"> (skolos ūkininko ūkiui) arba </w:t>
                          </w:r>
                          <w:r>
                            <w:rPr>
                              <w:i/>
                              <w:iCs/>
                              <w:szCs w:val="24"/>
                            </w:rPr>
                            <w:t xml:space="preserve">Pinigų </w:t>
                          </w:r>
                          <w:r>
                            <w:rPr>
                              <w:i/>
                              <w:szCs w:val="24"/>
                            </w:rPr>
                            <w:t>kasoje, banko sąskaitose ir pirkimų ir pardavimų apskaitos</w:t>
                          </w:r>
                          <w:r>
                            <w:rPr>
                              <w:szCs w:val="24"/>
                            </w:rPr>
                            <w:t xml:space="preserve"> </w:t>
                          </w:r>
                          <w:r>
                            <w:rPr>
                              <w:i/>
                              <w:iCs/>
                              <w:szCs w:val="24"/>
                            </w:rPr>
                            <w:t>žurnalo</w:t>
                          </w:r>
                          <w:r>
                            <w:rPr>
                              <w:szCs w:val="24"/>
                            </w:rPr>
                            <w:t xml:space="preserve"> duomenis.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ef4760a89511e5be7fbe3f919a1ebe">
                            <w:r w:rsidRPr="00532B9F">
                              <w:rPr>
                                <w:rFonts w:ascii="Times New Roman" w:eastAsia="MS Mincho" w:hAnsi="Times New Roman"/>
                                <w:sz w:val="20"/>
                                <w:i/>
                                <w:iCs/>
                                <w:color w:val="0000FF" w:themeColor="hyperlink"/>
                                <w:u w:val="single"/>
                              </w:rPr>
                              <w:t>3D-941</w:t>
                            </w:r>
                          </w:fldSimple>
                          <w:r>
                            <w:rPr>
                              <w:rFonts w:ascii="Times New Roman" w:eastAsia="MS Mincho" w:hAnsi="Times New Roman"/>
                              <w:sz w:val="20"/>
                              <w:i/>
                              <w:iCs/>
                            </w:rPr>
                            <w:t>,
2015-12-22,
paskelbta TAR 2015-12-23, i. k. 2015-20239            </w:t>
                          </w:r>
                        </w:p>
                        <w:p/>
                      </w:sdtContent>
                    </w:sdt>
                    <w:sdt>
                      <w:sdtPr>
                        <w:alias w:val="91 p."/>
                        <w:tag w:val="part_9b2fa777e2e7469b83af965935bd32a1"/>
                        <w:lock w:val="sdtLocked"/>
                        <w:richText/>
                      </w:sdtPr>
                      <w:sdtContent>
                        <w:p>
                          <w:pPr>
                            <w:tabs>
                              <w:tab w:val="left" w:pos="1134"/>
                            </w:tabs>
                            <w:overflowPunct w:val="0"/>
                            <w:ind w:firstLine="720"/>
                            <w:jc w:val="both"/>
                            <w:textAlignment w:val="baseline"/>
                            <w:rPr>
                              <w:color w:val="000000"/>
                            </w:rPr>
                          </w:pPr>
                          <w:sdt>
                            <w:sdtPr>
                              <w:alias w:val="Numeris"/>
                              <w:tag w:val="nr_9b2fa777e2e7469b83af965935bd32a1"/>
                              <w:lock w:val="sdtLocked"/>
                              <w:richText/>
                            </w:sdtPr>
                            <w:sdtContent>
                              <w:r>
                                <w:rPr>
                                  <w:szCs w:val="24"/>
                                </w:rPr>
                                <w:t>91</w:t>
                              </w:r>
                            </w:sdtContent>
                          </w:sdt>
                          <w:r>
                            <w:rPr>
                              <w:szCs w:val="24"/>
                            </w:rPr>
                            <w:t xml:space="preserve">. </w:t>
                          </w:r>
                          <w:r>
                            <w:rPr>
                              <w:i/>
                              <w:iCs/>
                              <w:szCs w:val="24"/>
                            </w:rPr>
                            <w:t>Balanso</w:t>
                          </w:r>
                          <w:r>
                            <w:rPr>
                              <w:szCs w:val="24"/>
                            </w:rPr>
                            <w:t xml:space="preserve"> straipsnyje „Per vienerius metus gautinos sumos“ įrašomos visos trumpalaikės skolos ūkininko ūkiui (išskyrus išankstinius mokėjimus): pirkėjų skolos, gautinas PVM, samdomiems asmenims ar ūkininko partneriams išduoti avansai ir kt. Gautinos sumos pateikiamos atėmus abejotinų skolų sumas. Šio straipsnio rodikliai užpildomi pagal </w:t>
                          </w:r>
                          <w:r>
                            <w:rPr>
                              <w:i/>
                              <w:iCs/>
                              <w:szCs w:val="24"/>
                            </w:rPr>
                            <w:t>Atsiskaitymų žiniaraščio</w:t>
                          </w:r>
                          <w:r>
                            <w:rPr>
                              <w:szCs w:val="24"/>
                            </w:rPr>
                            <w:t xml:space="preserve"> (skolos ūkininko ūkiui), </w:t>
                          </w:r>
                          <w:r>
                            <w:rPr>
                              <w:i/>
                              <w:iCs/>
                              <w:szCs w:val="24"/>
                            </w:rPr>
                            <w:t>Atsiskaitymų už socialinio ir sveikatos draudimo įmokas, gyventojų pajamų mokestį žiniaraščio</w:t>
                          </w:r>
                          <w:r>
                            <w:rPr>
                              <w:szCs w:val="24"/>
                            </w:rPr>
                            <w:t xml:space="preserve">, </w:t>
                          </w:r>
                          <w:r>
                            <w:rPr>
                              <w:i/>
                              <w:iCs/>
                              <w:szCs w:val="24"/>
                            </w:rPr>
                            <w:t xml:space="preserve">Pinigų </w:t>
                          </w:r>
                          <w:r>
                            <w:rPr>
                              <w:i/>
                              <w:szCs w:val="24"/>
                            </w:rPr>
                            <w:t>kasoje, banko sąskaitose ir pirkimų ir pardavimų apskaitos</w:t>
                          </w:r>
                          <w:r>
                            <w:rPr>
                              <w:szCs w:val="24"/>
                            </w:rPr>
                            <w:t xml:space="preserve"> </w:t>
                          </w:r>
                          <w:r>
                            <w:rPr>
                              <w:i/>
                              <w:iCs/>
                              <w:szCs w:val="24"/>
                            </w:rPr>
                            <w:t>žurnalo</w:t>
                          </w:r>
                          <w:r>
                            <w:rPr>
                              <w:szCs w:val="24"/>
                            </w:rPr>
                            <w:t xml:space="preserve"> (gautinas PVM) likučių duomenis.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ba5c0506f11e4a698d921e3e46801">
                            <w:r w:rsidRPr="00532B9F">
                              <w:rPr>
                                <w:rFonts w:ascii="Times New Roman" w:eastAsia="MS Mincho" w:hAnsi="Times New Roman"/>
                                <w:sz w:val="20"/>
                                <w:i/>
                                <w:iCs/>
                                <w:color w:val="0000FF" w:themeColor="hyperlink"/>
                                <w:u w:val="single"/>
                              </w:rPr>
                              <w:t>3D-725</w:t>
                            </w:r>
                          </w:fldSimple>
                          <w:r>
                            <w:rPr>
                              <w:rFonts w:ascii="Times New Roman" w:eastAsia="MS Mincho" w:hAnsi="Times New Roman"/>
                              <w:sz w:val="20"/>
                              <w:i/>
                              <w:iCs/>
                            </w:rPr>
                            <w:t>,
2014-10-10,
paskelbta TAR 2014-10-10, i. k. 2014-13951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ef4760a89511e5be7fbe3f919a1ebe">
                            <w:r w:rsidRPr="00532B9F">
                              <w:rPr>
                                <w:rFonts w:ascii="Times New Roman" w:eastAsia="MS Mincho" w:hAnsi="Times New Roman"/>
                                <w:sz w:val="20"/>
                                <w:i/>
                                <w:iCs/>
                                <w:color w:val="0000FF" w:themeColor="hyperlink"/>
                                <w:u w:val="single"/>
                              </w:rPr>
                              <w:t>3D-941</w:t>
                            </w:r>
                          </w:fldSimple>
                          <w:r>
                            <w:rPr>
                              <w:rFonts w:ascii="Times New Roman" w:eastAsia="MS Mincho" w:hAnsi="Times New Roman"/>
                              <w:sz w:val="20"/>
                              <w:i/>
                              <w:iCs/>
                            </w:rPr>
                            <w:t>,
2015-12-22,
paskelbta TAR 2015-12-23, i. k. 2015-20239            </w:t>
                          </w:r>
                        </w:p>
                        <w:p/>
                      </w:sdtContent>
                    </w:sdt>
                    <w:sdt>
                      <w:sdtPr>
                        <w:alias w:val="92 p."/>
                        <w:tag w:val="part_fa97b271ff4e40f185e9c07f0b9fc73c"/>
                        <w:lock w:val="sdtLocked"/>
                        <w:richText/>
                      </w:sdtPr>
                      <w:sdtContent>
                        <w:p>
                          <w:pPr>
                            <w:ind w:firstLine="709"/>
                            <w:jc w:val="both"/>
                            <w:rPr>
                              <w:color w:val="000000"/>
                            </w:rPr>
                          </w:pPr>
                          <w:sdt>
                            <w:sdtPr>
                              <w:alias w:val="Numeris"/>
                              <w:tag w:val="nr_fa97b271ff4e40f185e9c07f0b9fc73c"/>
                              <w:lock w:val="sdtLocked"/>
                              <w:richText/>
                            </w:sdtPr>
                            <w:sdtContent>
                              <w:r>
                                <w:rPr>
                                  <w:color w:val="000000"/>
                                  <w:szCs w:val="22"/>
                                </w:rPr>
                                <w:t>92</w:t>
                              </w:r>
                            </w:sdtContent>
                          </w:sdt>
                          <w:r>
                            <w:rPr>
                              <w:color w:val="000000"/>
                              <w:szCs w:val="22"/>
                            </w:rPr>
                            <w:t xml:space="preserve">. </w:t>
                          </w:r>
                          <w:r>
                            <w:rPr>
                              <w:i/>
                              <w:iCs/>
                              <w:color w:val="000000"/>
                              <w:szCs w:val="22"/>
                            </w:rPr>
                            <w:t>Balanso</w:t>
                          </w:r>
                          <w:r>
                            <w:rPr>
                              <w:color w:val="000000"/>
                              <w:szCs w:val="22"/>
                            </w:rPr>
                            <w:t xml:space="preserve"> straipsnis „Kitas trumpalaikis turtas“ užpildomas pagal trumpalaikių investicijų sutarčių duomenis. Trumpalaikių investicijų duomenys gali būti sukaupti </w:t>
                          </w:r>
                          <w:r>
                            <w:rPr>
                              <w:i/>
                              <w:iCs/>
                              <w:color w:val="000000"/>
                              <w:szCs w:val="22"/>
                            </w:rPr>
                            <w:t>Atsiskaitymų žiniaraštyje.</w:t>
                          </w:r>
                        </w:p>
                      </w:sdtContent>
                    </w:sdt>
                    <w:sdt>
                      <w:sdtPr>
                        <w:alias w:val="93 p."/>
                        <w:tag w:val="part_250e4bb96e5741b6a6b4cadaa0826332"/>
                        <w:lock w:val="sdtLocked"/>
                        <w:richText/>
                      </w:sdtPr>
                      <w:sdtContent>
                        <w:p>
                          <w:pPr>
                            <w:overflowPunct w:val="0"/>
                            <w:ind w:firstLine="709"/>
                            <w:jc w:val="both"/>
                            <w:textAlignment w:val="baseline"/>
                            <w:rPr>
                              <w:color w:val="000000"/>
                            </w:rPr>
                          </w:pPr>
                          <w:sdt>
                            <w:sdtPr>
                              <w:alias w:val="Numeris"/>
                              <w:tag w:val="nr_250e4bb96e5741b6a6b4cadaa0826332"/>
                              <w:lock w:val="sdtLocked"/>
                              <w:richText/>
                            </w:sdtPr>
                            <w:sdtContent>
                              <w:r>
                                <w:rPr>
                                  <w:szCs w:val="24"/>
                                </w:rPr>
                                <w:t>93</w:t>
                              </w:r>
                            </w:sdtContent>
                          </w:sdt>
                          <w:r>
                            <w:rPr>
                              <w:szCs w:val="24"/>
                            </w:rPr>
                            <w:t xml:space="preserve">. Straipsnyje „Pinigai ir pinigų ekvivalentai“ įrašoma visa ūkininko ūkio turimų pinigų eurais ir užsienio valiuta (perskaičiuota į eurus) suma pagal </w:t>
                          </w:r>
                          <w:r>
                            <w:rPr>
                              <w:i/>
                              <w:iCs/>
                              <w:szCs w:val="24"/>
                            </w:rPr>
                            <w:t xml:space="preserve">Pinigų, pirkimo ir pardavimo žurnalo </w:t>
                          </w:r>
                          <w:r>
                            <w:rPr>
                              <w:szCs w:val="24"/>
                            </w:rPr>
                            <w:t>pinigų kasoje ir pinigų banke likučių duomenis.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ba5c0506f11e4a698d921e3e46801">
                            <w:r w:rsidRPr="00532B9F">
                              <w:rPr>
                                <w:rFonts w:ascii="Times New Roman" w:eastAsia="MS Mincho" w:hAnsi="Times New Roman"/>
                                <w:sz w:val="20"/>
                                <w:i/>
                                <w:iCs/>
                                <w:color w:val="0000FF" w:themeColor="hyperlink"/>
                                <w:u w:val="single"/>
                              </w:rPr>
                              <w:t>3D-725</w:t>
                            </w:r>
                          </w:fldSimple>
                          <w:r>
                            <w:rPr>
                              <w:rFonts w:ascii="Times New Roman" w:eastAsia="MS Mincho" w:hAnsi="Times New Roman"/>
                              <w:sz w:val="20"/>
                              <w:i/>
                              <w:iCs/>
                            </w:rPr>
                            <w:t>,
2014-10-10,
paskelbta TAR 2014-10-10, i. k. 2014-13951            </w:t>
                          </w:r>
                        </w:p>
                        <w:p/>
                      </w:sdtContent>
                    </w:sdt>
                    <w:sdt>
                      <w:sdtPr>
                        <w:alias w:val="94 p."/>
                        <w:tag w:val="part_e1e81da747b84078812d1908635e1bab"/>
                        <w:lock w:val="sdtLocked"/>
                        <w:richText/>
                      </w:sdtPr>
                      <w:sdtContent>
                        <w:p>
                          <w:pPr>
                            <w:ind w:firstLine="709"/>
                            <w:jc w:val="both"/>
                            <w:rPr>
                              <w:color w:val="000000"/>
                            </w:rPr>
                          </w:pPr>
                          <w:sdt>
                            <w:sdtPr>
                              <w:alias w:val="Numeris"/>
                              <w:tag w:val="nr_e1e81da747b84078812d1908635e1bab"/>
                              <w:lock w:val="sdtLocked"/>
                              <w:richText/>
                            </w:sdtPr>
                            <w:sdtContent>
                              <w:r>
                                <w:rPr>
                                  <w:color w:val="000000"/>
                                  <w:szCs w:val="22"/>
                                </w:rPr>
                                <w:t>94</w:t>
                              </w:r>
                            </w:sdtContent>
                          </w:sdt>
                          <w:r>
                            <w:rPr>
                              <w:color w:val="000000"/>
                              <w:szCs w:val="22"/>
                            </w:rPr>
                            <w:t>. Visas turtas apskaičiuojamas sudedant ilgalaikio turto, biologinio turto ir trumpalaikio turto straipsnių sumas.</w:t>
                          </w:r>
                        </w:p>
                      </w:sdtContent>
                    </w:sdt>
                    <w:sdt>
                      <w:sdtPr>
                        <w:alias w:val="95 p."/>
                        <w:tag w:val="part_74fc086e37b64a2898049f2765e7ec95"/>
                        <w:lock w:val="sdtLocked"/>
                        <w:richText/>
                      </w:sdtPr>
                      <w:sdtContent>
                        <w:p>
                          <w:pPr>
                            <w:ind w:firstLine="709"/>
                            <w:jc w:val="both"/>
                            <w:rPr>
                              <w:color w:val="000000"/>
                            </w:rPr>
                          </w:pPr>
                          <w:sdt>
                            <w:sdtPr>
                              <w:alias w:val="Numeris"/>
                              <w:tag w:val="nr_74fc086e37b64a2898049f2765e7ec95"/>
                              <w:lock w:val="sdtLocked"/>
                              <w:richText/>
                            </w:sdtPr>
                            <w:sdtContent>
                              <w:r>
                                <w:rPr>
                                  <w:color w:val="000000"/>
                                  <w:szCs w:val="22"/>
                                </w:rPr>
                                <w:t>95</w:t>
                              </w:r>
                            </w:sdtContent>
                          </w:sdt>
                          <w:r>
                            <w:rPr>
                              <w:color w:val="000000"/>
                              <w:szCs w:val="22"/>
                            </w:rPr>
                            <w:t>. Ūkininko ūkyje kapitalo suma parodo ūkininko ir jo partnerių nuosavo kapitalo sumą. Pirmą kartą sudarant finansinę ūkininko ūkio atskaitomybę, ūkininko ūkio kapitalas apskaičiuojamas kaip skirtumas tarp bendros ūkio turto vertės ir ūkio skolų.</w:t>
                          </w:r>
                        </w:p>
                      </w:sdtContent>
                    </w:sdt>
                    <w:sdt>
                      <w:sdtPr>
                        <w:alias w:val="96 p."/>
                        <w:tag w:val="part_d72751754d124ff78b98da10cd2770a5"/>
                        <w:lock w:val="sdtLocked"/>
                        <w:richText/>
                      </w:sdtPr>
                      <w:sdtContent>
                        <w:p>
                          <w:pPr>
                            <w:ind w:firstLine="709"/>
                            <w:jc w:val="both"/>
                            <w:rPr>
                              <w:color w:val="000000"/>
                            </w:rPr>
                          </w:pPr>
                          <w:sdt>
                            <w:sdtPr>
                              <w:alias w:val="Numeris"/>
                              <w:tag w:val="nr_d72751754d124ff78b98da10cd2770a5"/>
                              <w:lock w:val="sdtLocked"/>
                              <w:richText/>
                            </w:sdtPr>
                            <w:sdtContent>
                              <w:r>
                                <w:rPr>
                                  <w:color w:val="000000"/>
                                  <w:szCs w:val="22"/>
                                </w:rPr>
                                <w:t>96</w:t>
                              </w:r>
                            </w:sdtContent>
                          </w:sdt>
                          <w:r>
                            <w:rPr>
                              <w:color w:val="000000"/>
                              <w:szCs w:val="22"/>
                            </w:rPr>
                            <w:t xml:space="preserve">. Ataskaitinio laikotarpio pabaigoje ilgalaikio turto perkainojimo ir pelno (nuostolio) suma didinamas arba mažinamas ūkininko ūkio kapitalas. Kapitalo suma įrašoma iš </w:t>
                          </w:r>
                          <w:r>
                            <w:rPr>
                              <w:i/>
                              <w:iCs/>
                              <w:color w:val="000000"/>
                              <w:szCs w:val="22"/>
                            </w:rPr>
                            <w:t xml:space="preserve">Kapitalo apskaičiavimo žiniaraščio </w:t>
                          </w:r>
                          <w:r>
                            <w:rPr>
                              <w:color w:val="000000"/>
                              <w:szCs w:val="22"/>
                            </w:rPr>
                            <w:t>(14 priedas).</w:t>
                          </w:r>
                        </w:p>
                      </w:sdtContent>
                    </w:sdt>
                    <w:sdt>
                      <w:sdtPr>
                        <w:alias w:val="97 p."/>
                        <w:tag w:val="part_8133a319a771449cb12fffd3fbf3fd8c"/>
                        <w:lock w:val="sdtLocked"/>
                        <w:richText/>
                      </w:sdtPr>
                      <w:sdtContent>
                        <w:p>
                          <w:pPr>
                            <w:tabs>
                              <w:tab w:val="left" w:pos="1134"/>
                            </w:tabs>
                            <w:overflowPunct w:val="0"/>
                            <w:ind w:firstLine="720"/>
                            <w:jc w:val="both"/>
                            <w:textAlignment w:val="baseline"/>
                            <w:rPr>
                              <w:color w:val="000000"/>
                            </w:rPr>
                          </w:pPr>
                          <w:sdt>
                            <w:sdtPr>
                              <w:alias w:val="Numeris"/>
                              <w:tag w:val="nr_8133a319a771449cb12fffd3fbf3fd8c"/>
                              <w:lock w:val="sdtLocked"/>
                              <w:richText/>
                            </w:sdtPr>
                            <w:sdtContent>
                              <w:r>
                                <w:rPr>
                                  <w:szCs w:val="24"/>
                                </w:rPr>
                                <w:t>97</w:t>
                              </w:r>
                            </w:sdtContent>
                          </w:sdt>
                          <w:r>
                            <w:rPr>
                              <w:szCs w:val="24"/>
                            </w:rPr>
                            <w:t xml:space="preserve">. Ūkininko ūkio kapitalo likutis ataskaitinio laikotarpio pradžioje įrašomas iš praeito ataskaitinio laikotarpio </w:t>
                          </w:r>
                          <w:r>
                            <w:rPr>
                              <w:i/>
                              <w:iCs/>
                              <w:szCs w:val="24"/>
                            </w:rPr>
                            <w:t>Kapitalo apskaičiavimo žiniaraščio</w:t>
                          </w:r>
                          <w:r>
                            <w:rPr>
                              <w:szCs w:val="24"/>
                            </w:rPr>
                            <w:t xml:space="preserve"> eilutės „Likutis ataskaitinio laikotarpio pabaigoje“ arba </w:t>
                          </w:r>
                          <w:r>
                            <w:rPr>
                              <w:i/>
                              <w:iCs/>
                              <w:szCs w:val="24"/>
                            </w:rPr>
                            <w:t>balanso</w:t>
                          </w:r>
                          <w:r>
                            <w:rPr>
                              <w:szCs w:val="24"/>
                            </w:rPr>
                            <w:t xml:space="preserve"> straipsnio „Kapitalas“. Pelno (nuostolių) sumos įrašomos iš </w:t>
                          </w:r>
                          <w:r>
                            <w:rPr>
                              <w:i/>
                              <w:iCs/>
                              <w:szCs w:val="24"/>
                            </w:rPr>
                            <w:t>Pelno (nuostolių) ataskaitos</w:t>
                          </w:r>
                          <w:r>
                            <w:rPr>
                              <w:szCs w:val="24"/>
                            </w:rPr>
                            <w:t xml:space="preserve">. Ilgalaikio turto perkainojimo rezultatas apskaičiuojamas pagal </w:t>
                          </w:r>
                          <w:r>
                            <w:rPr>
                              <w:i/>
                              <w:iCs/>
                              <w:szCs w:val="24"/>
                            </w:rPr>
                            <w:t>Ilgalaikio turto žiniaraščio</w:t>
                          </w:r>
                          <w:r>
                            <w:rPr>
                              <w:szCs w:val="24"/>
                            </w:rPr>
                            <w:t xml:space="preserve"> duomenis. Informacija apie pinigų išmokėjimą ūkininko ir/ar jo partnerių reikmėms įrašoma iš </w:t>
                          </w:r>
                          <w:r>
                            <w:rPr>
                              <w:i/>
                              <w:iCs/>
                              <w:szCs w:val="24"/>
                            </w:rPr>
                            <w:t xml:space="preserve">Pinigų </w:t>
                          </w:r>
                          <w:r>
                            <w:rPr>
                              <w:i/>
                              <w:szCs w:val="24"/>
                            </w:rPr>
                            <w:t xml:space="preserve">kasoje, banko sąskaitose ir pirkimų ir pardavimų apskaitos </w:t>
                          </w:r>
                          <w:r>
                            <w:rPr>
                              <w:i/>
                              <w:iCs/>
                              <w:szCs w:val="24"/>
                            </w:rPr>
                            <w:t>žurnalo</w:t>
                          </w:r>
                          <w:r>
                            <w:rPr>
                              <w:szCs w:val="24"/>
                            </w:rPr>
                            <w:t xml:space="preserve">. Ūkininko ūkyje pagamintos produkcijos ir išaugintų gyvulių sunaudojimas asmeninėms reikmėms įrašomas pagal faktinius natūrinius duomenis, per ataskaitinius metus sukauptus </w:t>
                          </w:r>
                          <w:r>
                            <w:rPr>
                              <w:i/>
                              <w:iCs/>
                              <w:szCs w:val="24"/>
                            </w:rPr>
                            <w:t>Medžiagų ir produkcijos žiniaraštyje</w:t>
                          </w:r>
                          <w:r>
                            <w:rPr>
                              <w:szCs w:val="24"/>
                            </w:rPr>
                            <w:t xml:space="preserve"> ir įkainotus tikrąja verte, atėmus pardavimo vietos išlaidas. Ūkininko ūkio kapitalo likutis ataskaitinio laikotarpio pabaigoje apskaičiuojamas aritmetiniu būdu sumuojant </w:t>
                          </w:r>
                          <w:r>
                            <w:rPr>
                              <w:i/>
                              <w:iCs/>
                              <w:szCs w:val="24"/>
                            </w:rPr>
                            <w:t>Kapitalo apskaičiavimo žiniaraštyje</w:t>
                          </w:r>
                          <w:r>
                            <w:rPr>
                              <w:szCs w:val="24"/>
                            </w:rPr>
                            <w:t xml:space="preserve"> pateiktus duomenis.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ef4760a89511e5be7fbe3f919a1ebe">
                            <w:r w:rsidRPr="00532B9F">
                              <w:rPr>
                                <w:rFonts w:ascii="Times New Roman" w:eastAsia="MS Mincho" w:hAnsi="Times New Roman"/>
                                <w:sz w:val="20"/>
                                <w:i/>
                                <w:iCs/>
                                <w:color w:val="0000FF" w:themeColor="hyperlink"/>
                                <w:u w:val="single"/>
                              </w:rPr>
                              <w:t>3D-941</w:t>
                            </w:r>
                          </w:fldSimple>
                          <w:r>
                            <w:rPr>
                              <w:rFonts w:ascii="Times New Roman" w:eastAsia="MS Mincho" w:hAnsi="Times New Roman"/>
                              <w:sz w:val="20"/>
                              <w:i/>
                              <w:iCs/>
                            </w:rPr>
                            <w:t>,
2015-12-22,
paskelbta TAR 2015-12-23, i. k. 2015-20239            </w:t>
                          </w:r>
                        </w:p>
                        <w:p/>
                      </w:sdtContent>
                    </w:sdt>
                    <w:sdt>
                      <w:sdtPr>
                        <w:alias w:val="98 p."/>
                        <w:tag w:val="part_2b482eae82c3486fa856bacdb05efa02"/>
                        <w:lock w:val="sdtLocked"/>
                        <w:richText/>
                      </w:sdtPr>
                      <w:sdtContent>
                        <w:p>
                          <w:pPr>
                            <w:ind w:firstLine="709"/>
                            <w:jc w:val="both"/>
                            <w:rPr>
                              <w:color w:val="000000"/>
                            </w:rPr>
                          </w:pPr>
                          <w:sdt>
                            <w:sdtPr>
                              <w:alias w:val="Numeris"/>
                              <w:tag w:val="nr_2b482eae82c3486fa856bacdb05efa02"/>
                              <w:lock w:val="sdtLocked"/>
                              <w:richText/>
                            </w:sdtPr>
                            <w:sdtContent>
                              <w:r>
                                <w:rPr>
                                  <w:color w:val="000000"/>
                                  <w:szCs w:val="22"/>
                                </w:rPr>
                                <w:t>98</w:t>
                              </w:r>
                            </w:sdtContent>
                          </w:sdt>
                          <w:r>
                            <w:rPr>
                              <w:color w:val="000000"/>
                              <w:szCs w:val="22"/>
                            </w:rPr>
                            <w:t xml:space="preserve">. </w:t>
                          </w:r>
                          <w:r>
                            <w:rPr>
                              <w:i/>
                              <w:iCs/>
                              <w:color w:val="000000"/>
                              <w:szCs w:val="22"/>
                            </w:rPr>
                            <w:t>Balanso</w:t>
                          </w:r>
                          <w:r>
                            <w:rPr>
                              <w:color w:val="000000"/>
                              <w:szCs w:val="22"/>
                            </w:rPr>
                            <w:t xml:space="preserve"> straipsnyje „Dotacijos, subsidijos“ pateikiama nepanaudota gautų arba gautinų dotacijų ir subsidijų suma. Dotacijų ir jų panaudojimo apskaita gali būti tvarkoma </w:t>
                          </w:r>
                          <w:r>
                            <w:rPr>
                              <w:i/>
                              <w:iCs/>
                              <w:color w:val="000000"/>
                              <w:szCs w:val="22"/>
                            </w:rPr>
                            <w:t>Atsiskaitymų žiniaraštyje.</w:t>
                          </w:r>
                        </w:p>
                      </w:sdtContent>
                    </w:sdt>
                    <w:sdt>
                      <w:sdtPr>
                        <w:alias w:val="99 p."/>
                        <w:tag w:val="part_da25e0b94340418d8e333d3427dd6817"/>
                        <w:lock w:val="sdtLocked"/>
                        <w:richText/>
                      </w:sdtPr>
                      <w:sdtContent>
                        <w:p>
                          <w:pPr>
                            <w:tabs>
                              <w:tab w:val="left" w:pos="1134"/>
                            </w:tabs>
                            <w:overflowPunct w:val="0"/>
                            <w:ind w:firstLine="709"/>
                            <w:jc w:val="both"/>
                            <w:textAlignment w:val="baseline"/>
                            <w:rPr>
                              <w:color w:val="000000"/>
                            </w:rPr>
                          </w:pPr>
                          <w:sdt>
                            <w:sdtPr>
                              <w:alias w:val="Numeris"/>
                              <w:tag w:val="nr_da25e0b94340418d8e333d3427dd6817"/>
                              <w:lock w:val="sdtLocked"/>
                              <w:richText/>
                            </w:sdtPr>
                            <w:sdtContent>
                              <w:r>
                                <w:rPr>
                                  <w:szCs w:val="24"/>
                                </w:rPr>
                                <w:t>99</w:t>
                              </w:r>
                            </w:sdtContent>
                          </w:sdt>
                          <w:r>
                            <w:rPr>
                              <w:szCs w:val="24"/>
                            </w:rPr>
                            <w:t xml:space="preserve">. </w:t>
                          </w:r>
                          <w:r>
                            <w:rPr>
                              <w:i/>
                              <w:iCs/>
                              <w:szCs w:val="24"/>
                            </w:rPr>
                            <w:t>Balanso</w:t>
                          </w:r>
                          <w:r>
                            <w:rPr>
                              <w:szCs w:val="24"/>
                            </w:rPr>
                            <w:t xml:space="preserve"> straipsnyje „Po vienerių metų mokėtinos sumos ir ilgalaikiai įsipareigojimai“ pateikiamos visos ūkininko ūkio ilgalaikės skolos, o </w:t>
                          </w:r>
                          <w:r>
                            <w:rPr>
                              <w:i/>
                              <w:iCs/>
                              <w:szCs w:val="24"/>
                            </w:rPr>
                            <w:t>balanso</w:t>
                          </w:r>
                          <w:r>
                            <w:rPr>
                              <w:szCs w:val="24"/>
                            </w:rPr>
                            <w:t xml:space="preserve"> straipsnyje „Per vienerius metus mokėtinos sumos ir trumpalaikiai įsipareigojimai“ įrašoma visa ūkininko ūkio trumpalaikių skolų suma pagal </w:t>
                          </w:r>
                          <w:r>
                            <w:rPr>
                              <w:i/>
                              <w:iCs/>
                              <w:szCs w:val="24"/>
                            </w:rPr>
                            <w:t>Atsiskaitymų žiniaraščio</w:t>
                          </w:r>
                          <w:r>
                            <w:rPr>
                              <w:szCs w:val="24"/>
                            </w:rPr>
                            <w:t xml:space="preserve"> (ūkininko ūkio skolos), </w:t>
                          </w:r>
                          <w:r>
                            <w:rPr>
                              <w:i/>
                              <w:iCs/>
                              <w:szCs w:val="24"/>
                            </w:rPr>
                            <w:t>Samdomų asmenų darbo užmokesčio apskaičiavimo žiniaraščio, Atsiskaitymų už socialinio ir sveikatos draudimo įmokas, gyventojų pajamų mokestį žiniaraščio, Atsiskaitymų už PVM žiniaraščio</w:t>
                          </w:r>
                          <w:r>
                            <w:rPr>
                              <w:szCs w:val="24"/>
                            </w:rPr>
                            <w:t xml:space="preserve"> likučių duomenis.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ba5c0506f11e4a698d921e3e46801">
                            <w:r w:rsidRPr="00532B9F">
                              <w:rPr>
                                <w:rFonts w:ascii="Times New Roman" w:eastAsia="MS Mincho" w:hAnsi="Times New Roman"/>
                                <w:sz w:val="20"/>
                                <w:i/>
                                <w:iCs/>
                                <w:color w:val="0000FF" w:themeColor="hyperlink"/>
                                <w:u w:val="single"/>
                              </w:rPr>
                              <w:t>3D-725</w:t>
                            </w:r>
                          </w:fldSimple>
                          <w:r>
                            <w:rPr>
                              <w:rFonts w:ascii="Times New Roman" w:eastAsia="MS Mincho" w:hAnsi="Times New Roman"/>
                              <w:sz w:val="20"/>
                              <w:i/>
                              <w:iCs/>
                            </w:rPr>
                            <w:t>,
2014-10-10,
paskelbta TAR 2014-10-10, i. k. 2014-13951            </w:t>
                          </w:r>
                        </w:p>
                        <w:p/>
                      </w:sdtContent>
                    </w:sdt>
                    <w:sdt>
                      <w:sdtPr>
                        <w:alias w:val="100 p."/>
                        <w:tag w:val="part_7fc92dc29f144c79b3d6f6f5a4e1357e"/>
                        <w:lock w:val="sdtLocked"/>
                        <w:richText/>
                      </w:sdtPr>
                      <w:sdtContent>
                        <w:p>
                          <w:pPr>
                            <w:ind w:firstLine="709"/>
                            <w:jc w:val="both"/>
                            <w:rPr>
                              <w:color w:val="000000"/>
                            </w:rPr>
                          </w:pPr>
                          <w:sdt>
                            <w:sdtPr>
                              <w:alias w:val="Numeris"/>
                              <w:tag w:val="nr_7fc92dc29f144c79b3d6f6f5a4e1357e"/>
                              <w:lock w:val="sdtLocked"/>
                              <w:richText/>
                            </w:sdtPr>
                            <w:sdtContent>
                              <w:r>
                                <w:rPr>
                                  <w:color w:val="000000"/>
                                  <w:szCs w:val="22"/>
                                </w:rPr>
                                <w:t>100</w:t>
                              </w:r>
                            </w:sdtContent>
                          </w:sdt>
                          <w:r>
                            <w:rPr>
                              <w:color w:val="000000"/>
                              <w:szCs w:val="22"/>
                            </w:rPr>
                            <w:t>. Kapitalo ir įsipareigojimų visa suma apskaičiuojama sudėjus kapitalo, dotacijų ir subsidijų bei mokėtinų sumų ir įsipareigojimų sumas.</w:t>
                          </w:r>
                        </w:p>
                        <w:p>
                          <w:pPr>
                            <w:jc w:val="center"/>
                            <w:rPr>
                              <w:b/>
                              <w:bCs/>
                              <w:color w:val="000000"/>
                            </w:rPr>
                          </w:pPr>
                        </w:p>
                      </w:sdtContent>
                    </w:sdt>
                  </w:sdtContent>
                </w:sdt>
                <w:sdt>
                  <w:sdtPr>
                    <w:alias w:val="skirsnis"/>
                    <w:tag w:val="part_b56573d18fee412eb9db65d4e4aec276"/>
                    <w:lock w:val="sdtLocked"/>
                    <w:richText/>
                  </w:sdtPr>
                  <w:sdtContent>
                    <w:p>
                      <w:pPr>
                        <w:jc w:val="center"/>
                        <w:rPr>
                          <w:b/>
                          <w:bCs/>
                          <w:color w:val="000000"/>
                        </w:rPr>
                      </w:pPr>
                      <w:sdt>
                        <w:sdtPr>
                          <w:alias w:val="Pavadinimas"/>
                          <w:tag w:val="title_b56573d18fee412eb9db65d4e4aec276"/>
                          <w:lock w:val="sdtLocked"/>
                          <w:richText/>
                        </w:sdtPr>
                        <w:sdtContent>
                          <w:r>
                            <w:rPr>
                              <w:b/>
                              <w:bCs/>
                              <w:color w:val="000000"/>
                              <w:szCs w:val="22"/>
                            </w:rPr>
                            <w:t>Pinigų srautų ataskaita</w:t>
                          </w:r>
                        </w:sdtContent>
                      </w:sdt>
                    </w:p>
                    <w:p>
                      <w:pPr>
                        <w:jc w:val="center"/>
                        <w:rPr>
                          <w:b/>
                          <w:bCs/>
                          <w:color w:val="000000"/>
                        </w:rPr>
                      </w:pPr>
                    </w:p>
                    <w:sdt>
                      <w:sdtPr>
                        <w:alias w:val="101 p."/>
                        <w:tag w:val="part_fb4beacc521645c8be9a1b117e23a905"/>
                        <w:lock w:val="sdtLocked"/>
                        <w:richText/>
                      </w:sdtPr>
                      <w:sdtContent>
                        <w:p>
                          <w:pPr>
                            <w:ind w:firstLine="709"/>
                            <w:jc w:val="both"/>
                            <w:rPr>
                              <w:color w:val="000000"/>
                            </w:rPr>
                          </w:pPr>
                          <w:sdt>
                            <w:sdtPr>
                              <w:alias w:val="Numeris"/>
                              <w:tag w:val="nr_fb4beacc521645c8be9a1b117e23a905"/>
                              <w:lock w:val="sdtLocked"/>
                              <w:richText/>
                            </w:sdtPr>
                            <w:sdtContent>
                              <w:r>
                                <w:rPr>
                                  <w:color w:val="000000"/>
                                  <w:szCs w:val="22"/>
                                </w:rPr>
                                <w:t>101</w:t>
                              </w:r>
                            </w:sdtContent>
                          </w:sdt>
                          <w:r>
                            <w:rPr>
                              <w:color w:val="000000"/>
                              <w:szCs w:val="22"/>
                            </w:rPr>
                            <w:t>. Pinigų srautų ataskaita – finansinė ataskaita, kurioje nurodomos ūkininko ūkio ataskaitinio laikotarpio pinigų ir pinigų ekvivalentų įplaukos bei išmokos.</w:t>
                          </w:r>
                        </w:p>
                      </w:sdtContent>
                    </w:sdt>
                    <w:sdt>
                      <w:sdtPr>
                        <w:alias w:val="102 p."/>
                        <w:tag w:val="part_91b06c9fb50c4473b57b4b866e99ee7a"/>
                        <w:lock w:val="sdtLocked"/>
                        <w:richText/>
                      </w:sdtPr>
                      <w:sdtContent>
                        <w:p>
                          <w:pPr>
                            <w:ind w:firstLine="709"/>
                            <w:jc w:val="both"/>
                            <w:rPr>
                              <w:color w:val="000000"/>
                            </w:rPr>
                          </w:pPr>
                          <w:sdt>
                            <w:sdtPr>
                              <w:alias w:val="Numeris"/>
                              <w:tag w:val="nr_91b06c9fb50c4473b57b4b866e99ee7a"/>
                              <w:lock w:val="sdtLocked"/>
                              <w:richText/>
                            </w:sdtPr>
                            <w:sdtContent>
                              <w:r>
                                <w:rPr>
                                  <w:color w:val="000000"/>
                                  <w:szCs w:val="22"/>
                                </w:rPr>
                                <w:t>102</w:t>
                              </w:r>
                            </w:sdtContent>
                          </w:sdt>
                          <w:r>
                            <w:rPr>
                              <w:color w:val="000000"/>
                              <w:szCs w:val="22"/>
                            </w:rPr>
                            <w:t>. Pinigų srautų ataskaita gali būti rengiama netiesioginiu ir tiesioginiu būdu. Šie ataskaitos rengimo būdai skiriasi tik pinigų srautų iš pagrindinės veiklos pateikimu. Pinigų srautai iš investicinės ir finansinės veiklos vienodai pateikiami tiek rengiant ataskaitą tiesioginiu, tiek netiesioginiu būdais.</w:t>
                          </w:r>
                        </w:p>
                      </w:sdtContent>
                    </w:sdt>
                    <w:sdt>
                      <w:sdtPr>
                        <w:alias w:val="103 p."/>
                        <w:tag w:val="part_4b776d507b26486fb0798423d41d7202"/>
                        <w:lock w:val="sdtLocked"/>
                        <w:richText/>
                      </w:sdtPr>
                      <w:sdtContent>
                        <w:p>
                          <w:pPr>
                            <w:ind w:firstLine="709"/>
                            <w:jc w:val="both"/>
                            <w:rPr>
                              <w:color w:val="000000"/>
                            </w:rPr>
                          </w:pPr>
                          <w:sdt>
                            <w:sdtPr>
                              <w:alias w:val="Numeris"/>
                              <w:tag w:val="nr_4b776d507b26486fb0798423d41d7202"/>
                              <w:lock w:val="sdtLocked"/>
                              <w:richText/>
                            </w:sdtPr>
                            <w:sdtContent>
                              <w:r>
                                <w:rPr>
                                  <w:color w:val="000000"/>
                                  <w:szCs w:val="22"/>
                                </w:rPr>
                                <w:t>103</w:t>
                              </w:r>
                            </w:sdtContent>
                          </w:sdt>
                          <w:r>
                            <w:rPr>
                              <w:color w:val="000000"/>
                              <w:szCs w:val="22"/>
                            </w:rPr>
                            <w:t>. Pagrindinės veiklos pinigų srautų pateikimas netiesioginiu būdu:</w:t>
                          </w:r>
                        </w:p>
                        <w:sdt>
                          <w:sdtPr>
                            <w:alias w:val="103.1 p."/>
                            <w:tag w:val="part_507bcbf7d1ef48d5a72718e71ff5135f"/>
                            <w:lock w:val="sdtLocked"/>
                            <w:richText/>
                          </w:sdtPr>
                          <w:sdtContent>
                            <w:p>
                              <w:pPr>
                                <w:ind w:firstLine="709"/>
                                <w:jc w:val="both"/>
                                <w:rPr>
                                  <w:color w:val="000000"/>
                                </w:rPr>
                              </w:pPr>
                              <w:sdt>
                                <w:sdtPr>
                                  <w:alias w:val="Numeris"/>
                                  <w:tag w:val="nr_507bcbf7d1ef48d5a72718e71ff5135f"/>
                                  <w:lock w:val="sdtLocked"/>
                                  <w:richText/>
                                </w:sdtPr>
                                <w:sdtContent>
                                  <w:r>
                                    <w:rPr>
                                      <w:color w:val="000000"/>
                                      <w:szCs w:val="22"/>
                                    </w:rPr>
                                    <w:t>103.1</w:t>
                                  </w:r>
                                </w:sdtContent>
                              </w:sdt>
                              <w:r>
                                <w:rPr>
                                  <w:color w:val="000000"/>
                                  <w:szCs w:val="22"/>
                                </w:rPr>
                                <w:t xml:space="preserve">. </w:t>
                              </w:r>
                              <w:r>
                                <w:rPr>
                                  <w:i/>
                                  <w:iCs/>
                                  <w:color w:val="000000"/>
                                  <w:szCs w:val="22"/>
                                </w:rPr>
                                <w:t xml:space="preserve">Pinigų srautų ataskaitoje </w:t>
                              </w:r>
                              <w:r>
                                <w:rPr>
                                  <w:color w:val="000000"/>
                                  <w:szCs w:val="22"/>
                                </w:rPr>
                                <w:t xml:space="preserve">sudaromoje netiesioginiu būdu (15 priedas), skaičiuojant pagrindinės veiklos pinigų srautus, koreguojama grynojo pelno arba nuostolio suma, apskaičiuota </w:t>
                              </w:r>
                              <w:r>
                                <w:rPr>
                                  <w:i/>
                                  <w:iCs/>
                                  <w:color w:val="000000"/>
                                  <w:szCs w:val="22"/>
                                </w:rPr>
                                <w:t>Pelno (nuostolių) ataskaitoje</w:t>
                              </w:r>
                              <w:r>
                                <w:rPr>
                                  <w:color w:val="000000"/>
                                  <w:szCs w:val="22"/>
                                </w:rPr>
                                <w:t>. Koregavimo tikslas – parodyti ryšį tarp kaupimo principu apskaičiuoto finansinio rezultato ir pinigų iš pagrindinės veiklos pokyčio.</w:t>
                              </w:r>
                            </w:p>
                          </w:sdtContent>
                        </w:sdt>
                        <w:sdt>
                          <w:sdtPr>
                            <w:alias w:val="103.2 p."/>
                            <w:tag w:val="part_4e64ef2d83ac488ea411afcc7feb89db"/>
                            <w:lock w:val="sdtLocked"/>
                            <w:richText/>
                          </w:sdtPr>
                          <w:sdtContent>
                            <w:p>
                              <w:pPr>
                                <w:ind w:firstLine="709"/>
                                <w:jc w:val="both"/>
                                <w:rPr>
                                  <w:color w:val="000000"/>
                                </w:rPr>
                              </w:pPr>
                              <w:sdt>
                                <w:sdtPr>
                                  <w:alias w:val="Numeris"/>
                                  <w:tag w:val="nr_4e64ef2d83ac488ea411afcc7feb89db"/>
                                  <w:lock w:val="sdtLocked"/>
                                  <w:richText/>
                                </w:sdtPr>
                                <w:sdtContent>
                                  <w:r>
                                    <w:rPr>
                                      <w:color w:val="000000"/>
                                      <w:szCs w:val="22"/>
                                    </w:rPr>
                                    <w:t>103.2</w:t>
                                  </w:r>
                                </w:sdtContent>
                              </w:sdt>
                              <w:r>
                                <w:rPr>
                                  <w:color w:val="000000"/>
                                  <w:szCs w:val="22"/>
                                </w:rPr>
                                <w:t xml:space="preserve">. Grynojo pelno arba nuostolio suma pirmiausiai koreguojama nepiniginių išlaidų – ilgalaikio turto nusidėvėjimo (amortizacijos) suma. Ši suma įrašoma iš </w:t>
                              </w:r>
                              <w:r>
                                <w:rPr>
                                  <w:i/>
                                  <w:iCs/>
                                  <w:color w:val="000000"/>
                                  <w:szCs w:val="22"/>
                                </w:rPr>
                                <w:t xml:space="preserve">Pelno (nuostolių) ataskaitos </w:t>
                              </w:r>
                              <w:r>
                                <w:rPr>
                                  <w:color w:val="000000"/>
                                  <w:szCs w:val="22"/>
                                </w:rPr>
                                <w:t>eilutės „Ilgalaikio turto nusidėvėjimas“.</w:t>
                              </w:r>
                            </w:p>
                          </w:sdtContent>
                        </w:sdt>
                        <w:sdt>
                          <w:sdtPr>
                            <w:alias w:val="103.3 p."/>
                            <w:tag w:val="part_da9656821ee5474db7c3e25e0b6f59a7"/>
                            <w:lock w:val="sdtLocked"/>
                            <w:richText/>
                          </w:sdtPr>
                          <w:sdtContent>
                            <w:p>
                              <w:pPr>
                                <w:ind w:firstLine="709"/>
                                <w:jc w:val="both"/>
                                <w:rPr>
                                  <w:color w:val="000000"/>
                                </w:rPr>
                              </w:pPr>
                              <w:sdt>
                                <w:sdtPr>
                                  <w:alias w:val="Numeris"/>
                                  <w:tag w:val="nr_da9656821ee5474db7c3e25e0b6f59a7"/>
                                  <w:lock w:val="sdtLocked"/>
                                  <w:richText/>
                                </w:sdtPr>
                                <w:sdtContent>
                                  <w:r>
                                    <w:rPr>
                                      <w:color w:val="000000"/>
                                      <w:szCs w:val="22"/>
                                    </w:rPr>
                                    <w:t>103.3</w:t>
                                  </w:r>
                                </w:sdtContent>
                              </w:sdt>
                              <w:r>
                                <w:rPr>
                                  <w:color w:val="000000"/>
                                  <w:szCs w:val="22"/>
                                </w:rPr>
                                <w:t xml:space="preserve">. Po vienerių metų gautinų sumų pokytis įrašomas palyginus </w:t>
                              </w:r>
                              <w:r>
                                <w:rPr>
                                  <w:i/>
                                  <w:iCs/>
                                  <w:color w:val="000000"/>
                                  <w:szCs w:val="22"/>
                                </w:rPr>
                                <w:t>balanso</w:t>
                              </w:r>
                              <w:r>
                                <w:rPr>
                                  <w:color w:val="000000"/>
                                  <w:szCs w:val="22"/>
                                </w:rPr>
                                <w:t xml:space="preserve"> straipsnio „Po vienerių metų gautinos sumos“ duomenis finansinių ir praėjusių finansinių metų pabaigoje. Po vienerių metų gautinų sumų sumažėjimas pridedamas, nes rodo gautas pinigines įplaukas, o padidėjimas atimamas. Šie duomenys gali būti apskaičiuojami ir pagal </w:t>
                              </w:r>
                              <w:r>
                                <w:rPr>
                                  <w:i/>
                                  <w:iCs/>
                                  <w:color w:val="000000"/>
                                  <w:szCs w:val="22"/>
                                </w:rPr>
                                <w:t xml:space="preserve">Atsiskaitymų žiniaraščio </w:t>
                              </w:r>
                              <w:r>
                                <w:rPr>
                                  <w:color w:val="000000"/>
                                  <w:szCs w:val="22"/>
                                </w:rPr>
                                <w:t>duomenis</w:t>
                              </w:r>
                              <w:r>
                                <w:rPr>
                                  <w:i/>
                                  <w:iCs/>
                                  <w:color w:val="000000"/>
                                  <w:szCs w:val="22"/>
                                </w:rPr>
                                <w:t>.</w:t>
                              </w:r>
                            </w:p>
                          </w:sdtContent>
                        </w:sdt>
                        <w:sdt>
                          <w:sdtPr>
                            <w:alias w:val="103.4 p."/>
                            <w:tag w:val="part_64f6efea078c4bdfa2438429c8b6ec8e"/>
                            <w:lock w:val="sdtLocked"/>
                            <w:richText/>
                          </w:sdtPr>
                          <w:sdtContent>
                            <w:p>
                              <w:pPr>
                                <w:ind w:firstLine="709"/>
                                <w:jc w:val="both"/>
                                <w:rPr>
                                  <w:color w:val="000000"/>
                                </w:rPr>
                              </w:pPr>
                              <w:sdt>
                                <w:sdtPr>
                                  <w:alias w:val="Numeris"/>
                                  <w:tag w:val="nr_64f6efea078c4bdfa2438429c8b6ec8e"/>
                                  <w:lock w:val="sdtLocked"/>
                                  <w:richText/>
                                </w:sdtPr>
                                <w:sdtContent>
                                  <w:r>
                                    <w:rPr>
                                      <w:color w:val="000000"/>
                                      <w:szCs w:val="22"/>
                                    </w:rPr>
                                    <w:t>103.4</w:t>
                                  </w:r>
                                </w:sdtContent>
                              </w:sdt>
                              <w:r>
                                <w:rPr>
                                  <w:color w:val="000000"/>
                                  <w:szCs w:val="22"/>
                                </w:rPr>
                                <w:t xml:space="preserve">. Per ataskaitinį laikotarpį atsargoms pirkti išleistų pinigų suma neatsispindi grynojo pelno (nuostolio) sumoje. Todėl šią sumą reikia koreguoti atsargų, gyvulių ir kitų gyvūnų bei pasėlių vertės pokyčio suma: šių turto grupių vertei padidėjus per ataskaitinį laikotarpį, padidėjimo suma atimama iš grynojo pelno (nuostolio) sumos; šių turto grupių vertei per ataskaitinį laikotarpį sumažėjus, atitinkama suma pridedama prie grynojo pelno (nuostolio) sumos. Pokytis apskaičiuojamas, lyginant </w:t>
                              </w:r>
                              <w:r>
                                <w:rPr>
                                  <w:i/>
                                  <w:iCs/>
                                  <w:color w:val="000000"/>
                                  <w:szCs w:val="22"/>
                                </w:rPr>
                                <w:t>balanso</w:t>
                              </w:r>
                              <w:r>
                                <w:rPr>
                                  <w:color w:val="000000"/>
                                  <w:szCs w:val="22"/>
                                </w:rPr>
                                <w:t xml:space="preserve"> straipsnių „Atsargos, išankstiniai apmokėjimai ir nebaigtos vykdyti sutartys“ bei „Biologinis turtas</w:t>
                              </w:r>
                              <w:r>
                                <w:rPr>
                                  <w:i/>
                                  <w:iCs/>
                                  <w:color w:val="000000"/>
                                  <w:szCs w:val="22"/>
                                </w:rPr>
                                <w:t>“</w:t>
                              </w:r>
                              <w:r>
                                <w:rPr>
                                  <w:color w:val="000000"/>
                                  <w:szCs w:val="22"/>
                                </w:rPr>
                                <w:t xml:space="preserve"> (išskyrus daugiamečius sodinius) rodiklius finansinių metų pabaigoje su analogiškais rodikliais praėjusių finansinių metų pabaigoje.</w:t>
                              </w:r>
                            </w:p>
                          </w:sdtContent>
                        </w:sdt>
                        <w:sdt>
                          <w:sdtPr>
                            <w:alias w:val="103.5 p."/>
                            <w:tag w:val="part_6b4c7b04527f46d1b439dc131529da6a"/>
                            <w:lock w:val="sdtLocked"/>
                            <w:richText/>
                          </w:sdtPr>
                          <w:sdtContent>
                            <w:p>
                              <w:pPr>
                                <w:ind w:firstLine="709"/>
                                <w:jc w:val="both"/>
                                <w:rPr>
                                  <w:color w:val="000000"/>
                                </w:rPr>
                              </w:pPr>
                              <w:sdt>
                                <w:sdtPr>
                                  <w:alias w:val="Numeris"/>
                                  <w:tag w:val="nr_6b4c7b04527f46d1b439dc131529da6a"/>
                                  <w:lock w:val="sdtLocked"/>
                                  <w:richText/>
                                </w:sdtPr>
                                <w:sdtContent>
                                  <w:r>
                                    <w:rPr>
                                      <w:color w:val="000000"/>
                                      <w:szCs w:val="22"/>
                                    </w:rPr>
                                    <w:t>103.5</w:t>
                                  </w:r>
                                </w:sdtContent>
                              </w:sdt>
                              <w:r>
                                <w:rPr>
                                  <w:color w:val="000000"/>
                                  <w:szCs w:val="22"/>
                                </w:rPr>
                                <w:t xml:space="preserve">. Pirkėjų skolų pokytis įrašomas palyginus </w:t>
                              </w:r>
                              <w:r>
                                <w:rPr>
                                  <w:i/>
                                  <w:iCs/>
                                  <w:color w:val="000000"/>
                                  <w:szCs w:val="22"/>
                                </w:rPr>
                                <w:t>balanso</w:t>
                              </w:r>
                              <w:r>
                                <w:rPr>
                                  <w:color w:val="000000"/>
                                  <w:szCs w:val="22"/>
                                </w:rPr>
                                <w:t xml:space="preserve"> straipsnio „Pirkėjų įsiskolinimas“ duomenis finansinių metų ir praėjusių finansinių metų pabaigoje. Šių skolų sumažėjimas pridedamas, o padidėjimas atimamas. Skolų ūkiui pokytis gali būti apskaičiuojamas ir pagal </w:t>
                              </w:r>
                              <w:r>
                                <w:rPr>
                                  <w:i/>
                                  <w:iCs/>
                                  <w:color w:val="000000"/>
                                  <w:szCs w:val="22"/>
                                </w:rPr>
                                <w:t xml:space="preserve">Atsiskaitymų žiniaraščio </w:t>
                              </w:r>
                              <w:r>
                                <w:rPr>
                                  <w:color w:val="000000"/>
                                  <w:szCs w:val="22"/>
                                </w:rPr>
                                <w:t>duomenis.</w:t>
                              </w:r>
                            </w:p>
                          </w:sdtContent>
                        </w:sdt>
                        <w:sdt>
                          <w:sdtPr>
                            <w:alias w:val="103.6 p."/>
                            <w:tag w:val="part_dca18a0ad1ae4dcd9d4d9d4bc7d63ba6"/>
                            <w:lock w:val="sdtLocked"/>
                            <w:richText/>
                          </w:sdtPr>
                          <w:sdtContent>
                            <w:p>
                              <w:pPr>
                                <w:ind w:firstLine="709"/>
                                <w:jc w:val="both"/>
                                <w:rPr>
                                  <w:color w:val="000000"/>
                                </w:rPr>
                              </w:pPr>
                              <w:sdt>
                                <w:sdtPr>
                                  <w:alias w:val="Numeris"/>
                                  <w:tag w:val="nr_dca18a0ad1ae4dcd9d4d9d4bc7d63ba6"/>
                                  <w:lock w:val="sdtLocked"/>
                                  <w:richText/>
                                </w:sdtPr>
                                <w:sdtContent>
                                  <w:r>
                                    <w:rPr>
                                      <w:color w:val="000000"/>
                                      <w:szCs w:val="22"/>
                                    </w:rPr>
                                    <w:t>103.6</w:t>
                                  </w:r>
                                </w:sdtContent>
                              </w:sdt>
                              <w:r>
                                <w:rPr>
                                  <w:color w:val="000000"/>
                                  <w:szCs w:val="22"/>
                                </w:rPr>
                                <w:t xml:space="preserve">. Kitų gautinų sumų ir sumokėtų išankstinių apmokėjimų bei kito trumpalaikio turto pokyčiai įrašomi, palyginus analogiškų pavadinimų </w:t>
                              </w:r>
                              <w:r>
                                <w:rPr>
                                  <w:i/>
                                  <w:iCs/>
                                  <w:color w:val="000000"/>
                                  <w:szCs w:val="22"/>
                                </w:rPr>
                                <w:t>balanso</w:t>
                              </w:r>
                              <w:r>
                                <w:rPr>
                                  <w:color w:val="000000"/>
                                  <w:szCs w:val="22"/>
                                </w:rPr>
                                <w:t xml:space="preserve"> straipsnių sumas finansinių metų ir praėjusių finansinių metų pabaigoje. Šių straipsnių sumažėjimas pridedamas, o padidėjimas atimamas. Į kitas gautinas sumas įskaitomos ir skolos ūkiui pagal nebaigtas vykdyti sutartis.</w:t>
                              </w:r>
                            </w:p>
                          </w:sdtContent>
                        </w:sdt>
                        <w:sdt>
                          <w:sdtPr>
                            <w:alias w:val="103.7 p."/>
                            <w:tag w:val="part_de88903aa3bf49a0a1ef8d39970e6bf1"/>
                            <w:lock w:val="sdtLocked"/>
                            <w:richText/>
                          </w:sdtPr>
                          <w:sdtContent>
                            <w:p>
                              <w:pPr>
                                <w:ind w:firstLine="709"/>
                                <w:jc w:val="both"/>
                                <w:rPr>
                                  <w:color w:val="000000"/>
                                </w:rPr>
                              </w:pPr>
                              <w:sdt>
                                <w:sdtPr>
                                  <w:alias w:val="Numeris"/>
                                  <w:tag w:val="nr_de88903aa3bf49a0a1ef8d39970e6bf1"/>
                                  <w:lock w:val="sdtLocked"/>
                                  <w:richText/>
                                </w:sdtPr>
                                <w:sdtContent>
                                  <w:r>
                                    <w:rPr>
                                      <w:color w:val="000000"/>
                                      <w:szCs w:val="22"/>
                                    </w:rPr>
                                    <w:t>103.7</w:t>
                                  </w:r>
                                </w:sdtContent>
                              </w:sdt>
                              <w:r>
                                <w:rPr>
                                  <w:color w:val="000000"/>
                                  <w:szCs w:val="22"/>
                                </w:rPr>
                                <w:t xml:space="preserve">. Skolų tiekėjams ir gautų išankstinių apmokėjimų pokytis pateikiamas viename </w:t>
                              </w:r>
                              <w:r>
                                <w:rPr>
                                  <w:i/>
                                  <w:iCs/>
                                  <w:color w:val="000000"/>
                                  <w:szCs w:val="22"/>
                                </w:rPr>
                                <w:t xml:space="preserve">Pinigų srautų ataskaitos </w:t>
                              </w:r>
                              <w:r>
                                <w:rPr>
                                  <w:color w:val="000000"/>
                                  <w:szCs w:val="22"/>
                                </w:rPr>
                                <w:t xml:space="preserve">straipsnyje. Jų pokytis apskaičiuojamas pagal </w:t>
                              </w:r>
                              <w:r>
                                <w:rPr>
                                  <w:i/>
                                  <w:iCs/>
                                  <w:color w:val="000000"/>
                                  <w:szCs w:val="22"/>
                                </w:rPr>
                                <w:t>balanso</w:t>
                              </w:r>
                              <w:r>
                                <w:rPr>
                                  <w:color w:val="000000"/>
                                  <w:szCs w:val="22"/>
                                </w:rPr>
                                <w:t xml:space="preserve"> straipsnių „Per vienerius metus mokėtinos sumos ir trumpalaikiai įsipareigojimai“ ir „Po vienerių metų mokėtinos sumos ir ilgalaikiai įsipareigojimai“ bei „Gauti išankstiniai apmokėjimai“ pakitimus finansinių metų pabaigoje ir praėjusių finansinių metų pabaigoje. Šių skolų padidėjimas pridedamas, o sumažėjimas atimamas.</w:t>
                              </w:r>
                            </w:p>
                          </w:sdtContent>
                        </w:sdt>
                        <w:sdt>
                          <w:sdtPr>
                            <w:alias w:val="103.8 p."/>
                            <w:tag w:val="part_26be1b060d97425abdbed08415d4c0cf"/>
                            <w:lock w:val="sdtLocked"/>
                            <w:richText/>
                          </w:sdtPr>
                          <w:sdtContent>
                            <w:p>
                              <w:pPr>
                                <w:ind w:firstLine="709"/>
                                <w:jc w:val="both"/>
                                <w:rPr>
                                  <w:color w:val="000000"/>
                                </w:rPr>
                              </w:pPr>
                              <w:sdt>
                                <w:sdtPr>
                                  <w:alias w:val="Numeris"/>
                                  <w:tag w:val="nr_26be1b060d97425abdbed08415d4c0cf"/>
                                  <w:lock w:val="sdtLocked"/>
                                  <w:richText/>
                                </w:sdtPr>
                                <w:sdtContent>
                                  <w:r>
                                    <w:rPr>
                                      <w:color w:val="000000"/>
                                      <w:szCs w:val="22"/>
                                    </w:rPr>
                                    <w:t>103.8</w:t>
                                  </w:r>
                                </w:sdtContent>
                              </w:sdt>
                              <w:r>
                                <w:rPr>
                                  <w:color w:val="000000"/>
                                  <w:szCs w:val="22"/>
                                </w:rPr>
                                <w:t xml:space="preserve">. Grynojo pelno ar nuostolių suma </w:t>
                              </w:r>
                              <w:r>
                                <w:rPr>
                                  <w:i/>
                                  <w:iCs/>
                                  <w:color w:val="000000"/>
                                  <w:szCs w:val="22"/>
                                </w:rPr>
                                <w:t>Pelno (nuostolių) ataskaitoje</w:t>
                              </w:r>
                              <w:r>
                                <w:rPr>
                                  <w:color w:val="000000"/>
                                  <w:szCs w:val="22"/>
                                </w:rPr>
                                <w:t xml:space="preserve"> parodo finansinį rezultatą iš visos, o ne tik pagrindinės ūkininko ūkio veiklos, todėl teisingam pinigų srautų iš pagrindinės veiklos apskaičiavimui reikia atimti finansinės ir investicinės veiklos pelno sumą arba pridėti nuostolių sumą. Duomenys šiam koregavimui randami </w:t>
                              </w:r>
                              <w:r>
                                <w:rPr>
                                  <w:i/>
                                  <w:iCs/>
                                  <w:color w:val="000000"/>
                                  <w:szCs w:val="22"/>
                                </w:rPr>
                                <w:t>Pelno (nuostolių) ataskaitos</w:t>
                              </w:r>
                              <w:r>
                                <w:rPr>
                                  <w:color w:val="000000"/>
                                  <w:szCs w:val="22"/>
                                </w:rPr>
                                <w:t xml:space="preserve"> eilutėse „Finansinė veikla“ ir „Investicinė veikla“.</w:t>
                              </w:r>
                            </w:p>
                          </w:sdtContent>
                        </w:sdt>
                        <w:sdt>
                          <w:sdtPr>
                            <w:alias w:val="103.9 p."/>
                            <w:tag w:val="part_308826e17ff04d4db8b2171497d20044"/>
                            <w:lock w:val="sdtLocked"/>
                            <w:richText/>
                          </w:sdtPr>
                          <w:sdtContent>
                            <w:p>
                              <w:pPr>
                                <w:ind w:firstLine="709"/>
                                <w:jc w:val="both"/>
                                <w:rPr>
                                  <w:color w:val="000000"/>
                                </w:rPr>
                              </w:pPr>
                              <w:sdt>
                                <w:sdtPr>
                                  <w:alias w:val="Numeris"/>
                                  <w:tag w:val="nr_308826e17ff04d4db8b2171497d20044"/>
                                  <w:lock w:val="sdtLocked"/>
                                  <w:richText/>
                                </w:sdtPr>
                                <w:sdtContent>
                                  <w:r>
                                    <w:rPr>
                                      <w:color w:val="000000"/>
                                      <w:szCs w:val="22"/>
                                    </w:rPr>
                                    <w:t>103.9</w:t>
                                  </w:r>
                                </w:sdtContent>
                              </w:sdt>
                              <w:r>
                                <w:rPr>
                                  <w:color w:val="000000"/>
                                  <w:szCs w:val="22"/>
                                </w:rPr>
                                <w:t xml:space="preserve">. Ilgalaikio turto perleidimo operacijos priskiriamos investicinei veiklai, todėl šių operacijų rezultatai turi būti eliminuojami iš ūkininko ūkio pagrindinės veiklos pinigų srautų. Duomenys randami </w:t>
                              </w:r>
                              <w:r>
                                <w:rPr>
                                  <w:i/>
                                  <w:iCs/>
                                  <w:color w:val="000000"/>
                                  <w:szCs w:val="22"/>
                                </w:rPr>
                                <w:t>Pelno (nuostolių) ataskaitoje.</w:t>
                              </w:r>
                            </w:p>
                          </w:sdtContent>
                        </w:sdt>
                        <w:sdt>
                          <w:sdtPr>
                            <w:alias w:val="103.10 p."/>
                            <w:tag w:val="part_2ed842b1d21547dd9d5158651cccd67a"/>
                            <w:lock w:val="sdtLocked"/>
                            <w:richText/>
                          </w:sdtPr>
                          <w:sdtContent>
                            <w:p>
                              <w:pPr>
                                <w:ind w:firstLine="709"/>
                                <w:jc w:val="both"/>
                                <w:rPr>
                                  <w:color w:val="000000"/>
                                </w:rPr>
                              </w:pPr>
                              <w:sdt>
                                <w:sdtPr>
                                  <w:alias w:val="Numeris"/>
                                  <w:tag w:val="nr_2ed842b1d21547dd9d5158651cccd67a"/>
                                  <w:lock w:val="sdtLocked"/>
                                  <w:richText/>
                                </w:sdtPr>
                                <w:sdtContent>
                                  <w:r>
                                    <w:rPr>
                                      <w:color w:val="000000"/>
                                      <w:szCs w:val="22"/>
                                    </w:rPr>
                                    <w:t>103.10</w:t>
                                  </w:r>
                                </w:sdtContent>
                              </w:sdt>
                              <w:r>
                                <w:rPr>
                                  <w:color w:val="000000"/>
                                  <w:szCs w:val="22"/>
                                </w:rPr>
                                <w:t xml:space="preserve">. Duomenys apie ūkininko asmeninėms reikmėms sunaudotą produkciją, gyvulius, paukščius ir žvėrelius perkeliami iš </w:t>
                              </w:r>
                              <w:r>
                                <w:rPr>
                                  <w:i/>
                                  <w:iCs/>
                                  <w:color w:val="000000"/>
                                  <w:szCs w:val="22"/>
                                </w:rPr>
                                <w:t>Pelno (nuostolių) ataskaitos.</w:t>
                              </w:r>
                            </w:p>
                          </w:sdtContent>
                        </w:sdt>
                        <w:sdt>
                          <w:sdtPr>
                            <w:alias w:val="103.11 p."/>
                            <w:tag w:val="part_48f7819414a942f99bb1e61d450bde57"/>
                            <w:lock w:val="sdtLocked"/>
                            <w:richText/>
                          </w:sdtPr>
                          <w:sdtContent>
                            <w:p>
                              <w:pPr>
                                <w:ind w:firstLine="709"/>
                                <w:jc w:val="both"/>
                                <w:rPr>
                                  <w:color w:val="000000"/>
                                </w:rPr>
                              </w:pPr>
                              <w:sdt>
                                <w:sdtPr>
                                  <w:alias w:val="Numeris"/>
                                  <w:tag w:val="nr_48f7819414a942f99bb1e61d450bde57"/>
                                  <w:lock w:val="sdtLocked"/>
                                  <w:richText/>
                                </w:sdtPr>
                                <w:sdtContent>
                                  <w:r>
                                    <w:rPr>
                                      <w:color w:val="000000"/>
                                      <w:szCs w:val="22"/>
                                    </w:rPr>
                                    <w:t>103.11</w:t>
                                  </w:r>
                                </w:sdtContent>
                              </w:sdt>
                              <w:r>
                                <w:rPr>
                                  <w:color w:val="000000"/>
                                  <w:szCs w:val="22"/>
                                </w:rPr>
                                <w:t>. Susumavus (+, -) pateiktus rodiklius apskaičiuojamas iš viso pinigų padidėjimas (+) arba sumažėjimas (-) iš pagrindinės veiklos.</w:t>
                              </w:r>
                            </w:p>
                          </w:sdtContent>
                        </w:sdt>
                      </w:sdtContent>
                    </w:sdt>
                    <w:sdt>
                      <w:sdtPr>
                        <w:alias w:val="104 p."/>
                        <w:tag w:val="part_1913758a210446579b50235541d0ee5f"/>
                        <w:lock w:val="sdtLocked"/>
                        <w:richText/>
                      </w:sdtPr>
                      <w:sdtContent>
                        <w:p>
                          <w:pPr>
                            <w:ind w:firstLine="709"/>
                            <w:jc w:val="both"/>
                            <w:rPr>
                              <w:color w:val="000000"/>
                            </w:rPr>
                          </w:pPr>
                          <w:sdt>
                            <w:sdtPr>
                              <w:alias w:val="Numeris"/>
                              <w:tag w:val="nr_1913758a210446579b50235541d0ee5f"/>
                              <w:lock w:val="sdtLocked"/>
                              <w:richText/>
                            </w:sdtPr>
                            <w:sdtContent>
                              <w:r>
                                <w:rPr>
                                  <w:color w:val="000000"/>
                                  <w:szCs w:val="22"/>
                                </w:rPr>
                                <w:t>104</w:t>
                              </w:r>
                            </w:sdtContent>
                          </w:sdt>
                          <w:r>
                            <w:rPr>
                              <w:color w:val="000000"/>
                              <w:szCs w:val="22"/>
                            </w:rPr>
                            <w:t>. Pagrindinės veiklos pinigų srautų pateikimas tiesioginiu būdu:</w:t>
                          </w:r>
                        </w:p>
                        <w:sdt>
                          <w:sdtPr>
                            <w:alias w:val="104.1 p."/>
                            <w:tag w:val="part_9c7e0a65718e40b9aeda2f06bdcd6945"/>
                            <w:lock w:val="sdtLocked"/>
                            <w:richText/>
                          </w:sdtPr>
                          <w:sdtContent>
                            <w:p>
                              <w:pPr>
                                <w:ind w:firstLine="709"/>
                                <w:jc w:val="both"/>
                                <w:rPr>
                                  <w:color w:val="000000"/>
                                </w:rPr>
                              </w:pPr>
                              <w:sdt>
                                <w:sdtPr>
                                  <w:alias w:val="Numeris"/>
                                  <w:tag w:val="nr_9c7e0a65718e40b9aeda2f06bdcd6945"/>
                                  <w:lock w:val="sdtLocked"/>
                                  <w:richText/>
                                </w:sdtPr>
                                <w:sdtContent>
                                  <w:r>
                                    <w:rPr>
                                      <w:color w:val="000000"/>
                                      <w:szCs w:val="22"/>
                                    </w:rPr>
                                    <w:t>104.1</w:t>
                                  </w:r>
                                </w:sdtContent>
                              </w:sdt>
                              <w:r>
                                <w:rPr>
                                  <w:color w:val="000000"/>
                                  <w:szCs w:val="22"/>
                                </w:rPr>
                                <w:t xml:space="preserve">. </w:t>
                              </w:r>
                              <w:r>
                                <w:rPr>
                                  <w:i/>
                                  <w:iCs/>
                                  <w:color w:val="000000"/>
                                  <w:szCs w:val="22"/>
                                </w:rPr>
                                <w:t xml:space="preserve">Pinigų srautų ataskaitoje </w:t>
                              </w:r>
                              <w:r>
                                <w:rPr>
                                  <w:color w:val="000000"/>
                                  <w:szCs w:val="22"/>
                                </w:rPr>
                                <w:t xml:space="preserve">sudaromoje tiesioginiu būdu (16 priedas), pagrindinės veiklos pinigų srautai pateikiami iš </w:t>
                              </w:r>
                              <w:r>
                                <w:rPr>
                                  <w:i/>
                                  <w:iCs/>
                                  <w:color w:val="000000"/>
                                  <w:szCs w:val="22"/>
                                </w:rPr>
                                <w:t>Piniginių įplaukų ir išlaidų žiniaraščio</w:t>
                              </w:r>
                              <w:r>
                                <w:rPr>
                                  <w:color w:val="000000"/>
                                  <w:szCs w:val="22"/>
                                </w:rPr>
                                <w:t>.</w:t>
                              </w:r>
                            </w:p>
                          </w:sdtContent>
                        </w:sdt>
                        <w:sdt>
                          <w:sdtPr>
                            <w:alias w:val="104.2 p."/>
                            <w:tag w:val="part_2135b58858c84e33b50de2dfbb65669a"/>
                            <w:lock w:val="sdtLocked"/>
                            <w:richText/>
                          </w:sdtPr>
                          <w:sdtContent>
                            <w:p>
                              <w:pPr>
                                <w:ind w:firstLine="709"/>
                                <w:jc w:val="both"/>
                                <w:rPr>
                                  <w:color w:val="000000"/>
                                </w:rPr>
                              </w:pPr>
                              <w:sdt>
                                <w:sdtPr>
                                  <w:alias w:val="Numeris"/>
                                  <w:tag w:val="nr_2135b58858c84e33b50de2dfbb65669a"/>
                                  <w:lock w:val="sdtLocked"/>
                                  <w:richText/>
                                </w:sdtPr>
                                <w:sdtContent>
                                  <w:r>
                                    <w:rPr>
                                      <w:color w:val="000000"/>
                                      <w:szCs w:val="22"/>
                                    </w:rPr>
                                    <w:t>104.2</w:t>
                                  </w:r>
                                </w:sdtContent>
                              </w:sdt>
                              <w:r>
                                <w:rPr>
                                  <w:color w:val="000000"/>
                                  <w:szCs w:val="22"/>
                                </w:rPr>
                                <w:t xml:space="preserve">. Rengiant </w:t>
                              </w:r>
                              <w:r>
                                <w:rPr>
                                  <w:i/>
                                  <w:iCs/>
                                  <w:color w:val="000000"/>
                                  <w:szCs w:val="22"/>
                                </w:rPr>
                                <w:t>Pinigų srautų ataskaitą</w:t>
                              </w:r>
                              <w:r>
                                <w:rPr>
                                  <w:color w:val="000000"/>
                                  <w:szCs w:val="22"/>
                                </w:rPr>
                                <w:t xml:space="preserve"> tiesioginiu būdu nurodoma, kiek pinigų gauta iš pirkėjų, iš kitų skolininkų, iš iždo PVM, kiek sumokėta tiekėjams už žaliavas ir medžiagas, sumokėta į iždą PVM, sumokėta darbo užmokesčio, dirbančiųjų socialiniam ir sveikatos draudimui bei kiti pinigų gavimai ir mokėjimai.</w:t>
                              </w:r>
                            </w:p>
                          </w:sdtContent>
                        </w:sdt>
                        <w:sdt>
                          <w:sdtPr>
                            <w:alias w:val="104.3 p."/>
                            <w:tag w:val="part_c9943748415a4ab1bb1b6bce5e183506"/>
                            <w:lock w:val="sdtLocked"/>
                            <w:richText/>
                          </w:sdtPr>
                          <w:sdtContent>
                            <w:p>
                              <w:pPr>
                                <w:ind w:firstLine="709"/>
                                <w:jc w:val="both"/>
                                <w:rPr>
                                  <w:color w:val="000000"/>
                                </w:rPr>
                              </w:pPr>
                              <w:sdt>
                                <w:sdtPr>
                                  <w:alias w:val="Numeris"/>
                                  <w:tag w:val="nr_c9943748415a4ab1bb1b6bce5e183506"/>
                                  <w:lock w:val="sdtLocked"/>
                                  <w:richText/>
                                </w:sdtPr>
                                <w:sdtContent>
                                  <w:r>
                                    <w:rPr>
                                      <w:color w:val="000000"/>
                                      <w:szCs w:val="22"/>
                                    </w:rPr>
                                    <w:t>104.3</w:t>
                                  </w:r>
                                </w:sdtContent>
                              </w:sdt>
                              <w:r>
                                <w:rPr>
                                  <w:color w:val="000000"/>
                                  <w:szCs w:val="22"/>
                                </w:rPr>
                                <w:t>. Susumavus (+, -) pateiktus rodiklius apskaičiuojamas iš viso pinigų padidėjimas (+) arba sumažėjimas (-) iš pagrindinės veiklos.</w:t>
                              </w:r>
                            </w:p>
                          </w:sdtContent>
                        </w:sdt>
                      </w:sdtContent>
                    </w:sdt>
                    <w:sdt>
                      <w:sdtPr>
                        <w:alias w:val="105 p."/>
                        <w:tag w:val="part_9d064800fce647cf9c3d5e076f11761a"/>
                        <w:lock w:val="sdtLocked"/>
                        <w:richText/>
                      </w:sdtPr>
                      <w:sdtContent>
                        <w:p>
                          <w:pPr>
                            <w:ind w:firstLine="709"/>
                            <w:jc w:val="both"/>
                            <w:rPr>
                              <w:color w:val="000000"/>
                            </w:rPr>
                          </w:pPr>
                          <w:sdt>
                            <w:sdtPr>
                              <w:alias w:val="Numeris"/>
                              <w:tag w:val="nr_9d064800fce647cf9c3d5e076f11761a"/>
                              <w:lock w:val="sdtLocked"/>
                              <w:richText/>
                            </w:sdtPr>
                            <w:sdtContent>
                              <w:r>
                                <w:rPr>
                                  <w:color w:val="000000"/>
                                  <w:szCs w:val="22"/>
                                </w:rPr>
                                <w:t>105</w:t>
                              </w:r>
                            </w:sdtContent>
                          </w:sdt>
                          <w:r>
                            <w:rPr>
                              <w:color w:val="000000"/>
                              <w:szCs w:val="22"/>
                            </w:rPr>
                            <w:t>. Investicinės veiklos pinigų srautų pateikimas:</w:t>
                          </w:r>
                        </w:p>
                        <w:sdt>
                          <w:sdtPr>
                            <w:alias w:val="105.1 p."/>
                            <w:tag w:val="part_4d97c5c9188d4da7af3d2d4065ee019c"/>
                            <w:lock w:val="sdtLocked"/>
                            <w:richText/>
                          </w:sdtPr>
                          <w:sdtContent>
                            <w:p>
                              <w:pPr>
                                <w:ind w:firstLine="709"/>
                                <w:jc w:val="both"/>
                                <w:rPr>
                                  <w:color w:val="000000"/>
                                </w:rPr>
                              </w:pPr>
                              <w:sdt>
                                <w:sdtPr>
                                  <w:alias w:val="Numeris"/>
                                  <w:tag w:val="nr_4d97c5c9188d4da7af3d2d4065ee019c"/>
                                  <w:lock w:val="sdtLocked"/>
                                  <w:richText/>
                                </w:sdtPr>
                                <w:sdtContent>
                                  <w:r>
                                    <w:rPr>
                                      <w:color w:val="000000"/>
                                      <w:szCs w:val="22"/>
                                    </w:rPr>
                                    <w:t>105.1</w:t>
                                  </w:r>
                                </w:sdtContent>
                              </w:sdt>
                              <w:r>
                                <w:rPr>
                                  <w:color w:val="000000"/>
                                  <w:szCs w:val="22"/>
                                </w:rPr>
                                <w:t xml:space="preserve">. Investicinės veiklos pinigų srautai </w:t>
                              </w:r>
                              <w:r>
                                <w:rPr>
                                  <w:i/>
                                  <w:iCs/>
                                  <w:color w:val="000000"/>
                                  <w:szCs w:val="22"/>
                                </w:rPr>
                                <w:t>Pinigų srautų ataskaitoje</w:t>
                              </w:r>
                              <w:r>
                                <w:rPr>
                                  <w:color w:val="000000"/>
                                  <w:szCs w:val="22"/>
                                </w:rPr>
                                <w:t xml:space="preserve"> pateikiami atskirai, nes jie parodo pinigų sumas, per ataskaitinį laikotarpį išleistas įsigyti ištekliams, kurie uždirbs pajamas (tuo pačiu ir pinigus) ateityje, taip pat pinigų įplaukas, perleidžiant tokius išteklius.</w:t>
                              </w:r>
                            </w:p>
                          </w:sdtContent>
                        </w:sdt>
                        <w:sdt>
                          <w:sdtPr>
                            <w:alias w:val="105.2 p."/>
                            <w:tag w:val="part_528f6cb6acce4fdb918fe08652df361c"/>
                            <w:lock w:val="sdtLocked"/>
                            <w:richText/>
                          </w:sdtPr>
                          <w:sdtContent>
                            <w:p>
                              <w:pPr>
                                <w:ind w:firstLine="709"/>
                                <w:jc w:val="both"/>
                                <w:rPr>
                                  <w:color w:val="000000"/>
                                </w:rPr>
                              </w:pPr>
                              <w:sdt>
                                <w:sdtPr>
                                  <w:alias w:val="Numeris"/>
                                  <w:tag w:val="nr_528f6cb6acce4fdb918fe08652df361c"/>
                                  <w:lock w:val="sdtLocked"/>
                                  <w:richText/>
                                </w:sdtPr>
                                <w:sdtContent>
                                  <w:r>
                                    <w:rPr>
                                      <w:color w:val="000000"/>
                                      <w:szCs w:val="22"/>
                                    </w:rPr>
                                    <w:t>105.2</w:t>
                                  </w:r>
                                </w:sdtContent>
                              </w:sdt>
                              <w:r>
                                <w:rPr>
                                  <w:color w:val="000000"/>
                                  <w:szCs w:val="22"/>
                                </w:rPr>
                                <w:t>. Ilgalaikio turto (išskyrus investicijas) įsigijimo straipsnyje parodoma pinigų suma, sumokėta už pirktą ilgalaikį turtą arba jo rekonstrukciją (remontą), kuris didina ilgalaikio turto vertę.</w:t>
                              </w:r>
                            </w:p>
                          </w:sdtContent>
                        </w:sdt>
                        <w:sdt>
                          <w:sdtPr>
                            <w:alias w:val="105.3 p."/>
                            <w:tag w:val="part_775ecbe37a4b4bacb4c7f7ffe4006ce1"/>
                            <w:lock w:val="sdtLocked"/>
                            <w:richText/>
                          </w:sdtPr>
                          <w:sdtContent>
                            <w:p>
                              <w:pPr>
                                <w:ind w:firstLine="709"/>
                                <w:jc w:val="both"/>
                                <w:rPr>
                                  <w:color w:val="000000"/>
                                </w:rPr>
                              </w:pPr>
                              <w:sdt>
                                <w:sdtPr>
                                  <w:alias w:val="Numeris"/>
                                  <w:tag w:val="nr_775ecbe37a4b4bacb4c7f7ffe4006ce1"/>
                                  <w:lock w:val="sdtLocked"/>
                                  <w:richText/>
                                </w:sdtPr>
                                <w:sdtContent>
                                  <w:r>
                                    <w:rPr>
                                      <w:color w:val="000000"/>
                                      <w:szCs w:val="22"/>
                                    </w:rPr>
                                    <w:t>105.3</w:t>
                                  </w:r>
                                </w:sdtContent>
                              </w:sdt>
                              <w:r>
                                <w:rPr>
                                  <w:color w:val="000000"/>
                                  <w:szCs w:val="22"/>
                                </w:rPr>
                                <w:t>. Ilgalaikio turto (išskyrus investicijas) pardavimo straipsnyje parodoma pinigų suma, gauta pardavus minėtą turtą, jei jį įsigyjant nebuvo numatyta, kad turtas skirtas parduoti.</w:t>
                              </w:r>
                            </w:p>
                          </w:sdtContent>
                        </w:sdt>
                        <w:sdt>
                          <w:sdtPr>
                            <w:alias w:val="105.4 p."/>
                            <w:tag w:val="part_9b52f49ea7a7407c9cc2bd53e0712516"/>
                            <w:lock w:val="sdtLocked"/>
                            <w:richText/>
                          </w:sdtPr>
                          <w:sdtContent>
                            <w:p>
                              <w:pPr>
                                <w:ind w:firstLine="709"/>
                                <w:jc w:val="both"/>
                                <w:rPr>
                                  <w:color w:val="000000"/>
                                </w:rPr>
                              </w:pPr>
                              <w:sdt>
                                <w:sdtPr>
                                  <w:alias w:val="Numeris"/>
                                  <w:tag w:val="nr_9b52f49ea7a7407c9cc2bd53e0712516"/>
                                  <w:lock w:val="sdtLocked"/>
                                  <w:richText/>
                                </w:sdtPr>
                                <w:sdtContent>
                                  <w:r>
                                    <w:rPr>
                                      <w:color w:val="000000"/>
                                      <w:szCs w:val="22"/>
                                    </w:rPr>
                                    <w:t>105.4</w:t>
                                  </w:r>
                                </w:sdtContent>
                              </w:sdt>
                              <w:r>
                                <w:rPr>
                                  <w:color w:val="000000"/>
                                  <w:szCs w:val="22"/>
                                </w:rPr>
                                <w:t xml:space="preserve">. Ilgalaikio turto pirkimo ir pardavimo operacijas reikia registruoti be PVM, kadangi į valstybės iždą pervedamas tik susidaręs šio mokesčio skirtumas. Gauta iš iždo arba sumokėta į iždą suma nurodoma </w:t>
                              </w:r>
                              <w:r>
                                <w:rPr>
                                  <w:i/>
                                  <w:iCs/>
                                  <w:color w:val="000000"/>
                                  <w:szCs w:val="22"/>
                                </w:rPr>
                                <w:t>Pinigų srautų ataskaitos</w:t>
                              </w:r>
                              <w:r>
                                <w:rPr>
                                  <w:color w:val="000000"/>
                                  <w:szCs w:val="22"/>
                                </w:rPr>
                                <w:t xml:space="preserve"> pinigų srautų iš ūkininko ūkio pagrindinės veiklos dalyje: rengiant ataskaitą netiesioginiu būdu „Kitų mokėtinų sumų ir įsipareigojimų padidėjimo/sumažėjimo eilutėje“, o rengiant ataskaitą tiesioginiu būdu – eilutėje „Sumokėta tiekėjams (su PVM)“.</w:t>
                              </w:r>
                            </w:p>
                          </w:sdtContent>
                        </w:sdt>
                        <w:sdt>
                          <w:sdtPr>
                            <w:alias w:val="105.5 p."/>
                            <w:tag w:val="part_88b5a5d05ea24bdd8a673dfcfa14d977"/>
                            <w:lock w:val="sdtLocked"/>
                            <w:richText/>
                          </w:sdtPr>
                          <w:sdtContent>
                            <w:p>
                              <w:pPr>
                                <w:ind w:firstLine="709"/>
                                <w:jc w:val="both"/>
                                <w:rPr>
                                  <w:color w:val="000000"/>
                                </w:rPr>
                              </w:pPr>
                              <w:sdt>
                                <w:sdtPr>
                                  <w:alias w:val="Numeris"/>
                                  <w:tag w:val="nr_88b5a5d05ea24bdd8a673dfcfa14d977"/>
                                  <w:lock w:val="sdtLocked"/>
                                  <w:richText/>
                                </w:sdtPr>
                                <w:sdtContent>
                                  <w:r>
                                    <w:rPr>
                                      <w:color w:val="000000"/>
                                      <w:szCs w:val="22"/>
                                    </w:rPr>
                                    <w:t>105.5</w:t>
                                  </w:r>
                                </w:sdtContent>
                              </w:sdt>
                              <w:r>
                                <w:rPr>
                                  <w:color w:val="000000"/>
                                  <w:szCs w:val="22"/>
                                </w:rPr>
                                <w:t>. Įsigijus ne pardavimui skirtų akcijų, pajų, sumokėtoji pinigų suma nurodoma eilutėje „Ilgalaikių investicijų įsigijimas“.</w:t>
                              </w:r>
                            </w:p>
                          </w:sdtContent>
                        </w:sdt>
                        <w:sdt>
                          <w:sdtPr>
                            <w:alias w:val="105.6 p."/>
                            <w:tag w:val="part_1f5788c1af8445d4b94585eddbe83780"/>
                            <w:lock w:val="sdtLocked"/>
                            <w:richText/>
                          </w:sdtPr>
                          <w:sdtContent>
                            <w:p>
                              <w:pPr>
                                <w:ind w:firstLine="709"/>
                                <w:jc w:val="both"/>
                                <w:rPr>
                                  <w:color w:val="000000"/>
                                </w:rPr>
                              </w:pPr>
                              <w:sdt>
                                <w:sdtPr>
                                  <w:alias w:val="Numeris"/>
                                  <w:tag w:val="nr_1f5788c1af8445d4b94585eddbe83780"/>
                                  <w:lock w:val="sdtLocked"/>
                                  <w:richText/>
                                </w:sdtPr>
                                <w:sdtContent>
                                  <w:r>
                                    <w:rPr>
                                      <w:color w:val="000000"/>
                                      <w:szCs w:val="22"/>
                                    </w:rPr>
                                    <w:t>105.6</w:t>
                                  </w:r>
                                </w:sdtContent>
                              </w:sdt>
                              <w:r>
                                <w:rPr>
                                  <w:color w:val="000000"/>
                                  <w:szCs w:val="22"/>
                                </w:rPr>
                                <w:t>. Investicijų pardavimas – tai pinigų įplaukos, pardavus ne pardavimui įsigytus kitų įmonių nuosavybės dokumentus (akcijas, pajus).</w:t>
                              </w:r>
                            </w:p>
                          </w:sdtContent>
                        </w:sdt>
                        <w:sdt>
                          <w:sdtPr>
                            <w:alias w:val="105.7 p."/>
                            <w:tag w:val="part_9a22fbb3451c4928a5e5d643b2fa0dc6"/>
                            <w:lock w:val="sdtLocked"/>
                            <w:richText/>
                          </w:sdtPr>
                          <w:sdtContent>
                            <w:p>
                              <w:pPr>
                                <w:ind w:firstLine="709"/>
                                <w:jc w:val="both"/>
                                <w:rPr>
                                  <w:color w:val="000000"/>
                                </w:rPr>
                              </w:pPr>
                              <w:sdt>
                                <w:sdtPr>
                                  <w:alias w:val="Numeris"/>
                                  <w:tag w:val="nr_9a22fbb3451c4928a5e5d643b2fa0dc6"/>
                                  <w:lock w:val="sdtLocked"/>
                                  <w:richText/>
                                </w:sdtPr>
                                <w:sdtContent>
                                  <w:r>
                                    <w:rPr>
                                      <w:color w:val="000000"/>
                                      <w:szCs w:val="22"/>
                                    </w:rPr>
                                    <w:t>105.7</w:t>
                                  </w:r>
                                </w:sdtContent>
                              </w:sdt>
                              <w:r>
                                <w:rPr>
                                  <w:color w:val="000000"/>
                                  <w:szCs w:val="22"/>
                                </w:rPr>
                                <w:t>. Gauti dividendai ir palūkanos – pinigų sumos, gautos už turimas kitų įmonių akcijas ir pajus bei už ūkininko ūkio sąskaitose banke laikomus pinigus.</w:t>
                              </w:r>
                            </w:p>
                          </w:sdtContent>
                        </w:sdt>
                        <w:sdt>
                          <w:sdtPr>
                            <w:alias w:val="105.8 p."/>
                            <w:tag w:val="part_7e629e34145d4a2a86942b32a8e9b389"/>
                            <w:lock w:val="sdtLocked"/>
                            <w:richText/>
                          </w:sdtPr>
                          <w:sdtContent>
                            <w:p>
                              <w:pPr>
                                <w:tabs>
                                  <w:tab w:val="left" w:pos="1134"/>
                                </w:tabs>
                                <w:overflowPunct w:val="0"/>
                                <w:ind w:firstLine="720"/>
                                <w:jc w:val="both"/>
                                <w:textAlignment w:val="baseline"/>
                                <w:rPr>
                                  <w:color w:val="000000"/>
                                </w:rPr>
                              </w:pPr>
                              <w:sdt>
                                <w:sdtPr>
                                  <w:alias w:val="Numeris"/>
                                  <w:tag w:val="nr_7e629e34145d4a2a86942b32a8e9b389"/>
                                  <w:lock w:val="sdtLocked"/>
                                  <w:richText/>
                                </w:sdtPr>
                                <w:sdtContent>
                                  <w:r>
                                    <w:rPr>
                                      <w:szCs w:val="24"/>
                                    </w:rPr>
                                    <w:t>105.8</w:t>
                                  </w:r>
                                </w:sdtContent>
                              </w:sdt>
                              <w:r>
                                <w:rPr>
                                  <w:szCs w:val="24"/>
                                </w:rPr>
                                <w:t xml:space="preserve">. </w:t>
                              </w:r>
                              <w:r>
                                <w:rPr>
                                  <w:i/>
                                  <w:iCs/>
                                  <w:szCs w:val="24"/>
                                </w:rPr>
                                <w:t>Pinigų srautų ataskaitos</w:t>
                              </w:r>
                              <w:r>
                                <w:rPr>
                                  <w:szCs w:val="24"/>
                                </w:rPr>
                                <w:t xml:space="preserve"> straipsniai užpildomi iš </w:t>
                              </w:r>
                              <w:r>
                                <w:rPr>
                                  <w:i/>
                                  <w:iCs/>
                                  <w:szCs w:val="24"/>
                                </w:rPr>
                                <w:t xml:space="preserve">Pinigų </w:t>
                              </w:r>
                              <w:r>
                                <w:rPr>
                                  <w:i/>
                                  <w:szCs w:val="24"/>
                                </w:rPr>
                                <w:t>kasoje, banko sąskaitose ir pirkimų ir pardavimų apskaitos</w:t>
                              </w:r>
                              <w:r>
                                <w:rPr>
                                  <w:szCs w:val="24"/>
                                </w:rPr>
                                <w:t xml:space="preserve"> </w:t>
                              </w:r>
                              <w:r>
                                <w:rPr>
                                  <w:i/>
                                  <w:iCs/>
                                  <w:szCs w:val="24"/>
                                </w:rPr>
                                <w:t>žurnalo</w:t>
                              </w:r>
                              <w:r>
                                <w:rPr>
                                  <w:szCs w:val="24"/>
                                </w:rPr>
                                <w:t xml:space="preserve"> bei </w:t>
                              </w:r>
                              <w:r>
                                <w:rPr>
                                  <w:i/>
                                  <w:iCs/>
                                  <w:szCs w:val="24"/>
                                </w:rPr>
                                <w:t>Piniginių įplaukų ir išlaidų žiniaraščio.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ef4760a89511e5be7fbe3f919a1ebe">
                                <w:r w:rsidRPr="00532B9F">
                                  <w:rPr>
                                    <w:rFonts w:ascii="Times New Roman" w:eastAsia="MS Mincho" w:hAnsi="Times New Roman"/>
                                    <w:sz w:val="20"/>
                                    <w:i/>
                                    <w:iCs/>
                                    <w:color w:val="0000FF" w:themeColor="hyperlink"/>
                                    <w:u w:val="single"/>
                                  </w:rPr>
                                  <w:t>3D-941</w:t>
                                </w:r>
                              </w:fldSimple>
                              <w:r>
                                <w:rPr>
                                  <w:rFonts w:ascii="Times New Roman" w:eastAsia="MS Mincho" w:hAnsi="Times New Roman"/>
                                  <w:sz w:val="20"/>
                                  <w:i/>
                                  <w:iCs/>
                                </w:rPr>
                                <w:t>,
2015-12-22,
paskelbta TAR 2015-12-23, i. k. 2015-20239            </w:t>
                              </w:r>
                            </w:p>
                            <w:p/>
                          </w:sdtContent>
                        </w:sdt>
                        <w:sdt>
                          <w:sdtPr>
                            <w:alias w:val="105.9 p."/>
                            <w:tag w:val="part_93b684f8b2184caeb4ffaeb6e13e4000"/>
                            <w:lock w:val="sdtLocked"/>
                            <w:richText/>
                          </w:sdtPr>
                          <w:sdtContent>
                            <w:p>
                              <w:pPr>
                                <w:ind w:firstLine="709"/>
                                <w:jc w:val="both"/>
                                <w:rPr>
                                  <w:color w:val="000000"/>
                                </w:rPr>
                              </w:pPr>
                              <w:sdt>
                                <w:sdtPr>
                                  <w:alias w:val="Numeris"/>
                                  <w:tag w:val="nr_93b684f8b2184caeb4ffaeb6e13e4000"/>
                                  <w:lock w:val="sdtLocked"/>
                                  <w:richText/>
                                </w:sdtPr>
                                <w:sdtContent>
                                  <w:r>
                                    <w:rPr>
                                      <w:color w:val="000000"/>
                                      <w:szCs w:val="22"/>
                                    </w:rPr>
                                    <w:t>105.9</w:t>
                                  </w:r>
                                </w:sdtContent>
                              </w:sdt>
                              <w:r>
                                <w:rPr>
                                  <w:color w:val="000000"/>
                                  <w:szCs w:val="22"/>
                                </w:rPr>
                                <w:t>. Susumavus (+, -) pateiktus rodiklius apskaičiuojamas iš viso pinigų padidėjimas (+) arba sumažėjimas (-) iš investicinės veiklos.</w:t>
                              </w:r>
                            </w:p>
                          </w:sdtContent>
                        </w:sdt>
                      </w:sdtContent>
                    </w:sdt>
                    <w:sdt>
                      <w:sdtPr>
                        <w:alias w:val="106 p."/>
                        <w:tag w:val="part_950fa77b5bdb4456998ae81b9cf37c19"/>
                        <w:lock w:val="sdtLocked"/>
                        <w:richText/>
                      </w:sdtPr>
                      <w:sdtContent>
                        <w:p>
                          <w:pPr>
                            <w:ind w:firstLine="709"/>
                            <w:jc w:val="both"/>
                            <w:rPr>
                              <w:color w:val="000000"/>
                            </w:rPr>
                          </w:pPr>
                          <w:sdt>
                            <w:sdtPr>
                              <w:alias w:val="Numeris"/>
                              <w:tag w:val="nr_950fa77b5bdb4456998ae81b9cf37c19"/>
                              <w:lock w:val="sdtLocked"/>
                              <w:richText/>
                            </w:sdtPr>
                            <w:sdtContent>
                              <w:r>
                                <w:rPr>
                                  <w:color w:val="000000"/>
                                  <w:szCs w:val="22"/>
                                </w:rPr>
                                <w:t>106</w:t>
                              </w:r>
                            </w:sdtContent>
                          </w:sdt>
                          <w:r>
                            <w:rPr>
                              <w:color w:val="000000"/>
                              <w:szCs w:val="22"/>
                            </w:rPr>
                            <w:t>. Finansinės veiklos pinigų srautų pateikimas:</w:t>
                          </w:r>
                        </w:p>
                        <w:sdt>
                          <w:sdtPr>
                            <w:alias w:val="106.1 p."/>
                            <w:tag w:val="part_16db69c80a2a473bb243763802a73f2b"/>
                            <w:lock w:val="sdtLocked"/>
                            <w:richText/>
                          </w:sdtPr>
                          <w:sdtContent>
                            <w:p>
                              <w:pPr>
                                <w:ind w:firstLine="709"/>
                                <w:jc w:val="both"/>
                                <w:rPr>
                                  <w:color w:val="000000"/>
                                </w:rPr>
                              </w:pPr>
                              <w:sdt>
                                <w:sdtPr>
                                  <w:alias w:val="Numeris"/>
                                  <w:tag w:val="nr_16db69c80a2a473bb243763802a73f2b"/>
                                  <w:lock w:val="sdtLocked"/>
                                  <w:richText/>
                                </w:sdtPr>
                                <w:sdtContent>
                                  <w:r>
                                    <w:rPr>
                                      <w:color w:val="000000"/>
                                      <w:szCs w:val="22"/>
                                    </w:rPr>
                                    <w:t>106.1</w:t>
                                  </w:r>
                                </w:sdtContent>
                              </w:sdt>
                              <w:r>
                                <w:rPr>
                                  <w:color w:val="000000"/>
                                  <w:szCs w:val="22"/>
                                </w:rPr>
                                <w:t>. Finansinės veiklos pinigų srautai parodo pinigų įplaukas ir išmokas, susijusias su kitais finansavimo šaltiniais: ūkininko ir / arba jo partnerių įnešimai, gauti kreditai ir pan.</w:t>
                              </w:r>
                            </w:p>
                          </w:sdtContent>
                        </w:sdt>
                        <w:sdt>
                          <w:sdtPr>
                            <w:alias w:val="106.2 p."/>
                            <w:tag w:val="part_c3f4e11fdac14dfaaa3f328d17548df8"/>
                            <w:lock w:val="sdtLocked"/>
                            <w:richText/>
                          </w:sdtPr>
                          <w:sdtContent>
                            <w:p>
                              <w:pPr>
                                <w:tabs>
                                  <w:tab w:val="left" w:pos="1134"/>
                                </w:tabs>
                                <w:overflowPunct w:val="0"/>
                                <w:ind w:firstLine="720"/>
                                <w:jc w:val="both"/>
                                <w:textAlignment w:val="baseline"/>
                                <w:rPr>
                                  <w:color w:val="000000"/>
                                </w:rPr>
                              </w:pPr>
                              <w:sdt>
                                <w:sdtPr>
                                  <w:alias w:val="Numeris"/>
                                  <w:tag w:val="nr_c3f4e11fdac14dfaaa3f328d17548df8"/>
                                  <w:lock w:val="sdtLocked"/>
                                  <w:richText/>
                                </w:sdtPr>
                                <w:sdtContent>
                                  <w:r>
                                    <w:rPr>
                                      <w:szCs w:val="24"/>
                                    </w:rPr>
                                    <w:t>106.2</w:t>
                                  </w:r>
                                </w:sdtContent>
                              </w:sdt>
                              <w:r>
                                <w:rPr>
                                  <w:szCs w:val="24"/>
                                </w:rPr>
                                <w:t xml:space="preserve">. Ataskaitos straipsniai užpildomi iš </w:t>
                              </w:r>
                              <w:r>
                                <w:rPr>
                                  <w:i/>
                                  <w:iCs/>
                                  <w:szCs w:val="24"/>
                                </w:rPr>
                                <w:t xml:space="preserve">Pinigų </w:t>
                              </w:r>
                              <w:r>
                                <w:rPr>
                                  <w:i/>
                                  <w:szCs w:val="24"/>
                                </w:rPr>
                                <w:t xml:space="preserve">kasoje, banko sąskaitose ir pirkimų ir pardavimų apskaitos </w:t>
                              </w:r>
                              <w:r>
                                <w:rPr>
                                  <w:i/>
                                  <w:iCs/>
                                  <w:szCs w:val="24"/>
                                </w:rPr>
                                <w:t>žurnalo</w:t>
                              </w:r>
                              <w:r>
                                <w:rPr>
                                  <w:szCs w:val="24"/>
                                </w:rPr>
                                <w:t xml:space="preserve"> bei </w:t>
                              </w:r>
                              <w:r>
                                <w:rPr>
                                  <w:i/>
                                  <w:iCs/>
                                  <w:szCs w:val="24"/>
                                </w:rPr>
                                <w:t>Piniginių įplaukų ir išlaidų žiniaraščio.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ef4760a89511e5be7fbe3f919a1ebe">
                                <w:r w:rsidRPr="00532B9F">
                                  <w:rPr>
                                    <w:rFonts w:ascii="Times New Roman" w:eastAsia="MS Mincho" w:hAnsi="Times New Roman"/>
                                    <w:sz w:val="20"/>
                                    <w:i/>
                                    <w:iCs/>
                                    <w:color w:val="0000FF" w:themeColor="hyperlink"/>
                                    <w:u w:val="single"/>
                                  </w:rPr>
                                  <w:t>3D-941</w:t>
                                </w:r>
                              </w:fldSimple>
                              <w:r>
                                <w:rPr>
                                  <w:rFonts w:ascii="Times New Roman" w:eastAsia="MS Mincho" w:hAnsi="Times New Roman"/>
                                  <w:sz w:val="20"/>
                                  <w:i/>
                                  <w:iCs/>
                                </w:rPr>
                                <w:t>,
2015-12-22,
paskelbta TAR 2015-12-23, i. k. 2015-20239            </w:t>
                              </w:r>
                            </w:p>
                            <w:p/>
                          </w:sdtContent>
                        </w:sdt>
                        <w:sdt>
                          <w:sdtPr>
                            <w:alias w:val="106.3 p."/>
                            <w:tag w:val="part_6b7861ab225d46eba16c82685688ad97"/>
                            <w:lock w:val="sdtLocked"/>
                            <w:richText/>
                          </w:sdtPr>
                          <w:sdtContent>
                            <w:p>
                              <w:pPr>
                                <w:ind w:firstLine="709"/>
                                <w:jc w:val="both"/>
                                <w:rPr>
                                  <w:color w:val="000000"/>
                                </w:rPr>
                              </w:pPr>
                              <w:sdt>
                                <w:sdtPr>
                                  <w:alias w:val="Numeris"/>
                                  <w:tag w:val="nr_6b7861ab225d46eba16c82685688ad97"/>
                                  <w:lock w:val="sdtLocked"/>
                                  <w:richText/>
                                </w:sdtPr>
                                <w:sdtContent>
                                  <w:r>
                                    <w:rPr>
                                      <w:color w:val="000000"/>
                                      <w:szCs w:val="22"/>
                                    </w:rPr>
                                    <w:t>106.3</w:t>
                                  </w:r>
                                </w:sdtContent>
                              </w:sdt>
                              <w:r>
                                <w:rPr>
                                  <w:color w:val="000000"/>
                                  <w:szCs w:val="22"/>
                                </w:rPr>
                                <w:t>. Pinigų srautų ataskaitos straipsnyje „Valiutų kursų pasikeitimo įtaka grynųjų pinigų ir pinigų ekvivalentų likučiui“ teigiama arba neigiama suma pateikiama valiutų kursų pasikeitimo įtaka pinigų ir jų ekvivalentų likučiui.</w:t>
                              </w:r>
                            </w:p>
                          </w:sdtContent>
                        </w:sdt>
                        <w:sdt>
                          <w:sdtPr>
                            <w:alias w:val="106.4 p."/>
                            <w:tag w:val="part_49551a8414094180826fca6f4044dc93"/>
                            <w:lock w:val="sdtLocked"/>
                            <w:richText/>
                          </w:sdtPr>
                          <w:sdtContent>
                            <w:p>
                              <w:pPr>
                                <w:ind w:firstLine="709"/>
                                <w:jc w:val="both"/>
                                <w:rPr>
                                  <w:color w:val="000000"/>
                                </w:rPr>
                              </w:pPr>
                              <w:sdt>
                                <w:sdtPr>
                                  <w:alias w:val="Numeris"/>
                                  <w:tag w:val="nr_49551a8414094180826fca6f4044dc93"/>
                                  <w:lock w:val="sdtLocked"/>
                                  <w:richText/>
                                </w:sdtPr>
                                <w:sdtContent>
                                  <w:r>
                                    <w:rPr>
                                      <w:color w:val="000000"/>
                                      <w:szCs w:val="22"/>
                                    </w:rPr>
                                    <w:t>106.4</w:t>
                                  </w:r>
                                </w:sdtContent>
                              </w:sdt>
                              <w:r>
                                <w:rPr>
                                  <w:color w:val="000000"/>
                                  <w:szCs w:val="22"/>
                                </w:rPr>
                                <w:t>. Susumavus (+, -) pateiktus rodiklius apskaičiuojamas iš viso pinigų padidėjimas (+) arba sumažėjimas (-) iš finansinės veiklos.</w:t>
                              </w:r>
                            </w:p>
                          </w:sdtContent>
                        </w:sdt>
                        <w:sdt>
                          <w:sdtPr>
                            <w:alias w:val="106.5 p."/>
                            <w:tag w:val="part_e37c585a1eeb465d8e8fa875e3ad2508"/>
                            <w:lock w:val="sdtLocked"/>
                            <w:richText/>
                          </w:sdtPr>
                          <w:sdtContent>
                            <w:p>
                              <w:pPr>
                                <w:ind w:firstLine="709"/>
                                <w:jc w:val="both"/>
                                <w:rPr>
                                  <w:color w:val="000000"/>
                                </w:rPr>
                              </w:pPr>
                              <w:sdt>
                                <w:sdtPr>
                                  <w:alias w:val="Numeris"/>
                                  <w:tag w:val="nr_e37c585a1eeb465d8e8fa875e3ad2508"/>
                                  <w:lock w:val="sdtLocked"/>
                                  <w:richText/>
                                </w:sdtPr>
                                <w:sdtContent>
                                  <w:r>
                                    <w:rPr>
                                      <w:color w:val="000000"/>
                                      <w:szCs w:val="22"/>
                                    </w:rPr>
                                    <w:t>106.5</w:t>
                                  </w:r>
                                </w:sdtContent>
                              </w:sdt>
                              <w:r>
                                <w:rPr>
                                  <w:color w:val="000000"/>
                                  <w:szCs w:val="22"/>
                                </w:rPr>
                                <w:t>. Pinigų padidėjimas arba sumažėjimas per laikotarpį – tai bendra suma pinigų padidėjimo (+) ar sumažėjimo (-) iš pagrindinės, investicinės ir finansinės veiklos.</w:t>
                              </w:r>
                            </w:p>
                          </w:sdtContent>
                        </w:sdt>
                        <w:sdt>
                          <w:sdtPr>
                            <w:alias w:val="106.7 p."/>
                            <w:tag w:val="part_7e9d4ace1414409a979eebbf130654d3"/>
                            <w:lock w:val="sdtLocked"/>
                            <w:richText/>
                          </w:sdtPr>
                          <w:sdtContent>
                            <w:p>
                              <w:pPr>
                                <w:tabs>
                                  <w:tab w:val="left" w:pos="1134"/>
                                </w:tabs>
                                <w:overflowPunct w:val="0"/>
                                <w:ind w:firstLine="720"/>
                                <w:jc w:val="both"/>
                                <w:textAlignment w:val="baseline"/>
                                <w:rPr>
                                  <w:color w:val="000000"/>
                                </w:rPr>
                              </w:pPr>
                              <w:sdt>
                                <w:sdtPr>
                                  <w:alias w:val="Numeris"/>
                                  <w:tag w:val="nr_7e9d4ace1414409a979eebbf130654d3"/>
                                  <w:lock w:val="sdtLocked"/>
                                  <w:richText/>
                                </w:sdtPr>
                                <w:sdtContent>
                                  <w:r>
                                    <w:rPr>
                                      <w:szCs w:val="24"/>
                                    </w:rPr>
                                    <w:t>106.7</w:t>
                                  </w:r>
                                </w:sdtContent>
                              </w:sdt>
                              <w:r>
                                <w:rPr>
                                  <w:szCs w:val="24"/>
                                </w:rPr>
                                <w:t xml:space="preserve">. Pinigų ir jų ekvivalentų likutis laikotarpio pradžioje ir laikotarpio pabaigoje – tai pinigų likučiai </w:t>
                              </w:r>
                              <w:r>
                                <w:rPr>
                                  <w:i/>
                                  <w:iCs/>
                                  <w:szCs w:val="24"/>
                                </w:rPr>
                                <w:t xml:space="preserve">Pinigų </w:t>
                              </w:r>
                              <w:r>
                                <w:rPr>
                                  <w:i/>
                                  <w:szCs w:val="24"/>
                                </w:rPr>
                                <w:t xml:space="preserve">kasoje, banko sąskaitose ir pirkimų ir pardavimų apskaitos </w:t>
                              </w:r>
                              <w:r>
                                <w:rPr>
                                  <w:i/>
                                  <w:iCs/>
                                  <w:szCs w:val="24"/>
                                </w:rPr>
                                <w:t>žurnale</w:t>
                              </w:r>
                              <w:r>
                                <w:rPr>
                                  <w:szCs w:val="24"/>
                                </w:rPr>
                                <w:t xml:space="preserve"> atitinkamai ataskaitinio laikotarpio pradžioje ir pabaigoje. Pinigų likučių sumos turi sutapti su </w:t>
                              </w:r>
                              <w:r>
                                <w:rPr>
                                  <w:i/>
                                  <w:iCs/>
                                  <w:szCs w:val="24"/>
                                </w:rPr>
                                <w:t>balanso</w:t>
                              </w:r>
                              <w:r>
                                <w:rPr>
                                  <w:szCs w:val="24"/>
                                </w:rPr>
                                <w:t xml:space="preserve"> pinigų straipsnių informacija.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ef4760a89511e5be7fbe3f919a1ebe">
                                <w:r w:rsidRPr="00532B9F">
                                  <w:rPr>
                                    <w:rFonts w:ascii="Times New Roman" w:eastAsia="MS Mincho" w:hAnsi="Times New Roman"/>
                                    <w:sz w:val="20"/>
                                    <w:i/>
                                    <w:iCs/>
                                    <w:color w:val="0000FF" w:themeColor="hyperlink"/>
                                    <w:u w:val="single"/>
                                  </w:rPr>
                                  <w:t>3D-941</w:t>
                                </w:r>
                              </w:fldSimple>
                              <w:r>
                                <w:rPr>
                                  <w:rFonts w:ascii="Times New Roman" w:eastAsia="MS Mincho" w:hAnsi="Times New Roman"/>
                                  <w:sz w:val="20"/>
                                  <w:i/>
                                  <w:iCs/>
                                </w:rPr>
                                <w:t>,
2015-12-22,
paskelbta TAR 2015-12-23, i. k. 2015-20239            </w:t>
                              </w:r>
                            </w:p>
                            <w:p/>
                          </w:sdtContent>
                        </w:sdt>
                        <w:sdt>
                          <w:sdtPr>
                            <w:alias w:val="106.8 p."/>
                            <w:tag w:val="part_7339af0326ae4f889af3d0d246bb0d6d"/>
                            <w:lock w:val="sdtLocked"/>
                            <w:richText/>
                          </w:sdtPr>
                          <w:sdtContent>
                            <w:p>
                              <w:pPr>
                                <w:ind w:firstLine="709"/>
                                <w:jc w:val="both"/>
                                <w:rPr>
                                  <w:color w:val="000000"/>
                                </w:rPr>
                              </w:pPr>
                              <w:sdt>
                                <w:sdtPr>
                                  <w:alias w:val="Numeris"/>
                                  <w:tag w:val="nr_7339af0326ae4f889af3d0d246bb0d6d"/>
                                  <w:lock w:val="sdtLocked"/>
                                  <w:richText/>
                                </w:sdtPr>
                                <w:sdtContent>
                                  <w:r>
                                    <w:rPr>
                                      <w:color w:val="000000"/>
                                      <w:szCs w:val="22"/>
                                    </w:rPr>
                                    <w:t>106.8</w:t>
                                  </w:r>
                                </w:sdtContent>
                              </w:sdt>
                              <w:r>
                                <w:rPr>
                                  <w:color w:val="000000"/>
                                  <w:szCs w:val="22"/>
                                </w:rPr>
                                <w:t>. Pinigų padidėjimo arba sumažėjimo per laikotarpį suma turi sutapti su skirtumu tarp pinigų likučio laikotarpio pabaigoje ir pinigų likučio laikotarpio pradžioje.</w:t>
                              </w:r>
                            </w:p>
                          </w:sdtContent>
                        </w:sdt>
                      </w:sdtContent>
                    </w:sdt>
                  </w:sdtContent>
                </w:sdt>
              </w:sdtContent>
            </w:sdt>
          </w:sdtContent>
        </w:sdt>
        <w:sdt>
          <w:sdtPr>
            <w:alias w:val=""/>
            <w:tag w:val="part_75c5d1ec3540466889a250009b9815c5"/>
            <w:lock w:val="sdtLocked"/>
            <w:richText/>
          </w:sdtPr>
          <w:sdtContent>
            <w:p>
              <w:pPr>
                <w:tabs>
                  <w:tab w:val="left" w:pos="1296"/>
                  <w:tab w:val="center" w:pos="4819"/>
                  <w:tab w:val="right" w:pos="9638"/>
                </w:tabs>
                <w:jc w:val="center"/>
                <w:rPr>
                  <w:color w:val="000000"/>
                </w:rPr>
              </w:pPr>
              <w:r>
                <w:rPr>
                  <w:color w:val="000000"/>
                </w:rPr>
                <w:t>______________</w:t>
              </w:r>
            </w:p>
            <w:p>
              <w:pPr>
                <w:tabs>
                  <w:tab w:val="left" w:pos="1296"/>
                  <w:tab w:val="center" w:pos="4819"/>
                  <w:tab w:val="right" w:pos="9638"/>
                </w:tabs>
                <w:jc w:val="center"/>
                <w:rPr>
                  <w:color w:val="000000"/>
                </w:rPr>
              </w:pPr>
            </w:p>
          </w:sdtContent>
        </w:sdt>
      </w:sdtContent>
    </w:sdt>
    <w:sdt>
      <w:sdtPr>
        <w:alias w:val="1 pr."/>
        <w:tag w:val="part_8f8835723172476b9ecb66af48b3bbc6"/>
        <w:lock w:val="sdtLocked"/>
        <w:richText/>
      </w:sdtPr>
      <w:sdtContent>
        <w:p>
          <w:pPr>
            <w:tabs>
              <w:tab w:val="left" w:pos="1134"/>
            </w:tabs>
            <w:overflowPunct w:val="0"/>
            <w:jc w:val="both"/>
            <w:textAlignment w:val="baseline"/>
            <w:rPr>
              <w:szCs w:val="24"/>
            </w:rPr>
          </w:pPr>
          <w:r>
            <w:rPr>
              <w:szCs w:val="24"/>
            </w:rPr>
            <w:br w:type="page"/>
          </w:r>
        </w:p>
        <w:p>
          <w:pPr>
            <w:tabs>
              <w:tab w:val="left" w:pos="1134"/>
            </w:tabs>
            <w:overflowPunct w:val="0"/>
            <w:ind w:firstLine="6379"/>
            <w:jc w:val="both"/>
            <w:textAlignment w:val="baseline"/>
            <w:rPr>
              <w:szCs w:val="24"/>
            </w:rPr>
          </w:pPr>
          <w:r>
            <w:rPr>
              <w:szCs w:val="24"/>
            </w:rPr>
            <w:t>Ūkininko ūkio veiklos</w:t>
          </w:r>
        </w:p>
        <w:p>
          <w:pPr>
            <w:overflowPunct w:val="0"/>
            <w:ind w:left="6379"/>
            <w:jc w:val="both"/>
            <w:textAlignment w:val="baseline"/>
            <w:rPr>
              <w:szCs w:val="24"/>
            </w:rPr>
          </w:pPr>
          <w:r>
            <w:rPr>
              <w:szCs w:val="24"/>
            </w:rPr>
            <w:t>buhalterinės apskaitos tvarkymo</w:t>
          </w:r>
        </w:p>
        <w:p>
          <w:pPr>
            <w:overflowPunct w:val="0"/>
            <w:ind w:left="6379"/>
            <w:jc w:val="both"/>
            <w:textAlignment w:val="baseline"/>
            <w:rPr>
              <w:szCs w:val="24"/>
            </w:rPr>
          </w:pPr>
          <w:r>
            <w:rPr>
              <w:szCs w:val="24"/>
            </w:rPr>
            <w:t>supaprastintąja apskaitos sistema</w:t>
          </w:r>
        </w:p>
        <w:p>
          <w:pPr>
            <w:overflowPunct w:val="0"/>
            <w:ind w:left="6379"/>
            <w:jc w:val="both"/>
            <w:textAlignment w:val="baseline"/>
            <w:rPr>
              <w:szCs w:val="24"/>
            </w:rPr>
          </w:pPr>
          <w:r>
            <w:rPr>
              <w:szCs w:val="24"/>
            </w:rPr>
            <w:t xml:space="preserve">rekomendacijų </w:t>
          </w:r>
        </w:p>
        <w:p>
          <w:pPr>
            <w:overflowPunct w:val="0"/>
            <w:ind w:left="6379"/>
            <w:jc w:val="both"/>
            <w:textAlignment w:val="baseline"/>
            <w:rPr>
              <w:szCs w:val="24"/>
            </w:rPr>
          </w:pPr>
          <w:r>
            <w:rPr>
              <w:szCs w:val="24"/>
            </w:rPr>
            <w:t xml:space="preserve">1  priedas</w:t>
          </w:r>
        </w:p>
        <w:p>
          <w:pPr>
            <w:keepNext/>
            <w:overflowPunct w:val="0"/>
            <w:jc w:val="center"/>
            <w:textAlignment w:val="baseline"/>
            <w:rPr>
              <w:b/>
            </w:rPr>
          </w:pPr>
        </w:p>
        <w:p>
          <w:pPr>
            <w:overflowPunct w:val="0"/>
            <w:jc w:val="center"/>
            <w:textAlignment w:val="baseline"/>
          </w:pPr>
          <w:r>
            <w:t>Ūkininko ________________________________ ūkis</w:t>
          </w:r>
        </w:p>
        <w:p>
          <w:pPr>
            <w:overflowPunct w:val="0"/>
            <w:jc w:val="center"/>
            <w:textAlignment w:val="baseline"/>
          </w:pPr>
        </w:p>
        <w:p>
          <w:pPr>
            <w:keepNext/>
            <w:overflowPunct w:val="0"/>
            <w:jc w:val="center"/>
            <w:textAlignment w:val="baseline"/>
            <w:rPr>
              <w:b/>
            </w:rPr>
          </w:pPr>
          <w:r>
            <w:rPr>
              <w:b/>
            </w:rPr>
            <w:t xml:space="preserve">PRODUKCIJOS PARDAVIMO RINKOJE ŽINIARAŠTIS </w:t>
          </w:r>
        </w:p>
        <w:p>
          <w:pPr>
            <w:overflowPunct w:val="0"/>
            <w:jc w:val="center"/>
            <w:textAlignment w:val="baseline"/>
          </w:pPr>
        </w:p>
        <w:p>
          <w:pPr>
            <w:overflowPunct w:val="0"/>
            <w:jc w:val="center"/>
            <w:textAlignment w:val="baseline"/>
          </w:pPr>
          <w:r>
            <w:t>_____________ Nr. _____________</w:t>
          </w:r>
        </w:p>
        <w:p>
          <w:pPr>
            <w:overflowPunct w:val="0"/>
            <w:ind w:left="3544"/>
            <w:jc w:val="both"/>
            <w:textAlignment w:val="baseline"/>
            <w:rPr>
              <w:sz w:val="20"/>
            </w:rPr>
          </w:pPr>
          <w:r>
            <w:rPr>
              <w:sz w:val="20"/>
            </w:rPr>
            <w:t>(data)</w:t>
          </w:r>
        </w:p>
        <w:p>
          <w:pPr>
            <w:overflowPunct w:val="0"/>
            <w:ind w:left="2444"/>
            <w:jc w:val="both"/>
            <w:textAlignment w:val="baseline"/>
            <w:rPr>
              <w:sz w:val="18"/>
              <w:szCs w:val="18"/>
            </w:rPr>
          </w:pPr>
        </w:p>
        <w:tbl>
          <w:tblPr>
            <w:tblW w:w="9786"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851"/>
            <w:gridCol w:w="1683"/>
            <w:gridCol w:w="1010"/>
            <w:gridCol w:w="1134"/>
            <w:gridCol w:w="992"/>
            <w:gridCol w:w="1149"/>
            <w:gridCol w:w="1129"/>
            <w:gridCol w:w="1838"/>
          </w:tblGrid>
          <w:tr>
            <w:tc>
              <w:tcPr>
                <w:tcW w:w="851" w:type="dxa"/>
                <w:vAlign w:val="center"/>
              </w:tcPr>
              <w:p>
                <w:pPr>
                  <w:overflowPunct w:val="0"/>
                  <w:jc w:val="center"/>
                  <w:textAlignment w:val="baseline"/>
                  <w:rPr>
                    <w:sz w:val="22"/>
                  </w:rPr>
                </w:pPr>
                <w:r>
                  <w:rPr>
                    <w:sz w:val="22"/>
                  </w:rPr>
                  <w:t>Data</w:t>
                </w:r>
              </w:p>
            </w:tc>
            <w:tc>
              <w:tcPr>
                <w:tcW w:w="1683" w:type="dxa"/>
                <w:vAlign w:val="center"/>
              </w:tcPr>
              <w:p>
                <w:pPr>
                  <w:overflowPunct w:val="0"/>
                  <w:jc w:val="center"/>
                  <w:textAlignment w:val="baseline"/>
                  <w:rPr>
                    <w:sz w:val="22"/>
                  </w:rPr>
                </w:pPr>
                <w:r>
                  <w:rPr>
                    <w:sz w:val="22"/>
                  </w:rPr>
                  <w:t>Parduotos produkcijos pavadinimas</w:t>
                </w:r>
              </w:p>
            </w:tc>
            <w:tc>
              <w:tcPr>
                <w:tcW w:w="1010" w:type="dxa"/>
                <w:vAlign w:val="center"/>
              </w:tcPr>
              <w:p>
                <w:pPr>
                  <w:overflowPunct w:val="0"/>
                  <w:jc w:val="center"/>
                  <w:textAlignment w:val="baseline"/>
                  <w:rPr>
                    <w:sz w:val="22"/>
                  </w:rPr>
                </w:pPr>
                <w:r>
                  <w:rPr>
                    <w:sz w:val="22"/>
                  </w:rPr>
                  <w:t>Mato vienetas</w:t>
                </w:r>
              </w:p>
            </w:tc>
            <w:tc>
              <w:tcPr>
                <w:tcW w:w="1134" w:type="dxa"/>
                <w:vAlign w:val="center"/>
              </w:tcPr>
              <w:p>
                <w:pPr>
                  <w:overflowPunct w:val="0"/>
                  <w:jc w:val="center"/>
                  <w:textAlignment w:val="baseline"/>
                  <w:rPr>
                    <w:sz w:val="22"/>
                  </w:rPr>
                </w:pPr>
                <w:r>
                  <w:rPr>
                    <w:sz w:val="22"/>
                  </w:rPr>
                  <w:t>Kiekis</w:t>
                </w:r>
              </w:p>
            </w:tc>
            <w:tc>
              <w:tcPr>
                <w:tcW w:w="992" w:type="dxa"/>
                <w:vAlign w:val="center"/>
              </w:tcPr>
              <w:p>
                <w:pPr>
                  <w:overflowPunct w:val="0"/>
                  <w:jc w:val="center"/>
                  <w:textAlignment w:val="baseline"/>
                  <w:rPr>
                    <w:sz w:val="22"/>
                  </w:rPr>
                </w:pPr>
                <w:r>
                  <w:rPr>
                    <w:sz w:val="22"/>
                  </w:rPr>
                  <w:t xml:space="preserve">Kaina, </w:t>
                </w:r>
              </w:p>
              <w:p>
                <w:pPr>
                  <w:overflowPunct w:val="0"/>
                  <w:jc w:val="center"/>
                  <w:textAlignment w:val="baseline"/>
                  <w:rPr>
                    <w:sz w:val="22"/>
                  </w:rPr>
                </w:pPr>
                <w:r>
                  <w:rPr>
                    <w:sz w:val="22"/>
                  </w:rPr>
                  <w:t>Eur</w:t>
                </w:r>
              </w:p>
            </w:tc>
            <w:tc>
              <w:tcPr>
                <w:tcW w:w="1149" w:type="dxa"/>
                <w:vAlign w:val="center"/>
              </w:tcPr>
              <w:p>
                <w:pPr>
                  <w:overflowPunct w:val="0"/>
                  <w:jc w:val="center"/>
                  <w:textAlignment w:val="baseline"/>
                  <w:rPr>
                    <w:sz w:val="22"/>
                  </w:rPr>
                </w:pPr>
                <w:r>
                  <w:rPr>
                    <w:sz w:val="22"/>
                  </w:rPr>
                  <w:t xml:space="preserve">Suma, </w:t>
                </w:r>
              </w:p>
              <w:p>
                <w:pPr>
                  <w:overflowPunct w:val="0"/>
                  <w:jc w:val="center"/>
                  <w:textAlignment w:val="baseline"/>
                  <w:rPr>
                    <w:sz w:val="22"/>
                  </w:rPr>
                </w:pPr>
                <w:r>
                  <w:rPr>
                    <w:sz w:val="22"/>
                  </w:rPr>
                  <w:t>Eur</w:t>
                </w:r>
              </w:p>
            </w:tc>
            <w:tc>
              <w:tcPr>
                <w:tcW w:w="1129" w:type="dxa"/>
                <w:vAlign w:val="center"/>
              </w:tcPr>
              <w:p>
                <w:pPr>
                  <w:overflowPunct w:val="0"/>
                  <w:jc w:val="center"/>
                  <w:textAlignment w:val="baseline"/>
                  <w:rPr>
                    <w:sz w:val="22"/>
                  </w:rPr>
                </w:pPr>
                <w:r>
                  <w:rPr>
                    <w:sz w:val="22"/>
                  </w:rPr>
                  <w:t>Turgaus rinkliava, Eur</w:t>
                </w:r>
              </w:p>
            </w:tc>
            <w:tc>
              <w:tcPr>
                <w:tcW w:w="1838" w:type="dxa"/>
                <w:vAlign w:val="center"/>
              </w:tcPr>
              <w:p>
                <w:pPr>
                  <w:overflowPunct w:val="0"/>
                  <w:jc w:val="center"/>
                  <w:textAlignment w:val="baseline"/>
                  <w:rPr>
                    <w:sz w:val="22"/>
                  </w:rPr>
                </w:pPr>
                <w:r>
                  <w:rPr>
                    <w:sz w:val="22"/>
                  </w:rPr>
                  <w:t>Turgavietė</w:t>
                </w:r>
              </w:p>
            </w:tc>
          </w:tr>
          <w:tr>
            <w:trPr>
              <w:trHeight w:hRule="exact" w:val="300"/>
            </w:trPr>
            <w:tc>
              <w:tcPr>
                <w:tcW w:w="851" w:type="dxa"/>
                <w:vAlign w:val="center"/>
              </w:tcPr>
              <w:p>
                <w:pPr>
                  <w:overflowPunct w:val="0"/>
                  <w:jc w:val="both"/>
                  <w:textAlignment w:val="baseline"/>
                  <w:rPr>
                    <w:b/>
                    <w:bCs/>
                  </w:rPr>
                </w:pPr>
              </w:p>
            </w:tc>
            <w:tc>
              <w:tcPr>
                <w:tcW w:w="1683" w:type="dxa"/>
                <w:vAlign w:val="center"/>
              </w:tcPr>
              <w:p>
                <w:pPr>
                  <w:overflowPunct w:val="0"/>
                  <w:jc w:val="both"/>
                  <w:textAlignment w:val="baseline"/>
                  <w:rPr>
                    <w:b/>
                    <w:bCs/>
                  </w:rPr>
                </w:pPr>
              </w:p>
            </w:tc>
            <w:tc>
              <w:tcPr>
                <w:tcW w:w="1010" w:type="dxa"/>
                <w:vAlign w:val="center"/>
              </w:tcPr>
              <w:p>
                <w:pPr>
                  <w:overflowPunct w:val="0"/>
                  <w:jc w:val="both"/>
                  <w:textAlignment w:val="baseline"/>
                  <w:rPr>
                    <w:b/>
                    <w:bCs/>
                  </w:rPr>
                </w:pPr>
              </w:p>
            </w:tc>
            <w:tc>
              <w:tcPr>
                <w:tcW w:w="1134" w:type="dxa"/>
                <w:vAlign w:val="center"/>
              </w:tcPr>
              <w:p>
                <w:pPr>
                  <w:overflowPunct w:val="0"/>
                  <w:jc w:val="both"/>
                  <w:textAlignment w:val="baseline"/>
                  <w:rPr>
                    <w:b/>
                    <w:bCs/>
                  </w:rPr>
                </w:pPr>
              </w:p>
            </w:tc>
            <w:tc>
              <w:tcPr>
                <w:tcW w:w="992" w:type="dxa"/>
                <w:vAlign w:val="center"/>
              </w:tcPr>
              <w:p>
                <w:pPr>
                  <w:overflowPunct w:val="0"/>
                  <w:jc w:val="both"/>
                  <w:textAlignment w:val="baseline"/>
                  <w:rPr>
                    <w:b/>
                    <w:bCs/>
                  </w:rPr>
                </w:pPr>
              </w:p>
            </w:tc>
            <w:tc>
              <w:tcPr>
                <w:tcW w:w="1149" w:type="dxa"/>
                <w:vAlign w:val="center"/>
              </w:tcPr>
              <w:p>
                <w:pPr>
                  <w:overflowPunct w:val="0"/>
                  <w:jc w:val="both"/>
                  <w:textAlignment w:val="baseline"/>
                  <w:rPr>
                    <w:b/>
                    <w:bCs/>
                  </w:rPr>
                </w:pPr>
              </w:p>
            </w:tc>
            <w:tc>
              <w:tcPr>
                <w:tcW w:w="1129" w:type="dxa"/>
                <w:vAlign w:val="center"/>
              </w:tcPr>
              <w:p>
                <w:pPr>
                  <w:overflowPunct w:val="0"/>
                  <w:jc w:val="both"/>
                  <w:textAlignment w:val="baseline"/>
                  <w:rPr>
                    <w:b/>
                    <w:bCs/>
                  </w:rPr>
                </w:pPr>
              </w:p>
            </w:tc>
            <w:tc>
              <w:tcPr>
                <w:tcW w:w="1838" w:type="dxa"/>
                <w:vAlign w:val="center"/>
              </w:tcPr>
              <w:p>
                <w:pPr>
                  <w:overflowPunct w:val="0"/>
                  <w:jc w:val="both"/>
                  <w:textAlignment w:val="baseline"/>
                  <w:rPr>
                    <w:b/>
                    <w:bCs/>
                  </w:rPr>
                </w:pPr>
              </w:p>
            </w:tc>
          </w:tr>
          <w:tr>
            <w:trPr>
              <w:trHeight w:hRule="exact" w:val="300"/>
            </w:trPr>
            <w:tc>
              <w:tcPr>
                <w:tcW w:w="851" w:type="dxa"/>
                <w:vAlign w:val="center"/>
              </w:tcPr>
              <w:p>
                <w:pPr>
                  <w:overflowPunct w:val="0"/>
                  <w:jc w:val="both"/>
                  <w:textAlignment w:val="baseline"/>
                  <w:rPr>
                    <w:b/>
                    <w:bCs/>
                  </w:rPr>
                </w:pPr>
              </w:p>
            </w:tc>
            <w:tc>
              <w:tcPr>
                <w:tcW w:w="1683" w:type="dxa"/>
                <w:vAlign w:val="center"/>
              </w:tcPr>
              <w:p>
                <w:pPr>
                  <w:overflowPunct w:val="0"/>
                  <w:jc w:val="both"/>
                  <w:textAlignment w:val="baseline"/>
                  <w:rPr>
                    <w:b/>
                    <w:bCs/>
                  </w:rPr>
                </w:pPr>
              </w:p>
            </w:tc>
            <w:tc>
              <w:tcPr>
                <w:tcW w:w="1010" w:type="dxa"/>
                <w:vAlign w:val="center"/>
              </w:tcPr>
              <w:p>
                <w:pPr>
                  <w:overflowPunct w:val="0"/>
                  <w:jc w:val="both"/>
                  <w:textAlignment w:val="baseline"/>
                  <w:rPr>
                    <w:b/>
                    <w:bCs/>
                  </w:rPr>
                </w:pPr>
              </w:p>
            </w:tc>
            <w:tc>
              <w:tcPr>
                <w:tcW w:w="1134" w:type="dxa"/>
                <w:vAlign w:val="center"/>
              </w:tcPr>
              <w:p>
                <w:pPr>
                  <w:overflowPunct w:val="0"/>
                  <w:jc w:val="both"/>
                  <w:textAlignment w:val="baseline"/>
                  <w:rPr>
                    <w:b/>
                    <w:bCs/>
                  </w:rPr>
                </w:pPr>
              </w:p>
            </w:tc>
            <w:tc>
              <w:tcPr>
                <w:tcW w:w="992" w:type="dxa"/>
                <w:vAlign w:val="center"/>
              </w:tcPr>
              <w:p>
                <w:pPr>
                  <w:overflowPunct w:val="0"/>
                  <w:jc w:val="both"/>
                  <w:textAlignment w:val="baseline"/>
                  <w:rPr>
                    <w:b/>
                    <w:bCs/>
                  </w:rPr>
                </w:pPr>
              </w:p>
            </w:tc>
            <w:tc>
              <w:tcPr>
                <w:tcW w:w="1149" w:type="dxa"/>
                <w:vAlign w:val="center"/>
              </w:tcPr>
              <w:p>
                <w:pPr>
                  <w:overflowPunct w:val="0"/>
                  <w:jc w:val="both"/>
                  <w:textAlignment w:val="baseline"/>
                  <w:rPr>
                    <w:b/>
                    <w:bCs/>
                  </w:rPr>
                </w:pPr>
              </w:p>
            </w:tc>
            <w:tc>
              <w:tcPr>
                <w:tcW w:w="1129" w:type="dxa"/>
                <w:vAlign w:val="center"/>
              </w:tcPr>
              <w:p>
                <w:pPr>
                  <w:overflowPunct w:val="0"/>
                  <w:jc w:val="both"/>
                  <w:textAlignment w:val="baseline"/>
                  <w:rPr>
                    <w:b/>
                    <w:bCs/>
                  </w:rPr>
                </w:pPr>
              </w:p>
            </w:tc>
            <w:tc>
              <w:tcPr>
                <w:tcW w:w="1838" w:type="dxa"/>
                <w:vAlign w:val="center"/>
              </w:tcPr>
              <w:p>
                <w:pPr>
                  <w:overflowPunct w:val="0"/>
                  <w:jc w:val="both"/>
                  <w:textAlignment w:val="baseline"/>
                  <w:rPr>
                    <w:b/>
                    <w:bCs/>
                  </w:rPr>
                </w:pPr>
              </w:p>
            </w:tc>
          </w:tr>
          <w:tr>
            <w:trPr>
              <w:trHeight w:hRule="exact" w:val="300"/>
            </w:trPr>
            <w:tc>
              <w:tcPr>
                <w:tcW w:w="851" w:type="dxa"/>
                <w:vAlign w:val="center"/>
              </w:tcPr>
              <w:p>
                <w:pPr>
                  <w:overflowPunct w:val="0"/>
                  <w:jc w:val="both"/>
                  <w:textAlignment w:val="baseline"/>
                  <w:rPr>
                    <w:b/>
                    <w:bCs/>
                  </w:rPr>
                </w:pPr>
              </w:p>
            </w:tc>
            <w:tc>
              <w:tcPr>
                <w:tcW w:w="1683" w:type="dxa"/>
                <w:vAlign w:val="center"/>
              </w:tcPr>
              <w:p>
                <w:pPr>
                  <w:overflowPunct w:val="0"/>
                  <w:jc w:val="both"/>
                  <w:textAlignment w:val="baseline"/>
                  <w:rPr>
                    <w:b/>
                    <w:bCs/>
                  </w:rPr>
                </w:pPr>
              </w:p>
            </w:tc>
            <w:tc>
              <w:tcPr>
                <w:tcW w:w="1010" w:type="dxa"/>
                <w:vAlign w:val="center"/>
              </w:tcPr>
              <w:p>
                <w:pPr>
                  <w:overflowPunct w:val="0"/>
                  <w:jc w:val="both"/>
                  <w:textAlignment w:val="baseline"/>
                  <w:rPr>
                    <w:b/>
                    <w:bCs/>
                  </w:rPr>
                </w:pPr>
              </w:p>
            </w:tc>
            <w:tc>
              <w:tcPr>
                <w:tcW w:w="1134" w:type="dxa"/>
                <w:vAlign w:val="center"/>
              </w:tcPr>
              <w:p>
                <w:pPr>
                  <w:overflowPunct w:val="0"/>
                  <w:jc w:val="both"/>
                  <w:textAlignment w:val="baseline"/>
                  <w:rPr>
                    <w:b/>
                    <w:bCs/>
                  </w:rPr>
                </w:pPr>
              </w:p>
            </w:tc>
            <w:tc>
              <w:tcPr>
                <w:tcW w:w="992" w:type="dxa"/>
                <w:vAlign w:val="center"/>
              </w:tcPr>
              <w:p>
                <w:pPr>
                  <w:overflowPunct w:val="0"/>
                  <w:jc w:val="both"/>
                  <w:textAlignment w:val="baseline"/>
                  <w:rPr>
                    <w:b/>
                    <w:bCs/>
                  </w:rPr>
                </w:pPr>
              </w:p>
            </w:tc>
            <w:tc>
              <w:tcPr>
                <w:tcW w:w="1149" w:type="dxa"/>
                <w:vAlign w:val="center"/>
              </w:tcPr>
              <w:p>
                <w:pPr>
                  <w:overflowPunct w:val="0"/>
                  <w:jc w:val="both"/>
                  <w:textAlignment w:val="baseline"/>
                  <w:rPr>
                    <w:b/>
                    <w:bCs/>
                  </w:rPr>
                </w:pPr>
              </w:p>
            </w:tc>
            <w:tc>
              <w:tcPr>
                <w:tcW w:w="1129" w:type="dxa"/>
                <w:vAlign w:val="center"/>
              </w:tcPr>
              <w:p>
                <w:pPr>
                  <w:overflowPunct w:val="0"/>
                  <w:jc w:val="both"/>
                  <w:textAlignment w:val="baseline"/>
                  <w:rPr>
                    <w:b/>
                    <w:bCs/>
                  </w:rPr>
                </w:pPr>
              </w:p>
            </w:tc>
            <w:tc>
              <w:tcPr>
                <w:tcW w:w="1838" w:type="dxa"/>
                <w:vAlign w:val="center"/>
              </w:tcPr>
              <w:p>
                <w:pPr>
                  <w:overflowPunct w:val="0"/>
                  <w:jc w:val="both"/>
                  <w:textAlignment w:val="baseline"/>
                  <w:rPr>
                    <w:b/>
                    <w:bCs/>
                  </w:rPr>
                </w:pPr>
              </w:p>
            </w:tc>
          </w:tr>
          <w:tr>
            <w:trPr>
              <w:trHeight w:hRule="exact" w:val="300"/>
            </w:trPr>
            <w:tc>
              <w:tcPr>
                <w:tcW w:w="851" w:type="dxa"/>
                <w:vAlign w:val="center"/>
              </w:tcPr>
              <w:p>
                <w:pPr>
                  <w:overflowPunct w:val="0"/>
                  <w:jc w:val="both"/>
                  <w:textAlignment w:val="baseline"/>
                  <w:rPr>
                    <w:b/>
                    <w:bCs/>
                  </w:rPr>
                </w:pPr>
              </w:p>
            </w:tc>
            <w:tc>
              <w:tcPr>
                <w:tcW w:w="1683" w:type="dxa"/>
                <w:vAlign w:val="center"/>
              </w:tcPr>
              <w:p>
                <w:pPr>
                  <w:overflowPunct w:val="0"/>
                  <w:jc w:val="both"/>
                  <w:textAlignment w:val="baseline"/>
                  <w:rPr>
                    <w:b/>
                    <w:bCs/>
                  </w:rPr>
                </w:pPr>
              </w:p>
            </w:tc>
            <w:tc>
              <w:tcPr>
                <w:tcW w:w="1010" w:type="dxa"/>
                <w:vAlign w:val="center"/>
              </w:tcPr>
              <w:p>
                <w:pPr>
                  <w:overflowPunct w:val="0"/>
                  <w:jc w:val="both"/>
                  <w:textAlignment w:val="baseline"/>
                  <w:rPr>
                    <w:b/>
                    <w:bCs/>
                  </w:rPr>
                </w:pPr>
              </w:p>
            </w:tc>
            <w:tc>
              <w:tcPr>
                <w:tcW w:w="1134" w:type="dxa"/>
                <w:vAlign w:val="center"/>
              </w:tcPr>
              <w:p>
                <w:pPr>
                  <w:overflowPunct w:val="0"/>
                  <w:jc w:val="both"/>
                  <w:textAlignment w:val="baseline"/>
                  <w:rPr>
                    <w:b/>
                    <w:bCs/>
                  </w:rPr>
                </w:pPr>
              </w:p>
            </w:tc>
            <w:tc>
              <w:tcPr>
                <w:tcW w:w="992" w:type="dxa"/>
                <w:vAlign w:val="center"/>
              </w:tcPr>
              <w:p>
                <w:pPr>
                  <w:overflowPunct w:val="0"/>
                  <w:jc w:val="both"/>
                  <w:textAlignment w:val="baseline"/>
                  <w:rPr>
                    <w:b/>
                    <w:bCs/>
                  </w:rPr>
                </w:pPr>
              </w:p>
            </w:tc>
            <w:tc>
              <w:tcPr>
                <w:tcW w:w="1149" w:type="dxa"/>
                <w:vAlign w:val="center"/>
              </w:tcPr>
              <w:p>
                <w:pPr>
                  <w:overflowPunct w:val="0"/>
                  <w:jc w:val="both"/>
                  <w:textAlignment w:val="baseline"/>
                  <w:rPr>
                    <w:b/>
                    <w:bCs/>
                  </w:rPr>
                </w:pPr>
              </w:p>
            </w:tc>
            <w:tc>
              <w:tcPr>
                <w:tcW w:w="1129" w:type="dxa"/>
                <w:vAlign w:val="center"/>
              </w:tcPr>
              <w:p>
                <w:pPr>
                  <w:overflowPunct w:val="0"/>
                  <w:jc w:val="both"/>
                  <w:textAlignment w:val="baseline"/>
                  <w:rPr>
                    <w:b/>
                    <w:bCs/>
                  </w:rPr>
                </w:pPr>
              </w:p>
            </w:tc>
            <w:tc>
              <w:tcPr>
                <w:tcW w:w="1838" w:type="dxa"/>
                <w:vAlign w:val="center"/>
              </w:tcPr>
              <w:p>
                <w:pPr>
                  <w:overflowPunct w:val="0"/>
                  <w:jc w:val="both"/>
                  <w:textAlignment w:val="baseline"/>
                  <w:rPr>
                    <w:b/>
                    <w:bCs/>
                  </w:rPr>
                </w:pPr>
              </w:p>
            </w:tc>
          </w:tr>
          <w:tr>
            <w:trPr>
              <w:trHeight w:hRule="exact" w:val="300"/>
            </w:trPr>
            <w:tc>
              <w:tcPr>
                <w:tcW w:w="851" w:type="dxa"/>
                <w:vAlign w:val="center"/>
              </w:tcPr>
              <w:p>
                <w:pPr>
                  <w:overflowPunct w:val="0"/>
                  <w:jc w:val="both"/>
                  <w:textAlignment w:val="baseline"/>
                  <w:rPr>
                    <w:b/>
                    <w:bCs/>
                  </w:rPr>
                </w:pPr>
              </w:p>
            </w:tc>
            <w:tc>
              <w:tcPr>
                <w:tcW w:w="1683" w:type="dxa"/>
                <w:vAlign w:val="center"/>
              </w:tcPr>
              <w:p>
                <w:pPr>
                  <w:overflowPunct w:val="0"/>
                  <w:jc w:val="both"/>
                  <w:textAlignment w:val="baseline"/>
                  <w:rPr>
                    <w:b/>
                    <w:bCs/>
                  </w:rPr>
                </w:pPr>
              </w:p>
            </w:tc>
            <w:tc>
              <w:tcPr>
                <w:tcW w:w="1010" w:type="dxa"/>
                <w:vAlign w:val="center"/>
              </w:tcPr>
              <w:p>
                <w:pPr>
                  <w:overflowPunct w:val="0"/>
                  <w:jc w:val="both"/>
                  <w:textAlignment w:val="baseline"/>
                  <w:rPr>
                    <w:b/>
                    <w:bCs/>
                  </w:rPr>
                </w:pPr>
              </w:p>
            </w:tc>
            <w:tc>
              <w:tcPr>
                <w:tcW w:w="1134" w:type="dxa"/>
                <w:vAlign w:val="center"/>
              </w:tcPr>
              <w:p>
                <w:pPr>
                  <w:overflowPunct w:val="0"/>
                  <w:jc w:val="both"/>
                  <w:textAlignment w:val="baseline"/>
                  <w:rPr>
                    <w:b/>
                    <w:bCs/>
                  </w:rPr>
                </w:pPr>
              </w:p>
            </w:tc>
            <w:tc>
              <w:tcPr>
                <w:tcW w:w="992" w:type="dxa"/>
                <w:vAlign w:val="center"/>
              </w:tcPr>
              <w:p>
                <w:pPr>
                  <w:overflowPunct w:val="0"/>
                  <w:jc w:val="both"/>
                  <w:textAlignment w:val="baseline"/>
                  <w:rPr>
                    <w:b/>
                    <w:bCs/>
                  </w:rPr>
                </w:pPr>
              </w:p>
            </w:tc>
            <w:tc>
              <w:tcPr>
                <w:tcW w:w="1149" w:type="dxa"/>
                <w:vAlign w:val="center"/>
              </w:tcPr>
              <w:p>
                <w:pPr>
                  <w:overflowPunct w:val="0"/>
                  <w:jc w:val="both"/>
                  <w:textAlignment w:val="baseline"/>
                  <w:rPr>
                    <w:b/>
                    <w:bCs/>
                  </w:rPr>
                </w:pPr>
              </w:p>
            </w:tc>
            <w:tc>
              <w:tcPr>
                <w:tcW w:w="1129" w:type="dxa"/>
                <w:vAlign w:val="center"/>
              </w:tcPr>
              <w:p>
                <w:pPr>
                  <w:overflowPunct w:val="0"/>
                  <w:jc w:val="both"/>
                  <w:textAlignment w:val="baseline"/>
                  <w:rPr>
                    <w:b/>
                    <w:bCs/>
                  </w:rPr>
                </w:pPr>
              </w:p>
            </w:tc>
            <w:tc>
              <w:tcPr>
                <w:tcW w:w="1838" w:type="dxa"/>
                <w:vAlign w:val="center"/>
              </w:tcPr>
              <w:p>
                <w:pPr>
                  <w:overflowPunct w:val="0"/>
                  <w:jc w:val="both"/>
                  <w:textAlignment w:val="baseline"/>
                  <w:rPr>
                    <w:b/>
                    <w:bCs/>
                  </w:rPr>
                </w:pPr>
              </w:p>
            </w:tc>
          </w:tr>
          <w:tr>
            <w:trPr>
              <w:trHeight w:hRule="exact" w:val="300"/>
            </w:trPr>
            <w:tc>
              <w:tcPr>
                <w:tcW w:w="851" w:type="dxa"/>
                <w:vAlign w:val="center"/>
              </w:tcPr>
              <w:p>
                <w:pPr>
                  <w:overflowPunct w:val="0"/>
                  <w:jc w:val="both"/>
                  <w:textAlignment w:val="baseline"/>
                  <w:rPr>
                    <w:b/>
                    <w:bCs/>
                  </w:rPr>
                </w:pPr>
              </w:p>
            </w:tc>
            <w:tc>
              <w:tcPr>
                <w:tcW w:w="1683" w:type="dxa"/>
                <w:vAlign w:val="center"/>
              </w:tcPr>
              <w:p>
                <w:pPr>
                  <w:overflowPunct w:val="0"/>
                  <w:jc w:val="both"/>
                  <w:textAlignment w:val="baseline"/>
                  <w:rPr>
                    <w:b/>
                    <w:bCs/>
                  </w:rPr>
                </w:pPr>
              </w:p>
            </w:tc>
            <w:tc>
              <w:tcPr>
                <w:tcW w:w="1010" w:type="dxa"/>
                <w:vAlign w:val="center"/>
              </w:tcPr>
              <w:p>
                <w:pPr>
                  <w:overflowPunct w:val="0"/>
                  <w:jc w:val="both"/>
                  <w:textAlignment w:val="baseline"/>
                  <w:rPr>
                    <w:b/>
                    <w:bCs/>
                  </w:rPr>
                </w:pPr>
              </w:p>
            </w:tc>
            <w:tc>
              <w:tcPr>
                <w:tcW w:w="1134" w:type="dxa"/>
                <w:vAlign w:val="center"/>
              </w:tcPr>
              <w:p>
                <w:pPr>
                  <w:overflowPunct w:val="0"/>
                  <w:jc w:val="both"/>
                  <w:textAlignment w:val="baseline"/>
                  <w:rPr>
                    <w:b/>
                    <w:bCs/>
                  </w:rPr>
                </w:pPr>
              </w:p>
            </w:tc>
            <w:tc>
              <w:tcPr>
                <w:tcW w:w="992" w:type="dxa"/>
                <w:vAlign w:val="center"/>
              </w:tcPr>
              <w:p>
                <w:pPr>
                  <w:overflowPunct w:val="0"/>
                  <w:jc w:val="both"/>
                  <w:textAlignment w:val="baseline"/>
                  <w:rPr>
                    <w:b/>
                    <w:bCs/>
                  </w:rPr>
                </w:pPr>
              </w:p>
            </w:tc>
            <w:tc>
              <w:tcPr>
                <w:tcW w:w="1149" w:type="dxa"/>
                <w:vAlign w:val="center"/>
              </w:tcPr>
              <w:p>
                <w:pPr>
                  <w:overflowPunct w:val="0"/>
                  <w:jc w:val="both"/>
                  <w:textAlignment w:val="baseline"/>
                  <w:rPr>
                    <w:b/>
                    <w:bCs/>
                  </w:rPr>
                </w:pPr>
              </w:p>
            </w:tc>
            <w:tc>
              <w:tcPr>
                <w:tcW w:w="1129" w:type="dxa"/>
                <w:vAlign w:val="center"/>
              </w:tcPr>
              <w:p>
                <w:pPr>
                  <w:overflowPunct w:val="0"/>
                  <w:jc w:val="both"/>
                  <w:textAlignment w:val="baseline"/>
                  <w:rPr>
                    <w:b/>
                    <w:bCs/>
                  </w:rPr>
                </w:pPr>
              </w:p>
            </w:tc>
            <w:tc>
              <w:tcPr>
                <w:tcW w:w="1838" w:type="dxa"/>
                <w:vAlign w:val="center"/>
              </w:tcPr>
              <w:p>
                <w:pPr>
                  <w:overflowPunct w:val="0"/>
                  <w:jc w:val="both"/>
                  <w:textAlignment w:val="baseline"/>
                  <w:rPr>
                    <w:b/>
                    <w:bCs/>
                  </w:rPr>
                </w:pPr>
              </w:p>
            </w:tc>
          </w:tr>
          <w:tr>
            <w:trPr>
              <w:trHeight w:hRule="exact" w:val="300"/>
            </w:trPr>
            <w:tc>
              <w:tcPr>
                <w:tcW w:w="851" w:type="dxa"/>
                <w:vAlign w:val="center"/>
              </w:tcPr>
              <w:p>
                <w:pPr>
                  <w:overflowPunct w:val="0"/>
                  <w:jc w:val="both"/>
                  <w:textAlignment w:val="baseline"/>
                  <w:rPr>
                    <w:b/>
                    <w:bCs/>
                  </w:rPr>
                </w:pPr>
              </w:p>
            </w:tc>
            <w:tc>
              <w:tcPr>
                <w:tcW w:w="1683" w:type="dxa"/>
                <w:vAlign w:val="center"/>
              </w:tcPr>
              <w:p>
                <w:pPr>
                  <w:overflowPunct w:val="0"/>
                  <w:jc w:val="both"/>
                  <w:textAlignment w:val="baseline"/>
                  <w:rPr>
                    <w:b/>
                    <w:bCs/>
                  </w:rPr>
                </w:pPr>
              </w:p>
            </w:tc>
            <w:tc>
              <w:tcPr>
                <w:tcW w:w="1010" w:type="dxa"/>
                <w:vAlign w:val="center"/>
              </w:tcPr>
              <w:p>
                <w:pPr>
                  <w:overflowPunct w:val="0"/>
                  <w:jc w:val="both"/>
                  <w:textAlignment w:val="baseline"/>
                  <w:rPr>
                    <w:b/>
                    <w:bCs/>
                  </w:rPr>
                </w:pPr>
              </w:p>
            </w:tc>
            <w:tc>
              <w:tcPr>
                <w:tcW w:w="1134" w:type="dxa"/>
                <w:vAlign w:val="center"/>
              </w:tcPr>
              <w:p>
                <w:pPr>
                  <w:overflowPunct w:val="0"/>
                  <w:jc w:val="both"/>
                  <w:textAlignment w:val="baseline"/>
                  <w:rPr>
                    <w:b/>
                    <w:bCs/>
                  </w:rPr>
                </w:pPr>
              </w:p>
            </w:tc>
            <w:tc>
              <w:tcPr>
                <w:tcW w:w="992" w:type="dxa"/>
                <w:vAlign w:val="center"/>
              </w:tcPr>
              <w:p>
                <w:pPr>
                  <w:overflowPunct w:val="0"/>
                  <w:jc w:val="both"/>
                  <w:textAlignment w:val="baseline"/>
                  <w:rPr>
                    <w:b/>
                    <w:bCs/>
                  </w:rPr>
                </w:pPr>
              </w:p>
            </w:tc>
            <w:tc>
              <w:tcPr>
                <w:tcW w:w="1149" w:type="dxa"/>
                <w:vAlign w:val="center"/>
              </w:tcPr>
              <w:p>
                <w:pPr>
                  <w:overflowPunct w:val="0"/>
                  <w:jc w:val="both"/>
                  <w:textAlignment w:val="baseline"/>
                  <w:rPr>
                    <w:b/>
                    <w:bCs/>
                  </w:rPr>
                </w:pPr>
              </w:p>
            </w:tc>
            <w:tc>
              <w:tcPr>
                <w:tcW w:w="1129" w:type="dxa"/>
                <w:vAlign w:val="center"/>
              </w:tcPr>
              <w:p>
                <w:pPr>
                  <w:overflowPunct w:val="0"/>
                  <w:jc w:val="both"/>
                  <w:textAlignment w:val="baseline"/>
                  <w:rPr>
                    <w:b/>
                    <w:bCs/>
                  </w:rPr>
                </w:pPr>
              </w:p>
            </w:tc>
            <w:tc>
              <w:tcPr>
                <w:tcW w:w="1838" w:type="dxa"/>
                <w:vAlign w:val="center"/>
              </w:tcPr>
              <w:p>
                <w:pPr>
                  <w:overflowPunct w:val="0"/>
                  <w:jc w:val="both"/>
                  <w:textAlignment w:val="baseline"/>
                  <w:rPr>
                    <w:b/>
                    <w:bCs/>
                  </w:rPr>
                </w:pPr>
              </w:p>
            </w:tc>
          </w:tr>
          <w:tr>
            <w:trPr>
              <w:trHeight w:hRule="exact" w:val="300"/>
            </w:trPr>
            <w:tc>
              <w:tcPr>
                <w:tcW w:w="851" w:type="dxa"/>
                <w:vAlign w:val="center"/>
              </w:tcPr>
              <w:p>
                <w:pPr>
                  <w:overflowPunct w:val="0"/>
                  <w:jc w:val="both"/>
                  <w:textAlignment w:val="baseline"/>
                  <w:rPr>
                    <w:b/>
                    <w:bCs/>
                  </w:rPr>
                </w:pPr>
              </w:p>
            </w:tc>
            <w:tc>
              <w:tcPr>
                <w:tcW w:w="1683" w:type="dxa"/>
                <w:vAlign w:val="center"/>
              </w:tcPr>
              <w:p>
                <w:pPr>
                  <w:overflowPunct w:val="0"/>
                  <w:jc w:val="both"/>
                  <w:textAlignment w:val="baseline"/>
                  <w:rPr>
                    <w:b/>
                    <w:bCs/>
                  </w:rPr>
                </w:pPr>
              </w:p>
            </w:tc>
            <w:tc>
              <w:tcPr>
                <w:tcW w:w="1010" w:type="dxa"/>
                <w:vAlign w:val="center"/>
              </w:tcPr>
              <w:p>
                <w:pPr>
                  <w:overflowPunct w:val="0"/>
                  <w:jc w:val="both"/>
                  <w:textAlignment w:val="baseline"/>
                  <w:rPr>
                    <w:b/>
                    <w:bCs/>
                  </w:rPr>
                </w:pPr>
              </w:p>
            </w:tc>
            <w:tc>
              <w:tcPr>
                <w:tcW w:w="1134" w:type="dxa"/>
                <w:vAlign w:val="center"/>
              </w:tcPr>
              <w:p>
                <w:pPr>
                  <w:overflowPunct w:val="0"/>
                  <w:jc w:val="both"/>
                  <w:textAlignment w:val="baseline"/>
                  <w:rPr>
                    <w:b/>
                    <w:bCs/>
                  </w:rPr>
                </w:pPr>
              </w:p>
            </w:tc>
            <w:tc>
              <w:tcPr>
                <w:tcW w:w="992" w:type="dxa"/>
                <w:vAlign w:val="center"/>
              </w:tcPr>
              <w:p>
                <w:pPr>
                  <w:overflowPunct w:val="0"/>
                  <w:jc w:val="both"/>
                  <w:textAlignment w:val="baseline"/>
                  <w:rPr>
                    <w:b/>
                    <w:bCs/>
                  </w:rPr>
                </w:pPr>
              </w:p>
            </w:tc>
            <w:tc>
              <w:tcPr>
                <w:tcW w:w="1149" w:type="dxa"/>
                <w:vAlign w:val="center"/>
              </w:tcPr>
              <w:p>
                <w:pPr>
                  <w:overflowPunct w:val="0"/>
                  <w:jc w:val="both"/>
                  <w:textAlignment w:val="baseline"/>
                  <w:rPr>
                    <w:b/>
                    <w:bCs/>
                  </w:rPr>
                </w:pPr>
              </w:p>
            </w:tc>
            <w:tc>
              <w:tcPr>
                <w:tcW w:w="1129" w:type="dxa"/>
                <w:vAlign w:val="center"/>
              </w:tcPr>
              <w:p>
                <w:pPr>
                  <w:overflowPunct w:val="0"/>
                  <w:jc w:val="both"/>
                  <w:textAlignment w:val="baseline"/>
                  <w:rPr>
                    <w:b/>
                    <w:bCs/>
                  </w:rPr>
                </w:pPr>
              </w:p>
            </w:tc>
            <w:tc>
              <w:tcPr>
                <w:tcW w:w="1838" w:type="dxa"/>
                <w:vAlign w:val="center"/>
              </w:tcPr>
              <w:p>
                <w:pPr>
                  <w:overflowPunct w:val="0"/>
                  <w:jc w:val="both"/>
                  <w:textAlignment w:val="baseline"/>
                  <w:rPr>
                    <w:b/>
                    <w:bCs/>
                  </w:rPr>
                </w:pPr>
              </w:p>
            </w:tc>
          </w:tr>
          <w:tr>
            <w:trPr>
              <w:trHeight w:hRule="exact" w:val="300"/>
            </w:trPr>
            <w:tc>
              <w:tcPr>
                <w:tcW w:w="851" w:type="dxa"/>
                <w:vAlign w:val="center"/>
              </w:tcPr>
              <w:p>
                <w:pPr>
                  <w:overflowPunct w:val="0"/>
                  <w:jc w:val="both"/>
                  <w:textAlignment w:val="baseline"/>
                  <w:rPr>
                    <w:b/>
                    <w:bCs/>
                  </w:rPr>
                </w:pPr>
              </w:p>
            </w:tc>
            <w:tc>
              <w:tcPr>
                <w:tcW w:w="1683" w:type="dxa"/>
                <w:vAlign w:val="center"/>
              </w:tcPr>
              <w:p>
                <w:pPr>
                  <w:overflowPunct w:val="0"/>
                  <w:jc w:val="both"/>
                  <w:textAlignment w:val="baseline"/>
                  <w:rPr>
                    <w:b/>
                    <w:bCs/>
                  </w:rPr>
                </w:pPr>
              </w:p>
            </w:tc>
            <w:tc>
              <w:tcPr>
                <w:tcW w:w="1010" w:type="dxa"/>
                <w:vAlign w:val="center"/>
              </w:tcPr>
              <w:p>
                <w:pPr>
                  <w:overflowPunct w:val="0"/>
                  <w:jc w:val="both"/>
                  <w:textAlignment w:val="baseline"/>
                  <w:rPr>
                    <w:b/>
                    <w:bCs/>
                  </w:rPr>
                </w:pPr>
              </w:p>
            </w:tc>
            <w:tc>
              <w:tcPr>
                <w:tcW w:w="1134" w:type="dxa"/>
                <w:vAlign w:val="center"/>
              </w:tcPr>
              <w:p>
                <w:pPr>
                  <w:overflowPunct w:val="0"/>
                  <w:jc w:val="both"/>
                  <w:textAlignment w:val="baseline"/>
                  <w:rPr>
                    <w:b/>
                    <w:bCs/>
                  </w:rPr>
                </w:pPr>
              </w:p>
            </w:tc>
            <w:tc>
              <w:tcPr>
                <w:tcW w:w="992" w:type="dxa"/>
                <w:vAlign w:val="center"/>
              </w:tcPr>
              <w:p>
                <w:pPr>
                  <w:overflowPunct w:val="0"/>
                  <w:jc w:val="both"/>
                  <w:textAlignment w:val="baseline"/>
                  <w:rPr>
                    <w:b/>
                    <w:bCs/>
                  </w:rPr>
                </w:pPr>
              </w:p>
            </w:tc>
            <w:tc>
              <w:tcPr>
                <w:tcW w:w="1149" w:type="dxa"/>
                <w:vAlign w:val="center"/>
              </w:tcPr>
              <w:p>
                <w:pPr>
                  <w:overflowPunct w:val="0"/>
                  <w:jc w:val="both"/>
                  <w:textAlignment w:val="baseline"/>
                  <w:rPr>
                    <w:b/>
                    <w:bCs/>
                  </w:rPr>
                </w:pPr>
              </w:p>
            </w:tc>
            <w:tc>
              <w:tcPr>
                <w:tcW w:w="1129" w:type="dxa"/>
                <w:vAlign w:val="center"/>
              </w:tcPr>
              <w:p>
                <w:pPr>
                  <w:overflowPunct w:val="0"/>
                  <w:jc w:val="both"/>
                  <w:textAlignment w:val="baseline"/>
                  <w:rPr>
                    <w:b/>
                    <w:bCs/>
                  </w:rPr>
                </w:pPr>
              </w:p>
            </w:tc>
            <w:tc>
              <w:tcPr>
                <w:tcW w:w="1838" w:type="dxa"/>
                <w:vAlign w:val="center"/>
              </w:tcPr>
              <w:p>
                <w:pPr>
                  <w:overflowPunct w:val="0"/>
                  <w:jc w:val="both"/>
                  <w:textAlignment w:val="baseline"/>
                  <w:rPr>
                    <w:b/>
                    <w:bCs/>
                  </w:rPr>
                </w:pPr>
              </w:p>
            </w:tc>
          </w:tr>
          <w:tr>
            <w:trPr>
              <w:trHeight w:hRule="exact" w:val="300"/>
            </w:trPr>
            <w:tc>
              <w:tcPr>
                <w:tcW w:w="851" w:type="dxa"/>
                <w:vAlign w:val="center"/>
              </w:tcPr>
              <w:p>
                <w:pPr>
                  <w:overflowPunct w:val="0"/>
                  <w:jc w:val="both"/>
                  <w:textAlignment w:val="baseline"/>
                  <w:rPr>
                    <w:b/>
                    <w:bCs/>
                  </w:rPr>
                </w:pPr>
              </w:p>
            </w:tc>
            <w:tc>
              <w:tcPr>
                <w:tcW w:w="1683" w:type="dxa"/>
                <w:vAlign w:val="center"/>
              </w:tcPr>
              <w:p>
                <w:pPr>
                  <w:overflowPunct w:val="0"/>
                  <w:jc w:val="both"/>
                  <w:textAlignment w:val="baseline"/>
                  <w:rPr>
                    <w:b/>
                    <w:bCs/>
                  </w:rPr>
                </w:pPr>
              </w:p>
            </w:tc>
            <w:tc>
              <w:tcPr>
                <w:tcW w:w="1010" w:type="dxa"/>
                <w:vAlign w:val="center"/>
              </w:tcPr>
              <w:p>
                <w:pPr>
                  <w:overflowPunct w:val="0"/>
                  <w:jc w:val="both"/>
                  <w:textAlignment w:val="baseline"/>
                  <w:rPr>
                    <w:b/>
                    <w:bCs/>
                  </w:rPr>
                </w:pPr>
              </w:p>
            </w:tc>
            <w:tc>
              <w:tcPr>
                <w:tcW w:w="1134" w:type="dxa"/>
                <w:vAlign w:val="center"/>
              </w:tcPr>
              <w:p>
                <w:pPr>
                  <w:overflowPunct w:val="0"/>
                  <w:jc w:val="both"/>
                  <w:textAlignment w:val="baseline"/>
                  <w:rPr>
                    <w:b/>
                    <w:bCs/>
                  </w:rPr>
                </w:pPr>
              </w:p>
            </w:tc>
            <w:tc>
              <w:tcPr>
                <w:tcW w:w="992" w:type="dxa"/>
                <w:vAlign w:val="center"/>
              </w:tcPr>
              <w:p>
                <w:pPr>
                  <w:overflowPunct w:val="0"/>
                  <w:jc w:val="both"/>
                  <w:textAlignment w:val="baseline"/>
                  <w:rPr>
                    <w:b/>
                    <w:bCs/>
                  </w:rPr>
                </w:pPr>
              </w:p>
            </w:tc>
            <w:tc>
              <w:tcPr>
                <w:tcW w:w="1149" w:type="dxa"/>
                <w:vAlign w:val="center"/>
              </w:tcPr>
              <w:p>
                <w:pPr>
                  <w:overflowPunct w:val="0"/>
                  <w:jc w:val="both"/>
                  <w:textAlignment w:val="baseline"/>
                  <w:rPr>
                    <w:b/>
                    <w:bCs/>
                  </w:rPr>
                </w:pPr>
              </w:p>
            </w:tc>
            <w:tc>
              <w:tcPr>
                <w:tcW w:w="1129" w:type="dxa"/>
                <w:vAlign w:val="center"/>
              </w:tcPr>
              <w:p>
                <w:pPr>
                  <w:overflowPunct w:val="0"/>
                  <w:jc w:val="both"/>
                  <w:textAlignment w:val="baseline"/>
                  <w:rPr>
                    <w:b/>
                    <w:bCs/>
                  </w:rPr>
                </w:pPr>
              </w:p>
            </w:tc>
            <w:tc>
              <w:tcPr>
                <w:tcW w:w="1838" w:type="dxa"/>
                <w:vAlign w:val="center"/>
              </w:tcPr>
              <w:p>
                <w:pPr>
                  <w:overflowPunct w:val="0"/>
                  <w:jc w:val="both"/>
                  <w:textAlignment w:val="baseline"/>
                  <w:rPr>
                    <w:b/>
                    <w:bCs/>
                  </w:rPr>
                </w:pPr>
              </w:p>
            </w:tc>
          </w:tr>
          <w:tr>
            <w:trPr>
              <w:trHeight w:hRule="exact" w:val="300"/>
            </w:trPr>
            <w:tc>
              <w:tcPr>
                <w:tcW w:w="851" w:type="dxa"/>
                <w:vAlign w:val="center"/>
              </w:tcPr>
              <w:p>
                <w:pPr>
                  <w:overflowPunct w:val="0"/>
                  <w:jc w:val="both"/>
                  <w:textAlignment w:val="baseline"/>
                  <w:rPr>
                    <w:b/>
                    <w:bCs/>
                  </w:rPr>
                </w:pPr>
              </w:p>
            </w:tc>
            <w:tc>
              <w:tcPr>
                <w:tcW w:w="1683" w:type="dxa"/>
                <w:vAlign w:val="center"/>
              </w:tcPr>
              <w:p>
                <w:pPr>
                  <w:overflowPunct w:val="0"/>
                  <w:jc w:val="both"/>
                  <w:textAlignment w:val="baseline"/>
                  <w:rPr>
                    <w:b/>
                    <w:bCs/>
                  </w:rPr>
                </w:pPr>
              </w:p>
            </w:tc>
            <w:tc>
              <w:tcPr>
                <w:tcW w:w="1010" w:type="dxa"/>
                <w:vAlign w:val="center"/>
              </w:tcPr>
              <w:p>
                <w:pPr>
                  <w:overflowPunct w:val="0"/>
                  <w:jc w:val="both"/>
                  <w:textAlignment w:val="baseline"/>
                  <w:rPr>
                    <w:b/>
                    <w:bCs/>
                  </w:rPr>
                </w:pPr>
              </w:p>
            </w:tc>
            <w:tc>
              <w:tcPr>
                <w:tcW w:w="1134" w:type="dxa"/>
                <w:vAlign w:val="center"/>
              </w:tcPr>
              <w:p>
                <w:pPr>
                  <w:overflowPunct w:val="0"/>
                  <w:jc w:val="both"/>
                  <w:textAlignment w:val="baseline"/>
                  <w:rPr>
                    <w:b/>
                    <w:bCs/>
                  </w:rPr>
                </w:pPr>
              </w:p>
            </w:tc>
            <w:tc>
              <w:tcPr>
                <w:tcW w:w="992" w:type="dxa"/>
                <w:vAlign w:val="center"/>
              </w:tcPr>
              <w:p>
                <w:pPr>
                  <w:overflowPunct w:val="0"/>
                  <w:jc w:val="both"/>
                  <w:textAlignment w:val="baseline"/>
                  <w:rPr>
                    <w:b/>
                    <w:bCs/>
                  </w:rPr>
                </w:pPr>
              </w:p>
            </w:tc>
            <w:tc>
              <w:tcPr>
                <w:tcW w:w="1149" w:type="dxa"/>
                <w:vAlign w:val="center"/>
              </w:tcPr>
              <w:p>
                <w:pPr>
                  <w:overflowPunct w:val="0"/>
                  <w:jc w:val="both"/>
                  <w:textAlignment w:val="baseline"/>
                  <w:rPr>
                    <w:b/>
                    <w:bCs/>
                  </w:rPr>
                </w:pPr>
              </w:p>
            </w:tc>
            <w:tc>
              <w:tcPr>
                <w:tcW w:w="1129" w:type="dxa"/>
                <w:vAlign w:val="center"/>
              </w:tcPr>
              <w:p>
                <w:pPr>
                  <w:overflowPunct w:val="0"/>
                  <w:jc w:val="both"/>
                  <w:textAlignment w:val="baseline"/>
                  <w:rPr>
                    <w:b/>
                    <w:bCs/>
                  </w:rPr>
                </w:pPr>
              </w:p>
            </w:tc>
            <w:tc>
              <w:tcPr>
                <w:tcW w:w="1838" w:type="dxa"/>
                <w:vAlign w:val="center"/>
              </w:tcPr>
              <w:p>
                <w:pPr>
                  <w:overflowPunct w:val="0"/>
                  <w:jc w:val="both"/>
                  <w:textAlignment w:val="baseline"/>
                  <w:rPr>
                    <w:b/>
                    <w:bCs/>
                  </w:rPr>
                </w:pPr>
              </w:p>
            </w:tc>
          </w:tr>
          <w:tr>
            <w:trPr>
              <w:trHeight w:hRule="exact" w:val="300"/>
            </w:trPr>
            <w:tc>
              <w:tcPr>
                <w:tcW w:w="851" w:type="dxa"/>
                <w:vAlign w:val="center"/>
              </w:tcPr>
              <w:p>
                <w:pPr>
                  <w:overflowPunct w:val="0"/>
                  <w:jc w:val="both"/>
                  <w:textAlignment w:val="baseline"/>
                  <w:rPr>
                    <w:b/>
                    <w:bCs/>
                  </w:rPr>
                </w:pPr>
              </w:p>
            </w:tc>
            <w:tc>
              <w:tcPr>
                <w:tcW w:w="1683" w:type="dxa"/>
                <w:vAlign w:val="center"/>
              </w:tcPr>
              <w:p>
                <w:pPr>
                  <w:overflowPunct w:val="0"/>
                  <w:jc w:val="both"/>
                  <w:textAlignment w:val="baseline"/>
                  <w:rPr>
                    <w:b/>
                    <w:bCs/>
                  </w:rPr>
                </w:pPr>
              </w:p>
            </w:tc>
            <w:tc>
              <w:tcPr>
                <w:tcW w:w="1010" w:type="dxa"/>
                <w:vAlign w:val="center"/>
              </w:tcPr>
              <w:p>
                <w:pPr>
                  <w:overflowPunct w:val="0"/>
                  <w:jc w:val="both"/>
                  <w:textAlignment w:val="baseline"/>
                  <w:rPr>
                    <w:b/>
                    <w:bCs/>
                  </w:rPr>
                </w:pPr>
              </w:p>
            </w:tc>
            <w:tc>
              <w:tcPr>
                <w:tcW w:w="1134" w:type="dxa"/>
                <w:vAlign w:val="center"/>
              </w:tcPr>
              <w:p>
                <w:pPr>
                  <w:overflowPunct w:val="0"/>
                  <w:jc w:val="both"/>
                  <w:textAlignment w:val="baseline"/>
                  <w:rPr>
                    <w:b/>
                    <w:bCs/>
                  </w:rPr>
                </w:pPr>
              </w:p>
            </w:tc>
            <w:tc>
              <w:tcPr>
                <w:tcW w:w="992" w:type="dxa"/>
                <w:vAlign w:val="center"/>
              </w:tcPr>
              <w:p>
                <w:pPr>
                  <w:overflowPunct w:val="0"/>
                  <w:jc w:val="both"/>
                  <w:textAlignment w:val="baseline"/>
                  <w:rPr>
                    <w:b/>
                    <w:bCs/>
                  </w:rPr>
                </w:pPr>
              </w:p>
            </w:tc>
            <w:tc>
              <w:tcPr>
                <w:tcW w:w="1149" w:type="dxa"/>
                <w:vAlign w:val="center"/>
              </w:tcPr>
              <w:p>
                <w:pPr>
                  <w:overflowPunct w:val="0"/>
                  <w:jc w:val="both"/>
                  <w:textAlignment w:val="baseline"/>
                  <w:rPr>
                    <w:b/>
                    <w:bCs/>
                  </w:rPr>
                </w:pPr>
              </w:p>
            </w:tc>
            <w:tc>
              <w:tcPr>
                <w:tcW w:w="1129" w:type="dxa"/>
                <w:vAlign w:val="center"/>
              </w:tcPr>
              <w:p>
                <w:pPr>
                  <w:overflowPunct w:val="0"/>
                  <w:jc w:val="both"/>
                  <w:textAlignment w:val="baseline"/>
                  <w:rPr>
                    <w:b/>
                    <w:bCs/>
                  </w:rPr>
                </w:pPr>
              </w:p>
            </w:tc>
            <w:tc>
              <w:tcPr>
                <w:tcW w:w="1838" w:type="dxa"/>
                <w:vAlign w:val="center"/>
              </w:tcPr>
              <w:p>
                <w:pPr>
                  <w:overflowPunct w:val="0"/>
                  <w:jc w:val="both"/>
                  <w:textAlignment w:val="baseline"/>
                  <w:rPr>
                    <w:b/>
                    <w:bCs/>
                  </w:rPr>
                </w:pPr>
              </w:p>
            </w:tc>
          </w:tr>
          <w:tr>
            <w:trPr>
              <w:trHeight w:hRule="exact" w:val="300"/>
            </w:trPr>
            <w:tc>
              <w:tcPr>
                <w:tcW w:w="851" w:type="dxa"/>
                <w:vAlign w:val="center"/>
              </w:tcPr>
              <w:p>
                <w:pPr>
                  <w:overflowPunct w:val="0"/>
                  <w:jc w:val="both"/>
                  <w:textAlignment w:val="baseline"/>
                  <w:rPr>
                    <w:b/>
                    <w:bCs/>
                  </w:rPr>
                </w:pPr>
              </w:p>
            </w:tc>
            <w:tc>
              <w:tcPr>
                <w:tcW w:w="1683" w:type="dxa"/>
                <w:vAlign w:val="center"/>
              </w:tcPr>
              <w:p>
                <w:pPr>
                  <w:overflowPunct w:val="0"/>
                  <w:jc w:val="both"/>
                  <w:textAlignment w:val="baseline"/>
                  <w:rPr>
                    <w:b/>
                    <w:bCs/>
                  </w:rPr>
                </w:pPr>
              </w:p>
            </w:tc>
            <w:tc>
              <w:tcPr>
                <w:tcW w:w="1010" w:type="dxa"/>
                <w:vAlign w:val="center"/>
              </w:tcPr>
              <w:p>
                <w:pPr>
                  <w:overflowPunct w:val="0"/>
                  <w:jc w:val="both"/>
                  <w:textAlignment w:val="baseline"/>
                  <w:rPr>
                    <w:b/>
                    <w:bCs/>
                  </w:rPr>
                </w:pPr>
              </w:p>
            </w:tc>
            <w:tc>
              <w:tcPr>
                <w:tcW w:w="1134" w:type="dxa"/>
                <w:vAlign w:val="center"/>
              </w:tcPr>
              <w:p>
                <w:pPr>
                  <w:overflowPunct w:val="0"/>
                  <w:jc w:val="both"/>
                  <w:textAlignment w:val="baseline"/>
                  <w:rPr>
                    <w:b/>
                    <w:bCs/>
                  </w:rPr>
                </w:pPr>
              </w:p>
            </w:tc>
            <w:tc>
              <w:tcPr>
                <w:tcW w:w="992" w:type="dxa"/>
                <w:vAlign w:val="center"/>
              </w:tcPr>
              <w:p>
                <w:pPr>
                  <w:overflowPunct w:val="0"/>
                  <w:jc w:val="both"/>
                  <w:textAlignment w:val="baseline"/>
                  <w:rPr>
                    <w:b/>
                    <w:bCs/>
                  </w:rPr>
                </w:pPr>
              </w:p>
            </w:tc>
            <w:tc>
              <w:tcPr>
                <w:tcW w:w="1149" w:type="dxa"/>
                <w:vAlign w:val="center"/>
              </w:tcPr>
              <w:p>
                <w:pPr>
                  <w:overflowPunct w:val="0"/>
                  <w:jc w:val="both"/>
                  <w:textAlignment w:val="baseline"/>
                  <w:rPr>
                    <w:b/>
                    <w:bCs/>
                  </w:rPr>
                </w:pPr>
              </w:p>
            </w:tc>
            <w:tc>
              <w:tcPr>
                <w:tcW w:w="1129" w:type="dxa"/>
                <w:vAlign w:val="center"/>
              </w:tcPr>
              <w:p>
                <w:pPr>
                  <w:overflowPunct w:val="0"/>
                  <w:jc w:val="both"/>
                  <w:textAlignment w:val="baseline"/>
                  <w:rPr>
                    <w:b/>
                    <w:bCs/>
                  </w:rPr>
                </w:pPr>
              </w:p>
            </w:tc>
            <w:tc>
              <w:tcPr>
                <w:tcW w:w="1838" w:type="dxa"/>
                <w:vAlign w:val="center"/>
              </w:tcPr>
              <w:p>
                <w:pPr>
                  <w:overflowPunct w:val="0"/>
                  <w:jc w:val="both"/>
                  <w:textAlignment w:val="baseline"/>
                  <w:rPr>
                    <w:b/>
                    <w:bCs/>
                  </w:rPr>
                </w:pPr>
              </w:p>
            </w:tc>
          </w:tr>
          <w:tr>
            <w:trPr>
              <w:trHeight w:hRule="exact" w:val="300"/>
            </w:trPr>
            <w:tc>
              <w:tcPr>
                <w:tcW w:w="851" w:type="dxa"/>
                <w:vAlign w:val="center"/>
              </w:tcPr>
              <w:p>
                <w:pPr>
                  <w:overflowPunct w:val="0"/>
                  <w:jc w:val="both"/>
                  <w:textAlignment w:val="baseline"/>
                  <w:rPr>
                    <w:b/>
                    <w:bCs/>
                  </w:rPr>
                </w:pPr>
              </w:p>
            </w:tc>
            <w:tc>
              <w:tcPr>
                <w:tcW w:w="1683" w:type="dxa"/>
                <w:vAlign w:val="center"/>
              </w:tcPr>
              <w:p>
                <w:pPr>
                  <w:overflowPunct w:val="0"/>
                  <w:jc w:val="both"/>
                  <w:textAlignment w:val="baseline"/>
                  <w:rPr>
                    <w:b/>
                    <w:bCs/>
                  </w:rPr>
                </w:pPr>
              </w:p>
            </w:tc>
            <w:tc>
              <w:tcPr>
                <w:tcW w:w="1010" w:type="dxa"/>
                <w:vAlign w:val="center"/>
              </w:tcPr>
              <w:p>
                <w:pPr>
                  <w:overflowPunct w:val="0"/>
                  <w:jc w:val="both"/>
                  <w:textAlignment w:val="baseline"/>
                  <w:rPr>
                    <w:b/>
                    <w:bCs/>
                  </w:rPr>
                </w:pPr>
              </w:p>
            </w:tc>
            <w:tc>
              <w:tcPr>
                <w:tcW w:w="1134" w:type="dxa"/>
                <w:vAlign w:val="center"/>
              </w:tcPr>
              <w:p>
                <w:pPr>
                  <w:overflowPunct w:val="0"/>
                  <w:jc w:val="both"/>
                  <w:textAlignment w:val="baseline"/>
                  <w:rPr>
                    <w:b/>
                    <w:bCs/>
                  </w:rPr>
                </w:pPr>
              </w:p>
            </w:tc>
            <w:tc>
              <w:tcPr>
                <w:tcW w:w="992" w:type="dxa"/>
                <w:vAlign w:val="center"/>
              </w:tcPr>
              <w:p>
                <w:pPr>
                  <w:overflowPunct w:val="0"/>
                  <w:jc w:val="both"/>
                  <w:textAlignment w:val="baseline"/>
                  <w:rPr>
                    <w:b/>
                    <w:bCs/>
                  </w:rPr>
                </w:pPr>
              </w:p>
            </w:tc>
            <w:tc>
              <w:tcPr>
                <w:tcW w:w="1149" w:type="dxa"/>
                <w:vAlign w:val="center"/>
              </w:tcPr>
              <w:p>
                <w:pPr>
                  <w:overflowPunct w:val="0"/>
                  <w:jc w:val="both"/>
                  <w:textAlignment w:val="baseline"/>
                  <w:rPr>
                    <w:b/>
                    <w:bCs/>
                  </w:rPr>
                </w:pPr>
              </w:p>
            </w:tc>
            <w:tc>
              <w:tcPr>
                <w:tcW w:w="1129" w:type="dxa"/>
                <w:vAlign w:val="center"/>
              </w:tcPr>
              <w:p>
                <w:pPr>
                  <w:overflowPunct w:val="0"/>
                  <w:jc w:val="both"/>
                  <w:textAlignment w:val="baseline"/>
                  <w:rPr>
                    <w:b/>
                    <w:bCs/>
                  </w:rPr>
                </w:pPr>
              </w:p>
            </w:tc>
            <w:tc>
              <w:tcPr>
                <w:tcW w:w="1838" w:type="dxa"/>
                <w:vAlign w:val="center"/>
              </w:tcPr>
              <w:p>
                <w:pPr>
                  <w:overflowPunct w:val="0"/>
                  <w:jc w:val="both"/>
                  <w:textAlignment w:val="baseline"/>
                  <w:rPr>
                    <w:b/>
                    <w:bCs/>
                  </w:rPr>
                </w:pPr>
              </w:p>
            </w:tc>
          </w:tr>
          <w:tr>
            <w:trPr>
              <w:trHeight w:hRule="exact" w:val="300"/>
            </w:trPr>
            <w:tc>
              <w:tcPr>
                <w:tcW w:w="851" w:type="dxa"/>
                <w:vAlign w:val="center"/>
              </w:tcPr>
              <w:p>
                <w:pPr>
                  <w:overflowPunct w:val="0"/>
                  <w:jc w:val="both"/>
                  <w:textAlignment w:val="baseline"/>
                  <w:rPr>
                    <w:b/>
                    <w:bCs/>
                  </w:rPr>
                </w:pPr>
              </w:p>
            </w:tc>
            <w:tc>
              <w:tcPr>
                <w:tcW w:w="1683" w:type="dxa"/>
                <w:vAlign w:val="center"/>
              </w:tcPr>
              <w:p>
                <w:pPr>
                  <w:overflowPunct w:val="0"/>
                  <w:jc w:val="both"/>
                  <w:textAlignment w:val="baseline"/>
                  <w:rPr>
                    <w:b/>
                    <w:bCs/>
                  </w:rPr>
                </w:pPr>
              </w:p>
            </w:tc>
            <w:tc>
              <w:tcPr>
                <w:tcW w:w="1010" w:type="dxa"/>
                <w:vAlign w:val="center"/>
              </w:tcPr>
              <w:p>
                <w:pPr>
                  <w:overflowPunct w:val="0"/>
                  <w:jc w:val="both"/>
                  <w:textAlignment w:val="baseline"/>
                  <w:rPr>
                    <w:b/>
                    <w:bCs/>
                  </w:rPr>
                </w:pPr>
              </w:p>
            </w:tc>
            <w:tc>
              <w:tcPr>
                <w:tcW w:w="1134" w:type="dxa"/>
                <w:vAlign w:val="center"/>
              </w:tcPr>
              <w:p>
                <w:pPr>
                  <w:overflowPunct w:val="0"/>
                  <w:jc w:val="both"/>
                  <w:textAlignment w:val="baseline"/>
                  <w:rPr>
                    <w:b/>
                    <w:bCs/>
                  </w:rPr>
                </w:pPr>
              </w:p>
            </w:tc>
            <w:tc>
              <w:tcPr>
                <w:tcW w:w="992" w:type="dxa"/>
                <w:vAlign w:val="center"/>
              </w:tcPr>
              <w:p>
                <w:pPr>
                  <w:overflowPunct w:val="0"/>
                  <w:jc w:val="both"/>
                  <w:textAlignment w:val="baseline"/>
                  <w:rPr>
                    <w:b/>
                    <w:bCs/>
                  </w:rPr>
                </w:pPr>
              </w:p>
            </w:tc>
            <w:tc>
              <w:tcPr>
                <w:tcW w:w="1149" w:type="dxa"/>
                <w:vAlign w:val="center"/>
              </w:tcPr>
              <w:p>
                <w:pPr>
                  <w:overflowPunct w:val="0"/>
                  <w:jc w:val="both"/>
                  <w:textAlignment w:val="baseline"/>
                  <w:rPr>
                    <w:b/>
                    <w:bCs/>
                  </w:rPr>
                </w:pPr>
              </w:p>
            </w:tc>
            <w:tc>
              <w:tcPr>
                <w:tcW w:w="1129" w:type="dxa"/>
                <w:vAlign w:val="center"/>
              </w:tcPr>
              <w:p>
                <w:pPr>
                  <w:overflowPunct w:val="0"/>
                  <w:jc w:val="both"/>
                  <w:textAlignment w:val="baseline"/>
                  <w:rPr>
                    <w:b/>
                    <w:bCs/>
                  </w:rPr>
                </w:pPr>
              </w:p>
            </w:tc>
            <w:tc>
              <w:tcPr>
                <w:tcW w:w="1838" w:type="dxa"/>
                <w:vAlign w:val="center"/>
              </w:tcPr>
              <w:p>
                <w:pPr>
                  <w:overflowPunct w:val="0"/>
                  <w:jc w:val="both"/>
                  <w:textAlignment w:val="baseline"/>
                  <w:rPr>
                    <w:b/>
                    <w:bCs/>
                  </w:rPr>
                </w:pPr>
              </w:p>
            </w:tc>
          </w:tr>
          <w:tr>
            <w:trPr>
              <w:trHeight w:hRule="exact" w:val="300"/>
            </w:trPr>
            <w:tc>
              <w:tcPr>
                <w:tcW w:w="851" w:type="dxa"/>
                <w:vAlign w:val="center"/>
              </w:tcPr>
              <w:p>
                <w:pPr>
                  <w:overflowPunct w:val="0"/>
                  <w:jc w:val="both"/>
                  <w:textAlignment w:val="baseline"/>
                  <w:rPr>
                    <w:b/>
                    <w:bCs/>
                  </w:rPr>
                </w:pPr>
              </w:p>
            </w:tc>
            <w:tc>
              <w:tcPr>
                <w:tcW w:w="1683" w:type="dxa"/>
                <w:vAlign w:val="center"/>
              </w:tcPr>
              <w:p>
                <w:pPr>
                  <w:overflowPunct w:val="0"/>
                  <w:jc w:val="both"/>
                  <w:textAlignment w:val="baseline"/>
                  <w:rPr>
                    <w:b/>
                    <w:bCs/>
                  </w:rPr>
                </w:pPr>
              </w:p>
            </w:tc>
            <w:tc>
              <w:tcPr>
                <w:tcW w:w="1010" w:type="dxa"/>
                <w:vAlign w:val="center"/>
              </w:tcPr>
              <w:p>
                <w:pPr>
                  <w:overflowPunct w:val="0"/>
                  <w:jc w:val="both"/>
                  <w:textAlignment w:val="baseline"/>
                  <w:rPr>
                    <w:b/>
                    <w:bCs/>
                  </w:rPr>
                </w:pPr>
              </w:p>
            </w:tc>
            <w:tc>
              <w:tcPr>
                <w:tcW w:w="1134" w:type="dxa"/>
                <w:vAlign w:val="center"/>
              </w:tcPr>
              <w:p>
                <w:pPr>
                  <w:overflowPunct w:val="0"/>
                  <w:jc w:val="both"/>
                  <w:textAlignment w:val="baseline"/>
                  <w:rPr>
                    <w:b/>
                    <w:bCs/>
                  </w:rPr>
                </w:pPr>
              </w:p>
            </w:tc>
            <w:tc>
              <w:tcPr>
                <w:tcW w:w="992" w:type="dxa"/>
                <w:vAlign w:val="center"/>
              </w:tcPr>
              <w:p>
                <w:pPr>
                  <w:overflowPunct w:val="0"/>
                  <w:jc w:val="both"/>
                  <w:textAlignment w:val="baseline"/>
                  <w:rPr>
                    <w:b/>
                    <w:bCs/>
                  </w:rPr>
                </w:pPr>
              </w:p>
            </w:tc>
            <w:tc>
              <w:tcPr>
                <w:tcW w:w="1149" w:type="dxa"/>
                <w:vAlign w:val="center"/>
              </w:tcPr>
              <w:p>
                <w:pPr>
                  <w:overflowPunct w:val="0"/>
                  <w:jc w:val="both"/>
                  <w:textAlignment w:val="baseline"/>
                  <w:rPr>
                    <w:b/>
                    <w:bCs/>
                  </w:rPr>
                </w:pPr>
              </w:p>
            </w:tc>
            <w:tc>
              <w:tcPr>
                <w:tcW w:w="1129" w:type="dxa"/>
                <w:vAlign w:val="center"/>
              </w:tcPr>
              <w:p>
                <w:pPr>
                  <w:overflowPunct w:val="0"/>
                  <w:jc w:val="both"/>
                  <w:textAlignment w:val="baseline"/>
                  <w:rPr>
                    <w:b/>
                    <w:bCs/>
                  </w:rPr>
                </w:pPr>
              </w:p>
            </w:tc>
            <w:tc>
              <w:tcPr>
                <w:tcW w:w="1838" w:type="dxa"/>
                <w:vAlign w:val="center"/>
              </w:tcPr>
              <w:p>
                <w:pPr>
                  <w:overflowPunct w:val="0"/>
                  <w:jc w:val="both"/>
                  <w:textAlignment w:val="baseline"/>
                  <w:rPr>
                    <w:b/>
                    <w:bCs/>
                  </w:rPr>
                </w:pPr>
              </w:p>
            </w:tc>
          </w:tr>
          <w:tr>
            <w:trPr>
              <w:trHeight w:hRule="exact" w:val="300"/>
            </w:trPr>
            <w:tc>
              <w:tcPr>
                <w:tcW w:w="851" w:type="dxa"/>
                <w:vAlign w:val="center"/>
              </w:tcPr>
              <w:p>
                <w:pPr>
                  <w:overflowPunct w:val="0"/>
                  <w:jc w:val="both"/>
                  <w:textAlignment w:val="baseline"/>
                  <w:rPr>
                    <w:b/>
                    <w:bCs/>
                  </w:rPr>
                </w:pPr>
              </w:p>
            </w:tc>
            <w:tc>
              <w:tcPr>
                <w:tcW w:w="1683" w:type="dxa"/>
                <w:vAlign w:val="center"/>
              </w:tcPr>
              <w:p>
                <w:pPr>
                  <w:overflowPunct w:val="0"/>
                  <w:jc w:val="both"/>
                  <w:textAlignment w:val="baseline"/>
                  <w:rPr>
                    <w:b/>
                    <w:bCs/>
                  </w:rPr>
                </w:pPr>
              </w:p>
            </w:tc>
            <w:tc>
              <w:tcPr>
                <w:tcW w:w="1010" w:type="dxa"/>
                <w:vAlign w:val="center"/>
              </w:tcPr>
              <w:p>
                <w:pPr>
                  <w:overflowPunct w:val="0"/>
                  <w:jc w:val="both"/>
                  <w:textAlignment w:val="baseline"/>
                  <w:rPr>
                    <w:b/>
                    <w:bCs/>
                  </w:rPr>
                </w:pPr>
              </w:p>
            </w:tc>
            <w:tc>
              <w:tcPr>
                <w:tcW w:w="1134" w:type="dxa"/>
                <w:vAlign w:val="center"/>
              </w:tcPr>
              <w:p>
                <w:pPr>
                  <w:overflowPunct w:val="0"/>
                  <w:jc w:val="both"/>
                  <w:textAlignment w:val="baseline"/>
                  <w:rPr>
                    <w:b/>
                    <w:bCs/>
                  </w:rPr>
                </w:pPr>
              </w:p>
            </w:tc>
            <w:tc>
              <w:tcPr>
                <w:tcW w:w="992" w:type="dxa"/>
                <w:vAlign w:val="center"/>
              </w:tcPr>
              <w:p>
                <w:pPr>
                  <w:overflowPunct w:val="0"/>
                  <w:jc w:val="both"/>
                  <w:textAlignment w:val="baseline"/>
                  <w:rPr>
                    <w:b/>
                    <w:bCs/>
                  </w:rPr>
                </w:pPr>
              </w:p>
            </w:tc>
            <w:tc>
              <w:tcPr>
                <w:tcW w:w="1149" w:type="dxa"/>
                <w:vAlign w:val="center"/>
              </w:tcPr>
              <w:p>
                <w:pPr>
                  <w:overflowPunct w:val="0"/>
                  <w:jc w:val="both"/>
                  <w:textAlignment w:val="baseline"/>
                  <w:rPr>
                    <w:b/>
                    <w:bCs/>
                  </w:rPr>
                </w:pPr>
              </w:p>
            </w:tc>
            <w:tc>
              <w:tcPr>
                <w:tcW w:w="1129" w:type="dxa"/>
                <w:vAlign w:val="center"/>
              </w:tcPr>
              <w:p>
                <w:pPr>
                  <w:overflowPunct w:val="0"/>
                  <w:jc w:val="both"/>
                  <w:textAlignment w:val="baseline"/>
                  <w:rPr>
                    <w:b/>
                    <w:bCs/>
                  </w:rPr>
                </w:pPr>
              </w:p>
            </w:tc>
            <w:tc>
              <w:tcPr>
                <w:tcW w:w="1838" w:type="dxa"/>
                <w:vAlign w:val="center"/>
              </w:tcPr>
              <w:p>
                <w:pPr>
                  <w:overflowPunct w:val="0"/>
                  <w:jc w:val="both"/>
                  <w:textAlignment w:val="baseline"/>
                  <w:rPr>
                    <w:b/>
                    <w:bCs/>
                  </w:rPr>
                </w:pPr>
              </w:p>
            </w:tc>
          </w:tr>
          <w:tr>
            <w:trPr>
              <w:trHeight w:hRule="exact" w:val="300"/>
            </w:trPr>
            <w:tc>
              <w:tcPr>
                <w:tcW w:w="851" w:type="dxa"/>
                <w:vAlign w:val="center"/>
              </w:tcPr>
              <w:p>
                <w:pPr>
                  <w:overflowPunct w:val="0"/>
                  <w:jc w:val="both"/>
                  <w:textAlignment w:val="baseline"/>
                  <w:rPr>
                    <w:b/>
                    <w:bCs/>
                  </w:rPr>
                </w:pPr>
              </w:p>
            </w:tc>
            <w:tc>
              <w:tcPr>
                <w:tcW w:w="1683" w:type="dxa"/>
                <w:vAlign w:val="center"/>
              </w:tcPr>
              <w:p>
                <w:pPr>
                  <w:overflowPunct w:val="0"/>
                  <w:jc w:val="both"/>
                  <w:textAlignment w:val="baseline"/>
                  <w:rPr>
                    <w:b/>
                    <w:bCs/>
                  </w:rPr>
                </w:pPr>
              </w:p>
            </w:tc>
            <w:tc>
              <w:tcPr>
                <w:tcW w:w="1010" w:type="dxa"/>
                <w:vAlign w:val="center"/>
              </w:tcPr>
              <w:p>
                <w:pPr>
                  <w:overflowPunct w:val="0"/>
                  <w:jc w:val="both"/>
                  <w:textAlignment w:val="baseline"/>
                  <w:rPr>
                    <w:b/>
                    <w:bCs/>
                  </w:rPr>
                </w:pPr>
              </w:p>
            </w:tc>
            <w:tc>
              <w:tcPr>
                <w:tcW w:w="1134" w:type="dxa"/>
                <w:vAlign w:val="center"/>
              </w:tcPr>
              <w:p>
                <w:pPr>
                  <w:overflowPunct w:val="0"/>
                  <w:jc w:val="both"/>
                  <w:textAlignment w:val="baseline"/>
                  <w:rPr>
                    <w:b/>
                    <w:bCs/>
                  </w:rPr>
                </w:pPr>
              </w:p>
            </w:tc>
            <w:tc>
              <w:tcPr>
                <w:tcW w:w="992" w:type="dxa"/>
                <w:vAlign w:val="center"/>
              </w:tcPr>
              <w:p>
                <w:pPr>
                  <w:overflowPunct w:val="0"/>
                  <w:jc w:val="both"/>
                  <w:textAlignment w:val="baseline"/>
                  <w:rPr>
                    <w:b/>
                    <w:bCs/>
                  </w:rPr>
                </w:pPr>
              </w:p>
            </w:tc>
            <w:tc>
              <w:tcPr>
                <w:tcW w:w="1149" w:type="dxa"/>
                <w:vAlign w:val="center"/>
              </w:tcPr>
              <w:p>
                <w:pPr>
                  <w:overflowPunct w:val="0"/>
                  <w:jc w:val="both"/>
                  <w:textAlignment w:val="baseline"/>
                  <w:rPr>
                    <w:b/>
                    <w:bCs/>
                  </w:rPr>
                </w:pPr>
              </w:p>
            </w:tc>
            <w:tc>
              <w:tcPr>
                <w:tcW w:w="1129" w:type="dxa"/>
                <w:vAlign w:val="center"/>
              </w:tcPr>
              <w:p>
                <w:pPr>
                  <w:overflowPunct w:val="0"/>
                  <w:jc w:val="both"/>
                  <w:textAlignment w:val="baseline"/>
                  <w:rPr>
                    <w:b/>
                    <w:bCs/>
                  </w:rPr>
                </w:pPr>
              </w:p>
            </w:tc>
            <w:tc>
              <w:tcPr>
                <w:tcW w:w="1838" w:type="dxa"/>
                <w:vAlign w:val="center"/>
              </w:tcPr>
              <w:p>
                <w:pPr>
                  <w:overflowPunct w:val="0"/>
                  <w:jc w:val="both"/>
                  <w:textAlignment w:val="baseline"/>
                  <w:rPr>
                    <w:b/>
                    <w:bCs/>
                  </w:rPr>
                </w:pPr>
              </w:p>
            </w:tc>
          </w:tr>
          <w:tr>
            <w:trPr>
              <w:trHeight w:hRule="exact" w:val="300"/>
            </w:trPr>
            <w:tc>
              <w:tcPr>
                <w:tcW w:w="851" w:type="dxa"/>
                <w:vAlign w:val="center"/>
              </w:tcPr>
              <w:p>
                <w:pPr>
                  <w:overflowPunct w:val="0"/>
                  <w:jc w:val="both"/>
                  <w:textAlignment w:val="baseline"/>
                  <w:rPr>
                    <w:b/>
                    <w:bCs/>
                  </w:rPr>
                </w:pPr>
              </w:p>
            </w:tc>
            <w:tc>
              <w:tcPr>
                <w:tcW w:w="1683" w:type="dxa"/>
                <w:vAlign w:val="center"/>
              </w:tcPr>
              <w:p>
                <w:pPr>
                  <w:overflowPunct w:val="0"/>
                  <w:jc w:val="both"/>
                  <w:textAlignment w:val="baseline"/>
                  <w:rPr>
                    <w:b/>
                    <w:bCs/>
                  </w:rPr>
                </w:pPr>
              </w:p>
            </w:tc>
            <w:tc>
              <w:tcPr>
                <w:tcW w:w="1010" w:type="dxa"/>
                <w:vAlign w:val="center"/>
              </w:tcPr>
              <w:p>
                <w:pPr>
                  <w:overflowPunct w:val="0"/>
                  <w:jc w:val="both"/>
                  <w:textAlignment w:val="baseline"/>
                  <w:rPr>
                    <w:b/>
                    <w:bCs/>
                  </w:rPr>
                </w:pPr>
              </w:p>
            </w:tc>
            <w:tc>
              <w:tcPr>
                <w:tcW w:w="1134" w:type="dxa"/>
                <w:vAlign w:val="center"/>
              </w:tcPr>
              <w:p>
                <w:pPr>
                  <w:overflowPunct w:val="0"/>
                  <w:jc w:val="both"/>
                  <w:textAlignment w:val="baseline"/>
                  <w:rPr>
                    <w:b/>
                    <w:bCs/>
                  </w:rPr>
                </w:pPr>
              </w:p>
            </w:tc>
            <w:tc>
              <w:tcPr>
                <w:tcW w:w="992" w:type="dxa"/>
                <w:vAlign w:val="center"/>
              </w:tcPr>
              <w:p>
                <w:pPr>
                  <w:overflowPunct w:val="0"/>
                  <w:jc w:val="both"/>
                  <w:textAlignment w:val="baseline"/>
                  <w:rPr>
                    <w:b/>
                    <w:bCs/>
                  </w:rPr>
                </w:pPr>
              </w:p>
            </w:tc>
            <w:tc>
              <w:tcPr>
                <w:tcW w:w="1149" w:type="dxa"/>
                <w:vAlign w:val="center"/>
              </w:tcPr>
              <w:p>
                <w:pPr>
                  <w:overflowPunct w:val="0"/>
                  <w:jc w:val="both"/>
                  <w:textAlignment w:val="baseline"/>
                  <w:rPr>
                    <w:b/>
                    <w:bCs/>
                  </w:rPr>
                </w:pPr>
              </w:p>
            </w:tc>
            <w:tc>
              <w:tcPr>
                <w:tcW w:w="1129" w:type="dxa"/>
                <w:vAlign w:val="center"/>
              </w:tcPr>
              <w:p>
                <w:pPr>
                  <w:overflowPunct w:val="0"/>
                  <w:jc w:val="both"/>
                  <w:textAlignment w:val="baseline"/>
                  <w:rPr>
                    <w:b/>
                    <w:bCs/>
                  </w:rPr>
                </w:pPr>
              </w:p>
            </w:tc>
            <w:tc>
              <w:tcPr>
                <w:tcW w:w="1838" w:type="dxa"/>
                <w:vAlign w:val="center"/>
              </w:tcPr>
              <w:p>
                <w:pPr>
                  <w:overflowPunct w:val="0"/>
                  <w:jc w:val="both"/>
                  <w:textAlignment w:val="baseline"/>
                  <w:rPr>
                    <w:b/>
                    <w:bCs/>
                  </w:rPr>
                </w:pPr>
              </w:p>
            </w:tc>
          </w:tr>
          <w:tr>
            <w:trPr>
              <w:trHeight w:hRule="exact" w:val="300"/>
            </w:trPr>
            <w:tc>
              <w:tcPr>
                <w:tcW w:w="851" w:type="dxa"/>
                <w:vAlign w:val="center"/>
              </w:tcPr>
              <w:p>
                <w:pPr>
                  <w:overflowPunct w:val="0"/>
                  <w:jc w:val="both"/>
                  <w:textAlignment w:val="baseline"/>
                  <w:rPr>
                    <w:b/>
                    <w:bCs/>
                  </w:rPr>
                </w:pPr>
              </w:p>
            </w:tc>
            <w:tc>
              <w:tcPr>
                <w:tcW w:w="1683" w:type="dxa"/>
                <w:vAlign w:val="center"/>
              </w:tcPr>
              <w:p>
                <w:pPr>
                  <w:overflowPunct w:val="0"/>
                  <w:jc w:val="both"/>
                  <w:textAlignment w:val="baseline"/>
                  <w:rPr>
                    <w:b/>
                    <w:bCs/>
                  </w:rPr>
                </w:pPr>
              </w:p>
            </w:tc>
            <w:tc>
              <w:tcPr>
                <w:tcW w:w="1010" w:type="dxa"/>
                <w:vAlign w:val="center"/>
              </w:tcPr>
              <w:p>
                <w:pPr>
                  <w:overflowPunct w:val="0"/>
                  <w:jc w:val="both"/>
                  <w:textAlignment w:val="baseline"/>
                  <w:rPr>
                    <w:b/>
                    <w:bCs/>
                  </w:rPr>
                </w:pPr>
              </w:p>
            </w:tc>
            <w:tc>
              <w:tcPr>
                <w:tcW w:w="1134" w:type="dxa"/>
                <w:vAlign w:val="center"/>
              </w:tcPr>
              <w:p>
                <w:pPr>
                  <w:overflowPunct w:val="0"/>
                  <w:jc w:val="both"/>
                  <w:textAlignment w:val="baseline"/>
                  <w:rPr>
                    <w:b/>
                    <w:bCs/>
                  </w:rPr>
                </w:pPr>
              </w:p>
            </w:tc>
            <w:tc>
              <w:tcPr>
                <w:tcW w:w="992" w:type="dxa"/>
                <w:vAlign w:val="center"/>
              </w:tcPr>
              <w:p>
                <w:pPr>
                  <w:overflowPunct w:val="0"/>
                  <w:jc w:val="both"/>
                  <w:textAlignment w:val="baseline"/>
                  <w:rPr>
                    <w:b/>
                    <w:bCs/>
                  </w:rPr>
                </w:pPr>
              </w:p>
            </w:tc>
            <w:tc>
              <w:tcPr>
                <w:tcW w:w="1149" w:type="dxa"/>
                <w:vAlign w:val="center"/>
              </w:tcPr>
              <w:p>
                <w:pPr>
                  <w:overflowPunct w:val="0"/>
                  <w:jc w:val="both"/>
                  <w:textAlignment w:val="baseline"/>
                  <w:rPr>
                    <w:b/>
                    <w:bCs/>
                  </w:rPr>
                </w:pPr>
              </w:p>
            </w:tc>
            <w:tc>
              <w:tcPr>
                <w:tcW w:w="1129" w:type="dxa"/>
                <w:vAlign w:val="center"/>
              </w:tcPr>
              <w:p>
                <w:pPr>
                  <w:overflowPunct w:val="0"/>
                  <w:jc w:val="both"/>
                  <w:textAlignment w:val="baseline"/>
                  <w:rPr>
                    <w:b/>
                    <w:bCs/>
                  </w:rPr>
                </w:pPr>
              </w:p>
            </w:tc>
            <w:tc>
              <w:tcPr>
                <w:tcW w:w="1838" w:type="dxa"/>
                <w:vAlign w:val="center"/>
              </w:tcPr>
              <w:p>
                <w:pPr>
                  <w:overflowPunct w:val="0"/>
                  <w:jc w:val="both"/>
                  <w:textAlignment w:val="baseline"/>
                  <w:rPr>
                    <w:b/>
                    <w:bCs/>
                  </w:rPr>
                </w:pPr>
              </w:p>
            </w:tc>
          </w:tr>
          <w:tr>
            <w:trPr>
              <w:trHeight w:hRule="exact" w:val="300"/>
            </w:trPr>
            <w:tc>
              <w:tcPr>
                <w:tcW w:w="851" w:type="dxa"/>
                <w:vAlign w:val="center"/>
              </w:tcPr>
              <w:p>
                <w:pPr>
                  <w:overflowPunct w:val="0"/>
                  <w:jc w:val="both"/>
                  <w:textAlignment w:val="baseline"/>
                  <w:rPr>
                    <w:b/>
                    <w:bCs/>
                  </w:rPr>
                </w:pPr>
              </w:p>
            </w:tc>
            <w:tc>
              <w:tcPr>
                <w:tcW w:w="1683" w:type="dxa"/>
                <w:vAlign w:val="center"/>
              </w:tcPr>
              <w:p>
                <w:pPr>
                  <w:overflowPunct w:val="0"/>
                  <w:jc w:val="both"/>
                  <w:textAlignment w:val="baseline"/>
                  <w:rPr>
                    <w:b/>
                    <w:bCs/>
                  </w:rPr>
                </w:pPr>
              </w:p>
            </w:tc>
            <w:tc>
              <w:tcPr>
                <w:tcW w:w="1010" w:type="dxa"/>
                <w:vAlign w:val="center"/>
              </w:tcPr>
              <w:p>
                <w:pPr>
                  <w:overflowPunct w:val="0"/>
                  <w:jc w:val="both"/>
                  <w:textAlignment w:val="baseline"/>
                  <w:rPr>
                    <w:b/>
                    <w:bCs/>
                  </w:rPr>
                </w:pPr>
              </w:p>
            </w:tc>
            <w:tc>
              <w:tcPr>
                <w:tcW w:w="1134" w:type="dxa"/>
                <w:vAlign w:val="center"/>
              </w:tcPr>
              <w:p>
                <w:pPr>
                  <w:overflowPunct w:val="0"/>
                  <w:jc w:val="both"/>
                  <w:textAlignment w:val="baseline"/>
                  <w:rPr>
                    <w:b/>
                    <w:bCs/>
                  </w:rPr>
                </w:pPr>
              </w:p>
            </w:tc>
            <w:tc>
              <w:tcPr>
                <w:tcW w:w="992" w:type="dxa"/>
                <w:vAlign w:val="center"/>
              </w:tcPr>
              <w:p>
                <w:pPr>
                  <w:overflowPunct w:val="0"/>
                  <w:jc w:val="both"/>
                  <w:textAlignment w:val="baseline"/>
                  <w:rPr>
                    <w:b/>
                    <w:bCs/>
                  </w:rPr>
                </w:pPr>
              </w:p>
            </w:tc>
            <w:tc>
              <w:tcPr>
                <w:tcW w:w="1149" w:type="dxa"/>
                <w:vAlign w:val="center"/>
              </w:tcPr>
              <w:p>
                <w:pPr>
                  <w:overflowPunct w:val="0"/>
                  <w:jc w:val="both"/>
                  <w:textAlignment w:val="baseline"/>
                  <w:rPr>
                    <w:b/>
                    <w:bCs/>
                  </w:rPr>
                </w:pPr>
              </w:p>
            </w:tc>
            <w:tc>
              <w:tcPr>
                <w:tcW w:w="1129" w:type="dxa"/>
                <w:vAlign w:val="center"/>
              </w:tcPr>
              <w:p>
                <w:pPr>
                  <w:overflowPunct w:val="0"/>
                  <w:jc w:val="both"/>
                  <w:textAlignment w:val="baseline"/>
                  <w:rPr>
                    <w:b/>
                    <w:bCs/>
                  </w:rPr>
                </w:pPr>
              </w:p>
            </w:tc>
            <w:tc>
              <w:tcPr>
                <w:tcW w:w="1838" w:type="dxa"/>
                <w:vAlign w:val="center"/>
              </w:tcPr>
              <w:p>
                <w:pPr>
                  <w:overflowPunct w:val="0"/>
                  <w:jc w:val="both"/>
                  <w:textAlignment w:val="baseline"/>
                  <w:rPr>
                    <w:b/>
                    <w:bCs/>
                  </w:rPr>
                </w:pPr>
              </w:p>
            </w:tc>
          </w:tr>
          <w:tr>
            <w:trPr>
              <w:trHeight w:hRule="exact" w:val="300"/>
            </w:trPr>
            <w:tc>
              <w:tcPr>
                <w:tcW w:w="851" w:type="dxa"/>
                <w:vAlign w:val="center"/>
              </w:tcPr>
              <w:p>
                <w:pPr>
                  <w:overflowPunct w:val="0"/>
                  <w:jc w:val="both"/>
                  <w:textAlignment w:val="baseline"/>
                  <w:rPr>
                    <w:b/>
                    <w:bCs/>
                  </w:rPr>
                </w:pPr>
              </w:p>
            </w:tc>
            <w:tc>
              <w:tcPr>
                <w:tcW w:w="1683" w:type="dxa"/>
                <w:vAlign w:val="center"/>
              </w:tcPr>
              <w:p>
                <w:pPr>
                  <w:overflowPunct w:val="0"/>
                  <w:jc w:val="both"/>
                  <w:textAlignment w:val="baseline"/>
                  <w:rPr>
                    <w:b/>
                    <w:bCs/>
                  </w:rPr>
                </w:pPr>
              </w:p>
            </w:tc>
            <w:tc>
              <w:tcPr>
                <w:tcW w:w="1010" w:type="dxa"/>
                <w:vAlign w:val="center"/>
              </w:tcPr>
              <w:p>
                <w:pPr>
                  <w:overflowPunct w:val="0"/>
                  <w:jc w:val="both"/>
                  <w:textAlignment w:val="baseline"/>
                  <w:rPr>
                    <w:b/>
                    <w:bCs/>
                  </w:rPr>
                </w:pPr>
              </w:p>
            </w:tc>
            <w:tc>
              <w:tcPr>
                <w:tcW w:w="1134" w:type="dxa"/>
                <w:vAlign w:val="center"/>
              </w:tcPr>
              <w:p>
                <w:pPr>
                  <w:overflowPunct w:val="0"/>
                  <w:jc w:val="both"/>
                  <w:textAlignment w:val="baseline"/>
                  <w:rPr>
                    <w:b/>
                    <w:bCs/>
                  </w:rPr>
                </w:pPr>
              </w:p>
            </w:tc>
            <w:tc>
              <w:tcPr>
                <w:tcW w:w="992" w:type="dxa"/>
                <w:vAlign w:val="center"/>
              </w:tcPr>
              <w:p>
                <w:pPr>
                  <w:overflowPunct w:val="0"/>
                  <w:jc w:val="both"/>
                  <w:textAlignment w:val="baseline"/>
                  <w:rPr>
                    <w:b/>
                    <w:bCs/>
                  </w:rPr>
                </w:pPr>
              </w:p>
            </w:tc>
            <w:tc>
              <w:tcPr>
                <w:tcW w:w="1149" w:type="dxa"/>
                <w:vAlign w:val="center"/>
              </w:tcPr>
              <w:p>
                <w:pPr>
                  <w:overflowPunct w:val="0"/>
                  <w:jc w:val="both"/>
                  <w:textAlignment w:val="baseline"/>
                  <w:rPr>
                    <w:b/>
                    <w:bCs/>
                  </w:rPr>
                </w:pPr>
              </w:p>
            </w:tc>
            <w:tc>
              <w:tcPr>
                <w:tcW w:w="1129" w:type="dxa"/>
                <w:vAlign w:val="center"/>
              </w:tcPr>
              <w:p>
                <w:pPr>
                  <w:overflowPunct w:val="0"/>
                  <w:jc w:val="both"/>
                  <w:textAlignment w:val="baseline"/>
                  <w:rPr>
                    <w:b/>
                    <w:bCs/>
                  </w:rPr>
                </w:pPr>
              </w:p>
            </w:tc>
            <w:tc>
              <w:tcPr>
                <w:tcW w:w="1838" w:type="dxa"/>
                <w:vAlign w:val="center"/>
              </w:tcPr>
              <w:p>
                <w:pPr>
                  <w:overflowPunct w:val="0"/>
                  <w:jc w:val="both"/>
                  <w:textAlignment w:val="baseline"/>
                  <w:rPr>
                    <w:b/>
                    <w:bCs/>
                  </w:rPr>
                </w:pPr>
              </w:p>
            </w:tc>
          </w:tr>
          <w:tr>
            <w:trPr>
              <w:trHeight w:hRule="exact" w:val="300"/>
            </w:trPr>
            <w:tc>
              <w:tcPr>
                <w:tcW w:w="851" w:type="dxa"/>
                <w:vAlign w:val="center"/>
              </w:tcPr>
              <w:p>
                <w:pPr>
                  <w:overflowPunct w:val="0"/>
                  <w:jc w:val="both"/>
                  <w:textAlignment w:val="baseline"/>
                  <w:rPr>
                    <w:b/>
                    <w:bCs/>
                  </w:rPr>
                </w:pPr>
              </w:p>
            </w:tc>
            <w:tc>
              <w:tcPr>
                <w:tcW w:w="1683" w:type="dxa"/>
                <w:vAlign w:val="center"/>
              </w:tcPr>
              <w:p>
                <w:pPr>
                  <w:overflowPunct w:val="0"/>
                  <w:jc w:val="both"/>
                  <w:textAlignment w:val="baseline"/>
                  <w:rPr>
                    <w:b/>
                    <w:bCs/>
                  </w:rPr>
                </w:pPr>
              </w:p>
            </w:tc>
            <w:tc>
              <w:tcPr>
                <w:tcW w:w="1010" w:type="dxa"/>
                <w:vAlign w:val="center"/>
              </w:tcPr>
              <w:p>
                <w:pPr>
                  <w:overflowPunct w:val="0"/>
                  <w:jc w:val="both"/>
                  <w:textAlignment w:val="baseline"/>
                  <w:rPr>
                    <w:b/>
                    <w:bCs/>
                  </w:rPr>
                </w:pPr>
              </w:p>
            </w:tc>
            <w:tc>
              <w:tcPr>
                <w:tcW w:w="1134" w:type="dxa"/>
                <w:vAlign w:val="center"/>
              </w:tcPr>
              <w:p>
                <w:pPr>
                  <w:overflowPunct w:val="0"/>
                  <w:jc w:val="both"/>
                  <w:textAlignment w:val="baseline"/>
                  <w:rPr>
                    <w:b/>
                    <w:bCs/>
                  </w:rPr>
                </w:pPr>
              </w:p>
            </w:tc>
            <w:tc>
              <w:tcPr>
                <w:tcW w:w="992" w:type="dxa"/>
                <w:vAlign w:val="center"/>
              </w:tcPr>
              <w:p>
                <w:pPr>
                  <w:overflowPunct w:val="0"/>
                  <w:jc w:val="both"/>
                  <w:textAlignment w:val="baseline"/>
                  <w:rPr>
                    <w:b/>
                    <w:bCs/>
                  </w:rPr>
                </w:pPr>
              </w:p>
            </w:tc>
            <w:tc>
              <w:tcPr>
                <w:tcW w:w="1149" w:type="dxa"/>
                <w:vAlign w:val="center"/>
              </w:tcPr>
              <w:p>
                <w:pPr>
                  <w:overflowPunct w:val="0"/>
                  <w:jc w:val="both"/>
                  <w:textAlignment w:val="baseline"/>
                  <w:rPr>
                    <w:b/>
                    <w:bCs/>
                  </w:rPr>
                </w:pPr>
              </w:p>
            </w:tc>
            <w:tc>
              <w:tcPr>
                <w:tcW w:w="1129" w:type="dxa"/>
                <w:vAlign w:val="center"/>
              </w:tcPr>
              <w:p>
                <w:pPr>
                  <w:overflowPunct w:val="0"/>
                  <w:jc w:val="both"/>
                  <w:textAlignment w:val="baseline"/>
                  <w:rPr>
                    <w:b/>
                    <w:bCs/>
                  </w:rPr>
                </w:pPr>
              </w:p>
            </w:tc>
            <w:tc>
              <w:tcPr>
                <w:tcW w:w="1838" w:type="dxa"/>
                <w:vAlign w:val="center"/>
              </w:tcPr>
              <w:p>
                <w:pPr>
                  <w:overflowPunct w:val="0"/>
                  <w:jc w:val="both"/>
                  <w:textAlignment w:val="baseline"/>
                  <w:rPr>
                    <w:b/>
                    <w:bCs/>
                  </w:rPr>
                </w:pPr>
              </w:p>
            </w:tc>
          </w:tr>
          <w:tr>
            <w:trPr>
              <w:trHeight w:hRule="exact" w:val="300"/>
            </w:trPr>
            <w:tc>
              <w:tcPr>
                <w:tcW w:w="851" w:type="dxa"/>
                <w:vAlign w:val="center"/>
              </w:tcPr>
              <w:p>
                <w:pPr>
                  <w:overflowPunct w:val="0"/>
                  <w:jc w:val="both"/>
                  <w:textAlignment w:val="baseline"/>
                  <w:rPr>
                    <w:b/>
                    <w:bCs/>
                  </w:rPr>
                </w:pPr>
              </w:p>
            </w:tc>
            <w:tc>
              <w:tcPr>
                <w:tcW w:w="1683" w:type="dxa"/>
                <w:vAlign w:val="center"/>
              </w:tcPr>
              <w:p>
                <w:pPr>
                  <w:overflowPunct w:val="0"/>
                  <w:jc w:val="both"/>
                  <w:textAlignment w:val="baseline"/>
                  <w:rPr>
                    <w:b/>
                    <w:bCs/>
                  </w:rPr>
                </w:pPr>
              </w:p>
            </w:tc>
            <w:tc>
              <w:tcPr>
                <w:tcW w:w="1010" w:type="dxa"/>
                <w:vAlign w:val="center"/>
              </w:tcPr>
              <w:p>
                <w:pPr>
                  <w:overflowPunct w:val="0"/>
                  <w:jc w:val="both"/>
                  <w:textAlignment w:val="baseline"/>
                  <w:rPr>
                    <w:b/>
                    <w:bCs/>
                  </w:rPr>
                </w:pPr>
              </w:p>
            </w:tc>
            <w:tc>
              <w:tcPr>
                <w:tcW w:w="1134" w:type="dxa"/>
                <w:vAlign w:val="center"/>
              </w:tcPr>
              <w:p>
                <w:pPr>
                  <w:overflowPunct w:val="0"/>
                  <w:jc w:val="both"/>
                  <w:textAlignment w:val="baseline"/>
                  <w:rPr>
                    <w:b/>
                    <w:bCs/>
                  </w:rPr>
                </w:pPr>
              </w:p>
            </w:tc>
            <w:tc>
              <w:tcPr>
                <w:tcW w:w="992" w:type="dxa"/>
                <w:vAlign w:val="center"/>
              </w:tcPr>
              <w:p>
                <w:pPr>
                  <w:overflowPunct w:val="0"/>
                  <w:jc w:val="both"/>
                  <w:textAlignment w:val="baseline"/>
                  <w:rPr>
                    <w:b/>
                    <w:bCs/>
                  </w:rPr>
                </w:pPr>
              </w:p>
            </w:tc>
            <w:tc>
              <w:tcPr>
                <w:tcW w:w="1149" w:type="dxa"/>
                <w:vAlign w:val="center"/>
              </w:tcPr>
              <w:p>
                <w:pPr>
                  <w:overflowPunct w:val="0"/>
                  <w:jc w:val="both"/>
                  <w:textAlignment w:val="baseline"/>
                  <w:rPr>
                    <w:b/>
                    <w:bCs/>
                  </w:rPr>
                </w:pPr>
              </w:p>
            </w:tc>
            <w:tc>
              <w:tcPr>
                <w:tcW w:w="1129" w:type="dxa"/>
                <w:vAlign w:val="center"/>
              </w:tcPr>
              <w:p>
                <w:pPr>
                  <w:overflowPunct w:val="0"/>
                  <w:jc w:val="both"/>
                  <w:textAlignment w:val="baseline"/>
                  <w:rPr>
                    <w:b/>
                    <w:bCs/>
                  </w:rPr>
                </w:pPr>
              </w:p>
            </w:tc>
            <w:tc>
              <w:tcPr>
                <w:tcW w:w="1838" w:type="dxa"/>
                <w:vAlign w:val="center"/>
              </w:tcPr>
              <w:p>
                <w:pPr>
                  <w:overflowPunct w:val="0"/>
                  <w:jc w:val="both"/>
                  <w:textAlignment w:val="baseline"/>
                  <w:rPr>
                    <w:b/>
                    <w:bCs/>
                  </w:rPr>
                </w:pPr>
              </w:p>
            </w:tc>
          </w:tr>
          <w:tr>
            <w:trPr>
              <w:trHeight w:hRule="exact" w:val="300"/>
            </w:trPr>
            <w:tc>
              <w:tcPr>
                <w:tcW w:w="851" w:type="dxa"/>
                <w:vAlign w:val="center"/>
              </w:tcPr>
              <w:p>
                <w:pPr>
                  <w:overflowPunct w:val="0"/>
                  <w:jc w:val="both"/>
                  <w:textAlignment w:val="baseline"/>
                  <w:rPr>
                    <w:b/>
                    <w:bCs/>
                  </w:rPr>
                </w:pPr>
              </w:p>
            </w:tc>
            <w:tc>
              <w:tcPr>
                <w:tcW w:w="1683" w:type="dxa"/>
                <w:vAlign w:val="center"/>
              </w:tcPr>
              <w:p>
                <w:pPr>
                  <w:overflowPunct w:val="0"/>
                  <w:jc w:val="both"/>
                  <w:textAlignment w:val="baseline"/>
                  <w:rPr>
                    <w:b/>
                    <w:bCs/>
                  </w:rPr>
                </w:pPr>
              </w:p>
            </w:tc>
            <w:tc>
              <w:tcPr>
                <w:tcW w:w="1010" w:type="dxa"/>
                <w:vAlign w:val="center"/>
              </w:tcPr>
              <w:p>
                <w:pPr>
                  <w:overflowPunct w:val="0"/>
                  <w:jc w:val="both"/>
                  <w:textAlignment w:val="baseline"/>
                  <w:rPr>
                    <w:b/>
                    <w:bCs/>
                  </w:rPr>
                </w:pPr>
              </w:p>
            </w:tc>
            <w:tc>
              <w:tcPr>
                <w:tcW w:w="1134" w:type="dxa"/>
                <w:vAlign w:val="center"/>
              </w:tcPr>
              <w:p>
                <w:pPr>
                  <w:overflowPunct w:val="0"/>
                  <w:jc w:val="both"/>
                  <w:textAlignment w:val="baseline"/>
                  <w:rPr>
                    <w:b/>
                    <w:bCs/>
                  </w:rPr>
                </w:pPr>
              </w:p>
            </w:tc>
            <w:tc>
              <w:tcPr>
                <w:tcW w:w="992" w:type="dxa"/>
                <w:vAlign w:val="center"/>
              </w:tcPr>
              <w:p>
                <w:pPr>
                  <w:overflowPunct w:val="0"/>
                  <w:jc w:val="both"/>
                  <w:textAlignment w:val="baseline"/>
                  <w:rPr>
                    <w:b/>
                    <w:bCs/>
                  </w:rPr>
                </w:pPr>
              </w:p>
            </w:tc>
            <w:tc>
              <w:tcPr>
                <w:tcW w:w="1149" w:type="dxa"/>
                <w:vAlign w:val="center"/>
              </w:tcPr>
              <w:p>
                <w:pPr>
                  <w:overflowPunct w:val="0"/>
                  <w:jc w:val="both"/>
                  <w:textAlignment w:val="baseline"/>
                  <w:rPr>
                    <w:b/>
                    <w:bCs/>
                  </w:rPr>
                </w:pPr>
              </w:p>
            </w:tc>
            <w:tc>
              <w:tcPr>
                <w:tcW w:w="1129" w:type="dxa"/>
                <w:vAlign w:val="center"/>
              </w:tcPr>
              <w:p>
                <w:pPr>
                  <w:overflowPunct w:val="0"/>
                  <w:jc w:val="both"/>
                  <w:textAlignment w:val="baseline"/>
                  <w:rPr>
                    <w:b/>
                    <w:bCs/>
                  </w:rPr>
                </w:pPr>
              </w:p>
            </w:tc>
            <w:tc>
              <w:tcPr>
                <w:tcW w:w="1838" w:type="dxa"/>
                <w:vAlign w:val="center"/>
              </w:tcPr>
              <w:p>
                <w:pPr>
                  <w:overflowPunct w:val="0"/>
                  <w:jc w:val="both"/>
                  <w:textAlignment w:val="baseline"/>
                  <w:rPr>
                    <w:b/>
                    <w:bCs/>
                  </w:rPr>
                </w:pPr>
              </w:p>
            </w:tc>
          </w:tr>
          <w:tr>
            <w:trPr>
              <w:trHeight w:hRule="exact" w:val="300"/>
            </w:trPr>
            <w:tc>
              <w:tcPr>
                <w:tcW w:w="851" w:type="dxa"/>
                <w:vAlign w:val="center"/>
              </w:tcPr>
              <w:p>
                <w:pPr>
                  <w:overflowPunct w:val="0"/>
                  <w:jc w:val="both"/>
                  <w:textAlignment w:val="baseline"/>
                  <w:rPr>
                    <w:b/>
                    <w:bCs/>
                  </w:rPr>
                </w:pPr>
              </w:p>
            </w:tc>
            <w:tc>
              <w:tcPr>
                <w:tcW w:w="1683" w:type="dxa"/>
                <w:vAlign w:val="center"/>
              </w:tcPr>
              <w:p>
                <w:pPr>
                  <w:overflowPunct w:val="0"/>
                  <w:jc w:val="both"/>
                  <w:textAlignment w:val="baseline"/>
                  <w:rPr>
                    <w:b/>
                    <w:bCs/>
                  </w:rPr>
                </w:pPr>
              </w:p>
            </w:tc>
            <w:tc>
              <w:tcPr>
                <w:tcW w:w="1010" w:type="dxa"/>
                <w:vAlign w:val="center"/>
              </w:tcPr>
              <w:p>
                <w:pPr>
                  <w:overflowPunct w:val="0"/>
                  <w:jc w:val="both"/>
                  <w:textAlignment w:val="baseline"/>
                  <w:rPr>
                    <w:b/>
                    <w:bCs/>
                  </w:rPr>
                </w:pPr>
              </w:p>
            </w:tc>
            <w:tc>
              <w:tcPr>
                <w:tcW w:w="1134" w:type="dxa"/>
                <w:vAlign w:val="center"/>
              </w:tcPr>
              <w:p>
                <w:pPr>
                  <w:overflowPunct w:val="0"/>
                  <w:jc w:val="both"/>
                  <w:textAlignment w:val="baseline"/>
                  <w:rPr>
                    <w:b/>
                    <w:bCs/>
                  </w:rPr>
                </w:pPr>
              </w:p>
            </w:tc>
            <w:tc>
              <w:tcPr>
                <w:tcW w:w="992" w:type="dxa"/>
                <w:vAlign w:val="center"/>
              </w:tcPr>
              <w:p>
                <w:pPr>
                  <w:overflowPunct w:val="0"/>
                  <w:jc w:val="both"/>
                  <w:textAlignment w:val="baseline"/>
                  <w:rPr>
                    <w:b/>
                    <w:bCs/>
                  </w:rPr>
                </w:pPr>
              </w:p>
            </w:tc>
            <w:tc>
              <w:tcPr>
                <w:tcW w:w="1149" w:type="dxa"/>
                <w:vAlign w:val="center"/>
              </w:tcPr>
              <w:p>
                <w:pPr>
                  <w:overflowPunct w:val="0"/>
                  <w:jc w:val="both"/>
                  <w:textAlignment w:val="baseline"/>
                  <w:rPr>
                    <w:b/>
                    <w:bCs/>
                  </w:rPr>
                </w:pPr>
              </w:p>
            </w:tc>
            <w:tc>
              <w:tcPr>
                <w:tcW w:w="1129" w:type="dxa"/>
                <w:vAlign w:val="center"/>
              </w:tcPr>
              <w:p>
                <w:pPr>
                  <w:overflowPunct w:val="0"/>
                  <w:jc w:val="both"/>
                  <w:textAlignment w:val="baseline"/>
                  <w:rPr>
                    <w:b/>
                    <w:bCs/>
                  </w:rPr>
                </w:pPr>
              </w:p>
            </w:tc>
            <w:tc>
              <w:tcPr>
                <w:tcW w:w="1838" w:type="dxa"/>
                <w:vAlign w:val="center"/>
              </w:tcPr>
              <w:p>
                <w:pPr>
                  <w:overflowPunct w:val="0"/>
                  <w:jc w:val="both"/>
                  <w:textAlignment w:val="baseline"/>
                  <w:rPr>
                    <w:b/>
                    <w:bCs/>
                  </w:rPr>
                </w:pPr>
              </w:p>
            </w:tc>
          </w:tr>
          <w:tr>
            <w:trPr>
              <w:trHeight w:hRule="exact" w:val="300"/>
            </w:trPr>
            <w:tc>
              <w:tcPr>
                <w:tcW w:w="851" w:type="dxa"/>
                <w:vAlign w:val="center"/>
              </w:tcPr>
              <w:p>
                <w:pPr>
                  <w:overflowPunct w:val="0"/>
                  <w:jc w:val="both"/>
                  <w:textAlignment w:val="baseline"/>
                  <w:rPr>
                    <w:b/>
                    <w:bCs/>
                  </w:rPr>
                </w:pPr>
              </w:p>
            </w:tc>
            <w:tc>
              <w:tcPr>
                <w:tcW w:w="1683" w:type="dxa"/>
                <w:vAlign w:val="center"/>
              </w:tcPr>
              <w:p>
                <w:pPr>
                  <w:overflowPunct w:val="0"/>
                  <w:jc w:val="both"/>
                  <w:textAlignment w:val="baseline"/>
                  <w:rPr>
                    <w:b/>
                    <w:bCs/>
                  </w:rPr>
                </w:pPr>
              </w:p>
            </w:tc>
            <w:tc>
              <w:tcPr>
                <w:tcW w:w="1010" w:type="dxa"/>
                <w:vAlign w:val="center"/>
              </w:tcPr>
              <w:p>
                <w:pPr>
                  <w:overflowPunct w:val="0"/>
                  <w:jc w:val="both"/>
                  <w:textAlignment w:val="baseline"/>
                  <w:rPr>
                    <w:b/>
                    <w:bCs/>
                  </w:rPr>
                </w:pPr>
              </w:p>
            </w:tc>
            <w:tc>
              <w:tcPr>
                <w:tcW w:w="1134" w:type="dxa"/>
                <w:vAlign w:val="center"/>
              </w:tcPr>
              <w:p>
                <w:pPr>
                  <w:overflowPunct w:val="0"/>
                  <w:jc w:val="both"/>
                  <w:textAlignment w:val="baseline"/>
                  <w:rPr>
                    <w:b/>
                    <w:bCs/>
                  </w:rPr>
                </w:pPr>
              </w:p>
            </w:tc>
            <w:tc>
              <w:tcPr>
                <w:tcW w:w="992" w:type="dxa"/>
                <w:vAlign w:val="center"/>
              </w:tcPr>
              <w:p>
                <w:pPr>
                  <w:overflowPunct w:val="0"/>
                  <w:jc w:val="both"/>
                  <w:textAlignment w:val="baseline"/>
                  <w:rPr>
                    <w:b/>
                    <w:bCs/>
                  </w:rPr>
                </w:pPr>
              </w:p>
            </w:tc>
            <w:tc>
              <w:tcPr>
                <w:tcW w:w="1149" w:type="dxa"/>
                <w:vAlign w:val="center"/>
              </w:tcPr>
              <w:p>
                <w:pPr>
                  <w:overflowPunct w:val="0"/>
                  <w:jc w:val="both"/>
                  <w:textAlignment w:val="baseline"/>
                  <w:rPr>
                    <w:b/>
                    <w:bCs/>
                  </w:rPr>
                </w:pPr>
              </w:p>
            </w:tc>
            <w:tc>
              <w:tcPr>
                <w:tcW w:w="1129" w:type="dxa"/>
                <w:vAlign w:val="center"/>
              </w:tcPr>
              <w:p>
                <w:pPr>
                  <w:overflowPunct w:val="0"/>
                  <w:jc w:val="both"/>
                  <w:textAlignment w:val="baseline"/>
                  <w:rPr>
                    <w:b/>
                    <w:bCs/>
                  </w:rPr>
                </w:pPr>
              </w:p>
            </w:tc>
            <w:tc>
              <w:tcPr>
                <w:tcW w:w="1838" w:type="dxa"/>
                <w:vAlign w:val="center"/>
              </w:tcPr>
              <w:p>
                <w:pPr>
                  <w:overflowPunct w:val="0"/>
                  <w:jc w:val="both"/>
                  <w:textAlignment w:val="baseline"/>
                  <w:rPr>
                    <w:b/>
                    <w:bCs/>
                  </w:rPr>
                </w:pPr>
              </w:p>
            </w:tc>
          </w:tr>
          <w:tr>
            <w:trPr>
              <w:trHeight w:hRule="exact" w:val="300"/>
            </w:trPr>
            <w:tc>
              <w:tcPr>
                <w:tcW w:w="851" w:type="dxa"/>
                <w:vAlign w:val="center"/>
              </w:tcPr>
              <w:p>
                <w:pPr>
                  <w:overflowPunct w:val="0"/>
                  <w:jc w:val="both"/>
                  <w:textAlignment w:val="baseline"/>
                  <w:rPr>
                    <w:b/>
                    <w:bCs/>
                  </w:rPr>
                </w:pPr>
              </w:p>
            </w:tc>
            <w:tc>
              <w:tcPr>
                <w:tcW w:w="1683" w:type="dxa"/>
                <w:vAlign w:val="center"/>
              </w:tcPr>
              <w:p>
                <w:pPr>
                  <w:overflowPunct w:val="0"/>
                  <w:jc w:val="both"/>
                  <w:textAlignment w:val="baseline"/>
                  <w:rPr>
                    <w:b/>
                    <w:bCs/>
                  </w:rPr>
                </w:pPr>
              </w:p>
            </w:tc>
            <w:tc>
              <w:tcPr>
                <w:tcW w:w="1010" w:type="dxa"/>
                <w:vAlign w:val="center"/>
              </w:tcPr>
              <w:p>
                <w:pPr>
                  <w:overflowPunct w:val="0"/>
                  <w:jc w:val="both"/>
                  <w:textAlignment w:val="baseline"/>
                  <w:rPr>
                    <w:b/>
                    <w:bCs/>
                  </w:rPr>
                </w:pPr>
              </w:p>
            </w:tc>
            <w:tc>
              <w:tcPr>
                <w:tcW w:w="1134" w:type="dxa"/>
                <w:vAlign w:val="center"/>
              </w:tcPr>
              <w:p>
                <w:pPr>
                  <w:overflowPunct w:val="0"/>
                  <w:jc w:val="both"/>
                  <w:textAlignment w:val="baseline"/>
                  <w:rPr>
                    <w:b/>
                    <w:bCs/>
                  </w:rPr>
                </w:pPr>
              </w:p>
            </w:tc>
            <w:tc>
              <w:tcPr>
                <w:tcW w:w="992" w:type="dxa"/>
                <w:vAlign w:val="center"/>
              </w:tcPr>
              <w:p>
                <w:pPr>
                  <w:overflowPunct w:val="0"/>
                  <w:jc w:val="both"/>
                  <w:textAlignment w:val="baseline"/>
                  <w:rPr>
                    <w:b/>
                    <w:bCs/>
                  </w:rPr>
                </w:pPr>
              </w:p>
            </w:tc>
            <w:tc>
              <w:tcPr>
                <w:tcW w:w="1149" w:type="dxa"/>
                <w:vAlign w:val="center"/>
              </w:tcPr>
              <w:p>
                <w:pPr>
                  <w:overflowPunct w:val="0"/>
                  <w:jc w:val="both"/>
                  <w:textAlignment w:val="baseline"/>
                  <w:rPr>
                    <w:b/>
                    <w:bCs/>
                  </w:rPr>
                </w:pPr>
              </w:p>
            </w:tc>
            <w:tc>
              <w:tcPr>
                <w:tcW w:w="1129" w:type="dxa"/>
                <w:vAlign w:val="center"/>
              </w:tcPr>
              <w:p>
                <w:pPr>
                  <w:overflowPunct w:val="0"/>
                  <w:jc w:val="both"/>
                  <w:textAlignment w:val="baseline"/>
                  <w:rPr>
                    <w:b/>
                    <w:bCs/>
                  </w:rPr>
                </w:pPr>
              </w:p>
            </w:tc>
            <w:tc>
              <w:tcPr>
                <w:tcW w:w="1838" w:type="dxa"/>
                <w:vAlign w:val="center"/>
              </w:tcPr>
              <w:p>
                <w:pPr>
                  <w:overflowPunct w:val="0"/>
                  <w:jc w:val="both"/>
                  <w:textAlignment w:val="baseline"/>
                  <w:rPr>
                    <w:b/>
                    <w:bCs/>
                  </w:rPr>
                </w:pPr>
              </w:p>
            </w:tc>
          </w:tr>
        </w:tbl>
        <w:p>
          <w:pPr>
            <w:overflowPunct w:val="0"/>
            <w:jc w:val="both"/>
            <w:textAlignment w:val="baseline"/>
          </w:pPr>
        </w:p>
        <w:p>
          <w:pPr>
            <w:overflowPunct w:val="0"/>
            <w:jc w:val="both"/>
            <w:textAlignment w:val="baseline"/>
          </w:pPr>
          <w:r>
            <w:t>Ūkininkas</w:t>
            <w:tab/>
            <w:tab/>
            <w:t>_________________</w:t>
            <w:tab/>
            <w:tab/>
            <w:t xml:space="preserve"> _________________________</w:t>
          </w:r>
        </w:p>
        <w:p>
          <w:pPr>
            <w:overflowPunct w:val="0"/>
            <w:ind w:left="1298" w:firstLine="1298"/>
            <w:jc w:val="both"/>
            <w:textAlignment w:val="baseline"/>
          </w:pPr>
          <w:r>
            <w:rPr>
              <w:sz w:val="20"/>
            </w:rPr>
            <w:t>(parašas)</w:t>
            <w:tab/>
          </w:r>
          <w:r>
            <w:tab/>
            <w:tab/>
          </w:r>
          <w:r>
            <w:rPr>
              <w:sz w:val="20"/>
            </w:rPr>
            <w:t>(vardas, pavardė)</w:t>
          </w:r>
        </w:p>
        <w:sdt>
          <w:sdtPr>
            <w:alias w:val="pabaiga"/>
            <w:tag w:val="part_abd8691c72574dfab86d20e163eaf794"/>
            <w:lock w:val="sdtLocked"/>
            <w:richText/>
          </w:sdtPr>
          <w:sdtContent>
            <w:p>
              <w:pPr>
                <w:overflowPunct w:val="0"/>
                <w:jc w:val="center"/>
                <w:textAlignment w:val="baseline"/>
                <w:rPr>
                  <w:b/>
                </w:rPr>
              </w:pPr>
              <w:r>
                <w:t>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ba5c0506f11e4a698d921e3e46801">
            <w:r w:rsidRPr="00532B9F">
              <w:rPr>
                <w:rFonts w:ascii="Times New Roman" w:eastAsia="MS Mincho" w:hAnsi="Times New Roman"/>
                <w:sz w:val="20"/>
                <w:i/>
                <w:iCs/>
                <w:color w:val="0000FF" w:themeColor="hyperlink"/>
                <w:u w:val="single"/>
              </w:rPr>
              <w:t>3D-725</w:t>
            </w:r>
          </w:fldSimple>
          <w:r>
            <w:rPr>
              <w:rFonts w:ascii="Times New Roman" w:eastAsia="MS Mincho" w:hAnsi="Times New Roman"/>
              <w:sz w:val="20"/>
              <w:i/>
              <w:iCs/>
            </w:rPr>
            <w:t>,
2014-10-10,
paskelbta TAR 2014-10-10, i. k. 2014-13951            </w:t>
          </w:r>
        </w:p>
        <w:p/>
      </w:sdtContent>
    </w:sdt>
    <w:sdt>
      <w:sdtPr>
        <w:alias w:val="2 pr."/>
        <w:tag w:val="part_3639dc3a07a146739a2e442b6ace5f97"/>
        <w:lock w:val="sdtLocked"/>
        <w:richText/>
      </w:sdtPr>
      <w:sdtContent>
        <w:p>
          <w:pPr>
            <w:overflowPunct w:val="0"/>
            <w:jc w:val="both"/>
            <w:textAlignment w:val="baseline"/>
            <w:rPr>
              <w:sz w:val="20"/>
            </w:rPr>
          </w:pPr>
          <w:r>
            <w:rPr>
              <w:sz w:val="20"/>
            </w:rPr>
            <w:br w:type="page"/>
          </w:r>
        </w:p>
        <w:p>
          <w:pPr>
            <w:overflowPunct w:val="0"/>
            <w:ind w:firstLine="6379"/>
            <w:jc w:val="both"/>
            <w:textAlignment w:val="baseline"/>
            <w:rPr>
              <w:szCs w:val="24"/>
            </w:rPr>
          </w:pPr>
          <w:r>
            <w:rPr>
              <w:szCs w:val="24"/>
            </w:rPr>
            <w:t>Ūkininko ūkio veiklos</w:t>
          </w:r>
        </w:p>
        <w:p>
          <w:pPr>
            <w:overflowPunct w:val="0"/>
            <w:ind w:left="6379"/>
            <w:jc w:val="both"/>
            <w:textAlignment w:val="baseline"/>
            <w:rPr>
              <w:szCs w:val="24"/>
            </w:rPr>
          </w:pPr>
          <w:r>
            <w:rPr>
              <w:szCs w:val="24"/>
            </w:rPr>
            <w:t>buhalterinės apskaitos tvarkymo</w:t>
          </w:r>
        </w:p>
        <w:p>
          <w:pPr>
            <w:overflowPunct w:val="0"/>
            <w:ind w:left="6379"/>
            <w:jc w:val="both"/>
            <w:textAlignment w:val="baseline"/>
            <w:rPr>
              <w:szCs w:val="24"/>
            </w:rPr>
          </w:pPr>
          <w:r>
            <w:rPr>
              <w:szCs w:val="24"/>
            </w:rPr>
            <w:t>supaprastintąja apskaitos sistema</w:t>
          </w:r>
        </w:p>
        <w:p>
          <w:pPr>
            <w:overflowPunct w:val="0"/>
            <w:ind w:left="6379"/>
            <w:jc w:val="both"/>
            <w:textAlignment w:val="baseline"/>
            <w:rPr>
              <w:szCs w:val="24"/>
            </w:rPr>
          </w:pPr>
          <w:r>
            <w:rPr>
              <w:szCs w:val="24"/>
            </w:rPr>
            <w:t xml:space="preserve">rekomendacijų </w:t>
          </w:r>
        </w:p>
        <w:p>
          <w:pPr>
            <w:overflowPunct w:val="0"/>
            <w:ind w:left="6379"/>
            <w:jc w:val="both"/>
            <w:textAlignment w:val="baseline"/>
            <w:rPr>
              <w:szCs w:val="24"/>
            </w:rPr>
          </w:pPr>
          <w:r>
            <w:rPr>
              <w:szCs w:val="24"/>
            </w:rPr>
            <w:t xml:space="preserve">2  priedas</w:t>
          </w:r>
        </w:p>
        <w:p>
          <w:pPr>
            <w:keepNext/>
            <w:overflowPunct w:val="0"/>
            <w:jc w:val="center"/>
            <w:textAlignment w:val="baseline"/>
            <w:rPr>
              <w:b/>
            </w:rPr>
          </w:pPr>
        </w:p>
        <w:p>
          <w:pPr>
            <w:overflowPunct w:val="0"/>
            <w:jc w:val="center"/>
            <w:textAlignment w:val="baseline"/>
          </w:pPr>
          <w:r>
            <w:t>Ūkininko ________________________________ ūkis</w:t>
          </w:r>
        </w:p>
        <w:p>
          <w:pPr>
            <w:overflowPunct w:val="0"/>
            <w:jc w:val="center"/>
            <w:textAlignment w:val="baseline"/>
          </w:pPr>
        </w:p>
        <w:p>
          <w:pPr>
            <w:jc w:val="center"/>
            <w:rPr>
              <w:b/>
            </w:rPr>
          </w:pPr>
          <w:r>
            <w:rPr>
              <w:b/>
            </w:rPr>
            <w:t>TURTO PERDAVIMO ŪKININKO ŪKIUI AKTAS</w:t>
          </w:r>
        </w:p>
        <w:p>
          <w:pPr>
            <w:overflowPunct w:val="0"/>
            <w:jc w:val="center"/>
            <w:textAlignment w:val="baseline"/>
          </w:pPr>
        </w:p>
        <w:p>
          <w:pPr>
            <w:overflowPunct w:val="0"/>
            <w:jc w:val="center"/>
            <w:textAlignment w:val="baseline"/>
          </w:pPr>
          <w:r>
            <w:t>_____________ Nr. _____________</w:t>
          </w:r>
        </w:p>
        <w:p>
          <w:pPr>
            <w:overflowPunct w:val="0"/>
            <w:ind w:left="3544"/>
            <w:jc w:val="both"/>
            <w:textAlignment w:val="baseline"/>
            <w:rPr>
              <w:sz w:val="20"/>
            </w:rPr>
          </w:pPr>
          <w:r>
            <w:rPr>
              <w:sz w:val="20"/>
            </w:rPr>
            <w:t>(data)</w:t>
          </w:r>
        </w:p>
        <w:p>
          <w:pPr>
            <w:overflowPunct w:val="0"/>
            <w:ind w:left="3544"/>
            <w:jc w:val="both"/>
            <w:textAlignment w:val="baseline"/>
          </w:pPr>
        </w:p>
        <w:p>
          <w:pPr>
            <w:overflowPunct w:val="0"/>
            <w:textAlignment w:val="baseline"/>
          </w:pPr>
          <w:r>
            <w:t>Ūkininkas (arba jo partneris) ______________________________________________________</w:t>
          </w:r>
        </w:p>
        <w:p>
          <w:pPr>
            <w:overflowPunct w:val="0"/>
            <w:ind w:left="4820"/>
            <w:textAlignment w:val="baseline"/>
            <w:rPr>
              <w:sz w:val="20"/>
            </w:rPr>
          </w:pPr>
          <w:r>
            <w:rPr>
              <w:sz w:val="20"/>
            </w:rPr>
            <w:t xml:space="preserve">(vardas, pavardė, asmens kodas, </w:t>
          </w:r>
        </w:p>
        <w:p>
          <w:pPr>
            <w:overflowPunct w:val="0"/>
            <w:textAlignment w:val="baseline"/>
            <w:rPr>
              <w:sz w:val="6"/>
              <w:szCs w:val="6"/>
            </w:rPr>
          </w:pPr>
        </w:p>
        <w:p>
          <w:pPr>
            <w:overflowPunct w:val="0"/>
            <w:textAlignment w:val="baseline"/>
          </w:pPr>
          <w:r>
            <w:t>_______________________________________________________________________________</w:t>
          </w:r>
        </w:p>
        <w:p>
          <w:pPr>
            <w:overflowPunct w:val="0"/>
            <w:jc w:val="center"/>
            <w:textAlignment w:val="baseline"/>
            <w:rPr>
              <w:sz w:val="20"/>
            </w:rPr>
          </w:pPr>
          <w:r>
            <w:rPr>
              <w:sz w:val="20"/>
            </w:rPr>
            <w:t>ūkininko ūkio įregistravimo pažymėjimo Nr. arba žemės ūkio valdos unikalus identifikavimo kodas)</w:t>
          </w:r>
        </w:p>
        <w:p>
          <w:pPr>
            <w:overflowPunct w:val="0"/>
            <w:jc w:val="center"/>
            <w:textAlignment w:val="baseline"/>
            <w:rPr>
              <w:sz w:val="6"/>
              <w:szCs w:val="6"/>
            </w:rPr>
          </w:pPr>
        </w:p>
        <w:p>
          <w:pPr>
            <w:overflowPunct w:val="0"/>
            <w:textAlignment w:val="baseline"/>
          </w:pPr>
          <w:r>
            <w:t>perduoda naudoti ūkininko __________________________________ ūkyje šį turtą:</w:t>
          </w:r>
        </w:p>
        <w:p>
          <w:pPr>
            <w:overflowPunct w:val="0"/>
            <w:ind w:left="3828"/>
            <w:textAlignment w:val="baseline"/>
          </w:pPr>
          <w:r>
            <w:rPr>
              <w:sz w:val="20"/>
            </w:rPr>
            <w:t>(vardas, pavardė)</w:t>
          </w:r>
        </w:p>
        <w:p>
          <w:pPr>
            <w:overflowPunct w:val="0"/>
            <w:jc w:val="both"/>
            <w:textAlignment w:val="baseline"/>
            <w:rPr>
              <w:strike/>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02"/>
            <w:gridCol w:w="3543"/>
            <w:gridCol w:w="1560"/>
            <w:gridCol w:w="1984"/>
          </w:tblGrid>
          <w:tr>
            <w:tc>
              <w:tcPr>
                <w:tcW w:w="2802" w:type="dxa"/>
                <w:vAlign w:val="center"/>
              </w:tcPr>
              <w:p>
                <w:pPr>
                  <w:overflowPunct w:val="0"/>
                  <w:jc w:val="center"/>
                  <w:textAlignment w:val="baseline"/>
                </w:pPr>
                <w:r>
                  <w:t>Perduodamo turto pavadinimas</w:t>
                </w:r>
              </w:p>
            </w:tc>
            <w:tc>
              <w:tcPr>
                <w:tcW w:w="3543" w:type="dxa"/>
                <w:vAlign w:val="center"/>
              </w:tcPr>
              <w:p>
                <w:pPr>
                  <w:overflowPunct w:val="0"/>
                  <w:jc w:val="center"/>
                  <w:textAlignment w:val="baseline"/>
                </w:pPr>
                <w:r>
                  <w:t>Charakteristika</w:t>
                </w:r>
              </w:p>
            </w:tc>
            <w:tc>
              <w:tcPr>
                <w:tcW w:w="1560" w:type="dxa"/>
                <w:vAlign w:val="center"/>
              </w:tcPr>
              <w:p>
                <w:pPr>
                  <w:overflowPunct w:val="0"/>
                  <w:jc w:val="center"/>
                  <w:textAlignment w:val="baseline"/>
                </w:pPr>
                <w:r>
                  <w:t>Vertė, Eur</w:t>
                </w:r>
              </w:p>
            </w:tc>
            <w:tc>
              <w:tcPr>
                <w:tcW w:w="1984" w:type="dxa"/>
                <w:vAlign w:val="center"/>
              </w:tcPr>
              <w:p>
                <w:pPr>
                  <w:overflowPunct w:val="0"/>
                  <w:jc w:val="center"/>
                  <w:textAlignment w:val="baseline"/>
                </w:pPr>
                <w:r>
                  <w:t>Papildomos sąlygos</w:t>
                </w:r>
              </w:p>
            </w:tc>
          </w:tr>
          <w:tr>
            <w:tc>
              <w:tcPr>
                <w:tcW w:w="2802" w:type="dxa"/>
              </w:tcPr>
              <w:p>
                <w:pPr>
                  <w:overflowPunct w:val="0"/>
                  <w:jc w:val="center"/>
                  <w:textAlignment w:val="baseline"/>
                </w:pPr>
              </w:p>
            </w:tc>
            <w:tc>
              <w:tcPr>
                <w:tcW w:w="3543" w:type="dxa"/>
              </w:tcPr>
              <w:p>
                <w:pPr>
                  <w:overflowPunct w:val="0"/>
                  <w:jc w:val="center"/>
                  <w:textAlignment w:val="baseline"/>
                </w:pPr>
              </w:p>
            </w:tc>
            <w:tc>
              <w:tcPr>
                <w:tcW w:w="1560" w:type="dxa"/>
              </w:tcPr>
              <w:p>
                <w:pPr>
                  <w:overflowPunct w:val="0"/>
                  <w:jc w:val="center"/>
                  <w:textAlignment w:val="baseline"/>
                </w:pPr>
              </w:p>
            </w:tc>
            <w:tc>
              <w:tcPr>
                <w:tcW w:w="1984" w:type="dxa"/>
              </w:tcPr>
              <w:p>
                <w:pPr>
                  <w:overflowPunct w:val="0"/>
                  <w:jc w:val="center"/>
                  <w:textAlignment w:val="baseline"/>
                </w:pPr>
              </w:p>
            </w:tc>
          </w:tr>
          <w:tr>
            <w:tc>
              <w:tcPr>
                <w:tcW w:w="2802" w:type="dxa"/>
              </w:tcPr>
              <w:p>
                <w:pPr>
                  <w:overflowPunct w:val="0"/>
                  <w:jc w:val="center"/>
                  <w:textAlignment w:val="baseline"/>
                </w:pPr>
              </w:p>
            </w:tc>
            <w:tc>
              <w:tcPr>
                <w:tcW w:w="3543" w:type="dxa"/>
              </w:tcPr>
              <w:p>
                <w:pPr>
                  <w:overflowPunct w:val="0"/>
                  <w:jc w:val="center"/>
                  <w:textAlignment w:val="baseline"/>
                </w:pPr>
              </w:p>
            </w:tc>
            <w:tc>
              <w:tcPr>
                <w:tcW w:w="1560" w:type="dxa"/>
              </w:tcPr>
              <w:p>
                <w:pPr>
                  <w:overflowPunct w:val="0"/>
                  <w:jc w:val="center"/>
                  <w:textAlignment w:val="baseline"/>
                </w:pPr>
              </w:p>
            </w:tc>
            <w:tc>
              <w:tcPr>
                <w:tcW w:w="1984" w:type="dxa"/>
              </w:tcPr>
              <w:p>
                <w:pPr>
                  <w:overflowPunct w:val="0"/>
                  <w:jc w:val="center"/>
                  <w:textAlignment w:val="baseline"/>
                </w:pPr>
              </w:p>
            </w:tc>
          </w:tr>
          <w:tr>
            <w:tc>
              <w:tcPr>
                <w:tcW w:w="2802" w:type="dxa"/>
              </w:tcPr>
              <w:p>
                <w:pPr>
                  <w:overflowPunct w:val="0"/>
                  <w:jc w:val="center"/>
                  <w:textAlignment w:val="baseline"/>
                </w:pPr>
              </w:p>
            </w:tc>
            <w:tc>
              <w:tcPr>
                <w:tcW w:w="3543" w:type="dxa"/>
              </w:tcPr>
              <w:p>
                <w:pPr>
                  <w:overflowPunct w:val="0"/>
                  <w:jc w:val="center"/>
                  <w:textAlignment w:val="baseline"/>
                </w:pPr>
              </w:p>
            </w:tc>
            <w:tc>
              <w:tcPr>
                <w:tcW w:w="1560" w:type="dxa"/>
              </w:tcPr>
              <w:p>
                <w:pPr>
                  <w:overflowPunct w:val="0"/>
                  <w:jc w:val="center"/>
                  <w:textAlignment w:val="baseline"/>
                </w:pPr>
              </w:p>
            </w:tc>
            <w:tc>
              <w:tcPr>
                <w:tcW w:w="1984" w:type="dxa"/>
              </w:tcPr>
              <w:p>
                <w:pPr>
                  <w:overflowPunct w:val="0"/>
                  <w:jc w:val="center"/>
                  <w:textAlignment w:val="baseline"/>
                </w:pPr>
              </w:p>
            </w:tc>
          </w:tr>
          <w:tr>
            <w:tc>
              <w:tcPr>
                <w:tcW w:w="2802" w:type="dxa"/>
              </w:tcPr>
              <w:p>
                <w:pPr>
                  <w:overflowPunct w:val="0"/>
                  <w:jc w:val="center"/>
                  <w:textAlignment w:val="baseline"/>
                </w:pPr>
              </w:p>
            </w:tc>
            <w:tc>
              <w:tcPr>
                <w:tcW w:w="3543" w:type="dxa"/>
              </w:tcPr>
              <w:p>
                <w:pPr>
                  <w:overflowPunct w:val="0"/>
                  <w:jc w:val="center"/>
                  <w:textAlignment w:val="baseline"/>
                </w:pPr>
              </w:p>
            </w:tc>
            <w:tc>
              <w:tcPr>
                <w:tcW w:w="1560" w:type="dxa"/>
              </w:tcPr>
              <w:p>
                <w:pPr>
                  <w:overflowPunct w:val="0"/>
                  <w:jc w:val="center"/>
                  <w:textAlignment w:val="baseline"/>
                </w:pPr>
              </w:p>
            </w:tc>
            <w:tc>
              <w:tcPr>
                <w:tcW w:w="1984" w:type="dxa"/>
              </w:tcPr>
              <w:p>
                <w:pPr>
                  <w:overflowPunct w:val="0"/>
                  <w:jc w:val="center"/>
                  <w:textAlignment w:val="baseline"/>
                </w:pPr>
              </w:p>
            </w:tc>
          </w:tr>
          <w:tr>
            <w:tc>
              <w:tcPr>
                <w:tcW w:w="2802" w:type="dxa"/>
              </w:tcPr>
              <w:p>
                <w:pPr>
                  <w:overflowPunct w:val="0"/>
                  <w:jc w:val="center"/>
                  <w:textAlignment w:val="baseline"/>
                </w:pPr>
              </w:p>
            </w:tc>
            <w:tc>
              <w:tcPr>
                <w:tcW w:w="3543" w:type="dxa"/>
              </w:tcPr>
              <w:p>
                <w:pPr>
                  <w:overflowPunct w:val="0"/>
                  <w:jc w:val="center"/>
                  <w:textAlignment w:val="baseline"/>
                </w:pPr>
              </w:p>
            </w:tc>
            <w:tc>
              <w:tcPr>
                <w:tcW w:w="1560" w:type="dxa"/>
              </w:tcPr>
              <w:p>
                <w:pPr>
                  <w:overflowPunct w:val="0"/>
                  <w:jc w:val="center"/>
                  <w:textAlignment w:val="baseline"/>
                </w:pPr>
              </w:p>
            </w:tc>
            <w:tc>
              <w:tcPr>
                <w:tcW w:w="1984" w:type="dxa"/>
              </w:tcPr>
              <w:p>
                <w:pPr>
                  <w:overflowPunct w:val="0"/>
                  <w:jc w:val="center"/>
                  <w:textAlignment w:val="baseline"/>
                </w:pPr>
              </w:p>
            </w:tc>
          </w:tr>
          <w:tr>
            <w:tc>
              <w:tcPr>
                <w:tcW w:w="2802" w:type="dxa"/>
                <w:tcBorders>
                  <w:top w:val="single" w:sz="4" w:space="0" w:color="auto"/>
                  <w:bottom w:val="single" w:sz="4" w:space="0" w:color="auto"/>
                </w:tcBorders>
              </w:tcPr>
              <w:p>
                <w:pPr>
                  <w:overflowPunct w:val="0"/>
                  <w:jc w:val="center"/>
                  <w:textAlignment w:val="baseline"/>
                </w:pPr>
              </w:p>
            </w:tc>
            <w:tc>
              <w:tcPr>
                <w:tcW w:w="3543" w:type="dxa"/>
                <w:tcBorders>
                  <w:bottom w:val="single" w:sz="4" w:space="0" w:color="auto"/>
                </w:tcBorders>
              </w:tcPr>
              <w:p>
                <w:pPr>
                  <w:overflowPunct w:val="0"/>
                  <w:jc w:val="center"/>
                  <w:textAlignment w:val="baseline"/>
                </w:pPr>
              </w:p>
            </w:tc>
            <w:tc>
              <w:tcPr>
                <w:tcW w:w="1560" w:type="dxa"/>
                <w:tcBorders>
                  <w:bottom w:val="single" w:sz="4" w:space="0" w:color="auto"/>
                </w:tcBorders>
              </w:tcPr>
              <w:p>
                <w:pPr>
                  <w:overflowPunct w:val="0"/>
                  <w:jc w:val="center"/>
                  <w:textAlignment w:val="baseline"/>
                </w:pPr>
              </w:p>
            </w:tc>
            <w:tc>
              <w:tcPr>
                <w:tcW w:w="1984" w:type="dxa"/>
                <w:tcBorders>
                  <w:bottom w:val="single" w:sz="4" w:space="0" w:color="auto"/>
                </w:tcBorders>
              </w:tcPr>
              <w:p>
                <w:pPr>
                  <w:overflowPunct w:val="0"/>
                  <w:jc w:val="center"/>
                  <w:textAlignment w:val="baseline"/>
                </w:pPr>
              </w:p>
            </w:tc>
          </w:tr>
          <w:tr>
            <w:tc>
              <w:tcPr>
                <w:tcW w:w="2802" w:type="dxa"/>
                <w:tcBorders>
                  <w:top w:val="single" w:sz="4" w:space="0" w:color="auto"/>
                  <w:bottom w:val="single" w:sz="4" w:space="0" w:color="auto"/>
                </w:tcBorders>
              </w:tcPr>
              <w:p>
                <w:pPr>
                  <w:overflowPunct w:val="0"/>
                  <w:jc w:val="center"/>
                  <w:textAlignment w:val="baseline"/>
                </w:pPr>
              </w:p>
            </w:tc>
            <w:tc>
              <w:tcPr>
                <w:tcW w:w="3543" w:type="dxa"/>
                <w:tcBorders>
                  <w:bottom w:val="single" w:sz="4" w:space="0" w:color="auto"/>
                </w:tcBorders>
              </w:tcPr>
              <w:p>
                <w:pPr>
                  <w:overflowPunct w:val="0"/>
                  <w:jc w:val="center"/>
                  <w:textAlignment w:val="baseline"/>
                </w:pPr>
              </w:p>
            </w:tc>
            <w:tc>
              <w:tcPr>
                <w:tcW w:w="1560" w:type="dxa"/>
                <w:tcBorders>
                  <w:bottom w:val="single" w:sz="4" w:space="0" w:color="auto"/>
                </w:tcBorders>
              </w:tcPr>
              <w:p>
                <w:pPr>
                  <w:overflowPunct w:val="0"/>
                  <w:jc w:val="center"/>
                  <w:textAlignment w:val="baseline"/>
                </w:pPr>
              </w:p>
            </w:tc>
            <w:tc>
              <w:tcPr>
                <w:tcW w:w="1984" w:type="dxa"/>
                <w:tcBorders>
                  <w:bottom w:val="single" w:sz="4" w:space="0" w:color="auto"/>
                </w:tcBorders>
              </w:tcPr>
              <w:p>
                <w:pPr>
                  <w:overflowPunct w:val="0"/>
                  <w:jc w:val="center"/>
                  <w:textAlignment w:val="baseline"/>
                </w:pPr>
              </w:p>
            </w:tc>
          </w:tr>
          <w:tr>
            <w:tc>
              <w:tcPr>
                <w:tcW w:w="2802" w:type="dxa"/>
                <w:tcBorders>
                  <w:top w:val="single" w:sz="4" w:space="0" w:color="auto"/>
                  <w:bottom w:val="single" w:sz="4" w:space="0" w:color="auto"/>
                </w:tcBorders>
              </w:tcPr>
              <w:p>
                <w:pPr>
                  <w:overflowPunct w:val="0"/>
                  <w:jc w:val="center"/>
                  <w:textAlignment w:val="baseline"/>
                </w:pPr>
              </w:p>
            </w:tc>
            <w:tc>
              <w:tcPr>
                <w:tcW w:w="3543" w:type="dxa"/>
                <w:tcBorders>
                  <w:bottom w:val="single" w:sz="4" w:space="0" w:color="auto"/>
                </w:tcBorders>
              </w:tcPr>
              <w:p>
                <w:pPr>
                  <w:overflowPunct w:val="0"/>
                  <w:jc w:val="center"/>
                  <w:textAlignment w:val="baseline"/>
                </w:pPr>
              </w:p>
            </w:tc>
            <w:tc>
              <w:tcPr>
                <w:tcW w:w="1560" w:type="dxa"/>
                <w:tcBorders>
                  <w:bottom w:val="single" w:sz="4" w:space="0" w:color="auto"/>
                </w:tcBorders>
              </w:tcPr>
              <w:p>
                <w:pPr>
                  <w:overflowPunct w:val="0"/>
                  <w:jc w:val="center"/>
                  <w:textAlignment w:val="baseline"/>
                </w:pPr>
              </w:p>
            </w:tc>
            <w:tc>
              <w:tcPr>
                <w:tcW w:w="1984" w:type="dxa"/>
                <w:tcBorders>
                  <w:bottom w:val="single" w:sz="4" w:space="0" w:color="auto"/>
                </w:tcBorders>
              </w:tcPr>
              <w:p>
                <w:pPr>
                  <w:overflowPunct w:val="0"/>
                  <w:jc w:val="center"/>
                  <w:textAlignment w:val="baseline"/>
                </w:pPr>
              </w:p>
            </w:tc>
          </w:tr>
          <w:tr>
            <w:tc>
              <w:tcPr>
                <w:tcW w:w="2802" w:type="dxa"/>
                <w:tcBorders>
                  <w:top w:val="single" w:sz="4" w:space="0" w:color="auto"/>
                  <w:bottom w:val="single" w:sz="4" w:space="0" w:color="auto"/>
                </w:tcBorders>
              </w:tcPr>
              <w:p>
                <w:pPr>
                  <w:overflowPunct w:val="0"/>
                  <w:jc w:val="center"/>
                  <w:textAlignment w:val="baseline"/>
                </w:pPr>
              </w:p>
            </w:tc>
            <w:tc>
              <w:tcPr>
                <w:tcW w:w="3543" w:type="dxa"/>
                <w:tcBorders>
                  <w:bottom w:val="single" w:sz="4" w:space="0" w:color="auto"/>
                </w:tcBorders>
              </w:tcPr>
              <w:p>
                <w:pPr>
                  <w:overflowPunct w:val="0"/>
                  <w:jc w:val="center"/>
                  <w:textAlignment w:val="baseline"/>
                </w:pPr>
              </w:p>
            </w:tc>
            <w:tc>
              <w:tcPr>
                <w:tcW w:w="1560" w:type="dxa"/>
                <w:tcBorders>
                  <w:bottom w:val="single" w:sz="4" w:space="0" w:color="auto"/>
                </w:tcBorders>
              </w:tcPr>
              <w:p>
                <w:pPr>
                  <w:overflowPunct w:val="0"/>
                  <w:jc w:val="center"/>
                  <w:textAlignment w:val="baseline"/>
                </w:pPr>
              </w:p>
            </w:tc>
            <w:tc>
              <w:tcPr>
                <w:tcW w:w="1984" w:type="dxa"/>
                <w:tcBorders>
                  <w:bottom w:val="single" w:sz="4" w:space="0" w:color="auto"/>
                </w:tcBorders>
              </w:tcPr>
              <w:p>
                <w:pPr>
                  <w:overflowPunct w:val="0"/>
                  <w:jc w:val="center"/>
                  <w:textAlignment w:val="baseline"/>
                </w:pPr>
              </w:p>
            </w:tc>
          </w:tr>
          <w:tr>
            <w:tc>
              <w:tcPr>
                <w:tcW w:w="2802" w:type="dxa"/>
                <w:tcBorders>
                  <w:top w:val="single" w:sz="4" w:space="0" w:color="auto"/>
                  <w:bottom w:val="single" w:sz="4" w:space="0" w:color="auto"/>
                </w:tcBorders>
              </w:tcPr>
              <w:p>
                <w:pPr>
                  <w:overflowPunct w:val="0"/>
                  <w:jc w:val="center"/>
                  <w:textAlignment w:val="baseline"/>
                </w:pPr>
              </w:p>
            </w:tc>
            <w:tc>
              <w:tcPr>
                <w:tcW w:w="3543" w:type="dxa"/>
                <w:tcBorders>
                  <w:top w:val="single" w:sz="4" w:space="0" w:color="auto"/>
                  <w:bottom w:val="single" w:sz="4" w:space="0" w:color="auto"/>
                </w:tcBorders>
              </w:tcPr>
              <w:p>
                <w:pPr>
                  <w:overflowPunct w:val="0"/>
                  <w:jc w:val="center"/>
                  <w:textAlignment w:val="baseline"/>
                </w:pPr>
              </w:p>
            </w:tc>
            <w:tc>
              <w:tcPr>
                <w:tcW w:w="1560" w:type="dxa"/>
                <w:tcBorders>
                  <w:top w:val="single" w:sz="4" w:space="0" w:color="auto"/>
                  <w:bottom w:val="single" w:sz="4" w:space="0" w:color="auto"/>
                </w:tcBorders>
              </w:tcPr>
              <w:p>
                <w:pPr>
                  <w:overflowPunct w:val="0"/>
                  <w:jc w:val="center"/>
                  <w:textAlignment w:val="baseline"/>
                </w:pPr>
              </w:p>
            </w:tc>
            <w:tc>
              <w:tcPr>
                <w:tcW w:w="1984" w:type="dxa"/>
                <w:tcBorders>
                  <w:top w:val="single" w:sz="4" w:space="0" w:color="auto"/>
                  <w:bottom w:val="single" w:sz="4" w:space="0" w:color="auto"/>
                </w:tcBorders>
              </w:tcPr>
              <w:p>
                <w:pPr>
                  <w:overflowPunct w:val="0"/>
                  <w:jc w:val="center"/>
                  <w:textAlignment w:val="baseline"/>
                </w:pPr>
              </w:p>
            </w:tc>
          </w:tr>
          <w:tr>
            <w:tc>
              <w:tcPr>
                <w:tcW w:w="2802" w:type="dxa"/>
                <w:tcBorders>
                  <w:top w:val="single" w:sz="4" w:space="0" w:color="auto"/>
                  <w:bottom w:val="single" w:sz="4" w:space="0" w:color="auto"/>
                </w:tcBorders>
              </w:tcPr>
              <w:p>
                <w:pPr>
                  <w:overflowPunct w:val="0"/>
                  <w:jc w:val="center"/>
                  <w:textAlignment w:val="baseline"/>
                </w:pPr>
              </w:p>
            </w:tc>
            <w:tc>
              <w:tcPr>
                <w:tcW w:w="3543" w:type="dxa"/>
                <w:tcBorders>
                  <w:top w:val="single" w:sz="4" w:space="0" w:color="auto"/>
                  <w:bottom w:val="single" w:sz="4" w:space="0" w:color="auto"/>
                </w:tcBorders>
              </w:tcPr>
              <w:p>
                <w:pPr>
                  <w:overflowPunct w:val="0"/>
                  <w:jc w:val="center"/>
                  <w:textAlignment w:val="baseline"/>
                </w:pPr>
              </w:p>
            </w:tc>
            <w:tc>
              <w:tcPr>
                <w:tcW w:w="1560" w:type="dxa"/>
                <w:tcBorders>
                  <w:top w:val="single" w:sz="4" w:space="0" w:color="auto"/>
                  <w:bottom w:val="single" w:sz="4" w:space="0" w:color="auto"/>
                </w:tcBorders>
              </w:tcPr>
              <w:p>
                <w:pPr>
                  <w:overflowPunct w:val="0"/>
                  <w:jc w:val="center"/>
                  <w:textAlignment w:val="baseline"/>
                </w:pPr>
              </w:p>
            </w:tc>
            <w:tc>
              <w:tcPr>
                <w:tcW w:w="1984" w:type="dxa"/>
                <w:tcBorders>
                  <w:top w:val="single" w:sz="4" w:space="0" w:color="auto"/>
                  <w:bottom w:val="single" w:sz="4" w:space="0" w:color="auto"/>
                </w:tcBorders>
              </w:tcPr>
              <w:p>
                <w:pPr>
                  <w:overflowPunct w:val="0"/>
                  <w:jc w:val="center"/>
                  <w:textAlignment w:val="baseline"/>
                </w:pPr>
              </w:p>
            </w:tc>
          </w:tr>
          <w:tr>
            <w:tc>
              <w:tcPr>
                <w:tcW w:w="2802" w:type="dxa"/>
                <w:tcBorders>
                  <w:top w:val="single" w:sz="4" w:space="0" w:color="auto"/>
                </w:tcBorders>
              </w:tcPr>
              <w:p>
                <w:pPr>
                  <w:overflowPunct w:val="0"/>
                  <w:jc w:val="center"/>
                  <w:textAlignment w:val="baseline"/>
                </w:pPr>
              </w:p>
            </w:tc>
            <w:tc>
              <w:tcPr>
                <w:tcW w:w="3543" w:type="dxa"/>
                <w:tcBorders>
                  <w:top w:val="single" w:sz="4" w:space="0" w:color="auto"/>
                </w:tcBorders>
              </w:tcPr>
              <w:p>
                <w:pPr>
                  <w:overflowPunct w:val="0"/>
                  <w:jc w:val="center"/>
                  <w:textAlignment w:val="baseline"/>
                </w:pPr>
              </w:p>
            </w:tc>
            <w:tc>
              <w:tcPr>
                <w:tcW w:w="1560" w:type="dxa"/>
                <w:tcBorders>
                  <w:top w:val="single" w:sz="4" w:space="0" w:color="auto"/>
                </w:tcBorders>
              </w:tcPr>
              <w:p>
                <w:pPr>
                  <w:overflowPunct w:val="0"/>
                  <w:jc w:val="center"/>
                  <w:textAlignment w:val="baseline"/>
                </w:pPr>
              </w:p>
            </w:tc>
            <w:tc>
              <w:tcPr>
                <w:tcW w:w="1984" w:type="dxa"/>
                <w:tcBorders>
                  <w:top w:val="single" w:sz="4" w:space="0" w:color="auto"/>
                </w:tcBorders>
              </w:tcPr>
              <w:p>
                <w:pPr>
                  <w:overflowPunct w:val="0"/>
                  <w:jc w:val="center"/>
                  <w:textAlignment w:val="baseline"/>
                </w:pPr>
              </w:p>
            </w:tc>
          </w:tr>
          <w:tr>
            <w:tc>
              <w:tcPr>
                <w:tcW w:w="2802" w:type="dxa"/>
                <w:tcBorders>
                  <w:top w:val="single" w:sz="4" w:space="0" w:color="auto"/>
                </w:tcBorders>
              </w:tcPr>
              <w:p>
                <w:pPr>
                  <w:overflowPunct w:val="0"/>
                  <w:jc w:val="center"/>
                  <w:textAlignment w:val="baseline"/>
                </w:pPr>
              </w:p>
            </w:tc>
            <w:tc>
              <w:tcPr>
                <w:tcW w:w="3543" w:type="dxa"/>
                <w:tcBorders>
                  <w:top w:val="single" w:sz="4" w:space="0" w:color="auto"/>
                </w:tcBorders>
              </w:tcPr>
              <w:p>
                <w:pPr>
                  <w:overflowPunct w:val="0"/>
                  <w:jc w:val="center"/>
                  <w:textAlignment w:val="baseline"/>
                </w:pPr>
              </w:p>
            </w:tc>
            <w:tc>
              <w:tcPr>
                <w:tcW w:w="1560" w:type="dxa"/>
                <w:tcBorders>
                  <w:top w:val="single" w:sz="4" w:space="0" w:color="auto"/>
                </w:tcBorders>
              </w:tcPr>
              <w:p>
                <w:pPr>
                  <w:overflowPunct w:val="0"/>
                  <w:jc w:val="center"/>
                  <w:textAlignment w:val="baseline"/>
                </w:pPr>
              </w:p>
            </w:tc>
            <w:tc>
              <w:tcPr>
                <w:tcW w:w="1984" w:type="dxa"/>
                <w:tcBorders>
                  <w:top w:val="single" w:sz="4" w:space="0" w:color="auto"/>
                </w:tcBorders>
              </w:tcPr>
              <w:p>
                <w:pPr>
                  <w:overflowPunct w:val="0"/>
                  <w:jc w:val="center"/>
                  <w:textAlignment w:val="baseline"/>
                </w:pPr>
              </w:p>
            </w:tc>
          </w:tr>
          <w:tr>
            <w:tc>
              <w:tcPr>
                <w:tcW w:w="2802" w:type="dxa"/>
                <w:tcBorders>
                  <w:top w:val="single" w:sz="4" w:space="0" w:color="auto"/>
                </w:tcBorders>
              </w:tcPr>
              <w:p>
                <w:pPr>
                  <w:overflowPunct w:val="0"/>
                  <w:jc w:val="center"/>
                  <w:textAlignment w:val="baseline"/>
                </w:pPr>
              </w:p>
            </w:tc>
            <w:tc>
              <w:tcPr>
                <w:tcW w:w="3543" w:type="dxa"/>
                <w:tcBorders>
                  <w:top w:val="single" w:sz="4" w:space="0" w:color="auto"/>
                </w:tcBorders>
              </w:tcPr>
              <w:p>
                <w:pPr>
                  <w:overflowPunct w:val="0"/>
                  <w:jc w:val="center"/>
                  <w:textAlignment w:val="baseline"/>
                </w:pPr>
              </w:p>
            </w:tc>
            <w:tc>
              <w:tcPr>
                <w:tcW w:w="1560" w:type="dxa"/>
                <w:tcBorders>
                  <w:top w:val="single" w:sz="4" w:space="0" w:color="auto"/>
                </w:tcBorders>
              </w:tcPr>
              <w:p>
                <w:pPr>
                  <w:overflowPunct w:val="0"/>
                  <w:jc w:val="center"/>
                  <w:textAlignment w:val="baseline"/>
                </w:pPr>
              </w:p>
            </w:tc>
            <w:tc>
              <w:tcPr>
                <w:tcW w:w="1984" w:type="dxa"/>
                <w:tcBorders>
                  <w:top w:val="single" w:sz="4" w:space="0" w:color="auto"/>
                </w:tcBorders>
              </w:tcPr>
              <w:p>
                <w:pPr>
                  <w:overflowPunct w:val="0"/>
                  <w:jc w:val="center"/>
                  <w:textAlignment w:val="baseline"/>
                </w:pPr>
              </w:p>
            </w:tc>
          </w:tr>
          <w:tr>
            <w:tc>
              <w:tcPr>
                <w:tcW w:w="2802" w:type="dxa"/>
                <w:tcBorders>
                  <w:top w:val="single" w:sz="4" w:space="0" w:color="auto"/>
                </w:tcBorders>
              </w:tcPr>
              <w:p>
                <w:pPr>
                  <w:overflowPunct w:val="0"/>
                  <w:jc w:val="center"/>
                  <w:textAlignment w:val="baseline"/>
                </w:pPr>
              </w:p>
            </w:tc>
            <w:tc>
              <w:tcPr>
                <w:tcW w:w="3543" w:type="dxa"/>
                <w:tcBorders>
                  <w:top w:val="single" w:sz="4" w:space="0" w:color="auto"/>
                </w:tcBorders>
              </w:tcPr>
              <w:p>
                <w:pPr>
                  <w:overflowPunct w:val="0"/>
                  <w:jc w:val="center"/>
                  <w:textAlignment w:val="baseline"/>
                </w:pPr>
              </w:p>
            </w:tc>
            <w:tc>
              <w:tcPr>
                <w:tcW w:w="1560" w:type="dxa"/>
                <w:tcBorders>
                  <w:top w:val="single" w:sz="4" w:space="0" w:color="auto"/>
                </w:tcBorders>
              </w:tcPr>
              <w:p>
                <w:pPr>
                  <w:overflowPunct w:val="0"/>
                  <w:jc w:val="center"/>
                  <w:textAlignment w:val="baseline"/>
                </w:pPr>
              </w:p>
            </w:tc>
            <w:tc>
              <w:tcPr>
                <w:tcW w:w="1984" w:type="dxa"/>
                <w:tcBorders>
                  <w:top w:val="single" w:sz="4" w:space="0" w:color="auto"/>
                </w:tcBorders>
              </w:tcPr>
              <w:p>
                <w:pPr>
                  <w:overflowPunct w:val="0"/>
                  <w:jc w:val="center"/>
                  <w:textAlignment w:val="baseline"/>
                </w:pPr>
              </w:p>
            </w:tc>
          </w:tr>
          <w:tr>
            <w:tc>
              <w:tcPr>
                <w:tcW w:w="2802" w:type="dxa"/>
                <w:tcBorders>
                  <w:top w:val="single" w:sz="4" w:space="0" w:color="auto"/>
                </w:tcBorders>
              </w:tcPr>
              <w:p>
                <w:pPr>
                  <w:overflowPunct w:val="0"/>
                  <w:jc w:val="center"/>
                  <w:textAlignment w:val="baseline"/>
                </w:pPr>
              </w:p>
            </w:tc>
            <w:tc>
              <w:tcPr>
                <w:tcW w:w="3543" w:type="dxa"/>
                <w:tcBorders>
                  <w:top w:val="single" w:sz="4" w:space="0" w:color="auto"/>
                </w:tcBorders>
              </w:tcPr>
              <w:p>
                <w:pPr>
                  <w:overflowPunct w:val="0"/>
                  <w:jc w:val="center"/>
                  <w:textAlignment w:val="baseline"/>
                </w:pPr>
              </w:p>
            </w:tc>
            <w:tc>
              <w:tcPr>
                <w:tcW w:w="1560" w:type="dxa"/>
                <w:tcBorders>
                  <w:top w:val="single" w:sz="4" w:space="0" w:color="auto"/>
                </w:tcBorders>
              </w:tcPr>
              <w:p>
                <w:pPr>
                  <w:overflowPunct w:val="0"/>
                  <w:jc w:val="center"/>
                  <w:textAlignment w:val="baseline"/>
                </w:pPr>
              </w:p>
            </w:tc>
            <w:tc>
              <w:tcPr>
                <w:tcW w:w="1984" w:type="dxa"/>
                <w:tcBorders>
                  <w:top w:val="single" w:sz="4" w:space="0" w:color="auto"/>
                </w:tcBorders>
              </w:tcPr>
              <w:p>
                <w:pPr>
                  <w:overflowPunct w:val="0"/>
                  <w:jc w:val="center"/>
                  <w:textAlignment w:val="baseline"/>
                </w:pPr>
              </w:p>
            </w:tc>
          </w:tr>
          <w:tr>
            <w:tc>
              <w:tcPr>
                <w:tcW w:w="2802" w:type="dxa"/>
                <w:tcBorders>
                  <w:top w:val="single" w:sz="4" w:space="0" w:color="auto"/>
                </w:tcBorders>
              </w:tcPr>
              <w:p>
                <w:pPr>
                  <w:overflowPunct w:val="0"/>
                  <w:jc w:val="center"/>
                  <w:textAlignment w:val="baseline"/>
                </w:pPr>
              </w:p>
            </w:tc>
            <w:tc>
              <w:tcPr>
                <w:tcW w:w="3543" w:type="dxa"/>
                <w:tcBorders>
                  <w:top w:val="single" w:sz="4" w:space="0" w:color="auto"/>
                </w:tcBorders>
              </w:tcPr>
              <w:p>
                <w:pPr>
                  <w:overflowPunct w:val="0"/>
                  <w:jc w:val="center"/>
                  <w:textAlignment w:val="baseline"/>
                </w:pPr>
              </w:p>
            </w:tc>
            <w:tc>
              <w:tcPr>
                <w:tcW w:w="1560" w:type="dxa"/>
                <w:tcBorders>
                  <w:top w:val="single" w:sz="4" w:space="0" w:color="auto"/>
                </w:tcBorders>
              </w:tcPr>
              <w:p>
                <w:pPr>
                  <w:overflowPunct w:val="0"/>
                  <w:jc w:val="center"/>
                  <w:textAlignment w:val="baseline"/>
                </w:pPr>
              </w:p>
            </w:tc>
            <w:tc>
              <w:tcPr>
                <w:tcW w:w="1984" w:type="dxa"/>
                <w:tcBorders>
                  <w:top w:val="single" w:sz="4" w:space="0" w:color="auto"/>
                </w:tcBorders>
              </w:tcPr>
              <w:p>
                <w:pPr>
                  <w:overflowPunct w:val="0"/>
                  <w:jc w:val="center"/>
                  <w:textAlignment w:val="baseline"/>
                </w:pPr>
              </w:p>
            </w:tc>
          </w:tr>
          <w:tr>
            <w:tc>
              <w:tcPr>
                <w:tcW w:w="2802" w:type="dxa"/>
                <w:tcBorders>
                  <w:top w:val="single" w:sz="4" w:space="0" w:color="auto"/>
                </w:tcBorders>
              </w:tcPr>
              <w:p>
                <w:pPr>
                  <w:overflowPunct w:val="0"/>
                  <w:jc w:val="center"/>
                  <w:textAlignment w:val="baseline"/>
                </w:pPr>
              </w:p>
            </w:tc>
            <w:tc>
              <w:tcPr>
                <w:tcW w:w="3543" w:type="dxa"/>
                <w:tcBorders>
                  <w:top w:val="single" w:sz="4" w:space="0" w:color="auto"/>
                </w:tcBorders>
              </w:tcPr>
              <w:p>
                <w:pPr>
                  <w:overflowPunct w:val="0"/>
                  <w:jc w:val="center"/>
                  <w:textAlignment w:val="baseline"/>
                </w:pPr>
              </w:p>
            </w:tc>
            <w:tc>
              <w:tcPr>
                <w:tcW w:w="1560" w:type="dxa"/>
                <w:tcBorders>
                  <w:top w:val="single" w:sz="4" w:space="0" w:color="auto"/>
                </w:tcBorders>
              </w:tcPr>
              <w:p>
                <w:pPr>
                  <w:overflowPunct w:val="0"/>
                  <w:jc w:val="center"/>
                  <w:textAlignment w:val="baseline"/>
                </w:pPr>
              </w:p>
            </w:tc>
            <w:tc>
              <w:tcPr>
                <w:tcW w:w="1984" w:type="dxa"/>
                <w:tcBorders>
                  <w:top w:val="single" w:sz="4" w:space="0" w:color="auto"/>
                </w:tcBorders>
              </w:tcPr>
              <w:p>
                <w:pPr>
                  <w:overflowPunct w:val="0"/>
                  <w:jc w:val="center"/>
                  <w:textAlignment w:val="baseline"/>
                </w:pPr>
              </w:p>
            </w:tc>
          </w:tr>
          <w:tr>
            <w:tc>
              <w:tcPr>
                <w:tcW w:w="2802" w:type="dxa"/>
                <w:tcBorders>
                  <w:top w:val="single" w:sz="4" w:space="0" w:color="auto"/>
                </w:tcBorders>
              </w:tcPr>
              <w:p>
                <w:pPr>
                  <w:overflowPunct w:val="0"/>
                  <w:jc w:val="center"/>
                  <w:textAlignment w:val="baseline"/>
                </w:pPr>
              </w:p>
            </w:tc>
            <w:tc>
              <w:tcPr>
                <w:tcW w:w="3543" w:type="dxa"/>
                <w:tcBorders>
                  <w:top w:val="single" w:sz="4" w:space="0" w:color="auto"/>
                </w:tcBorders>
              </w:tcPr>
              <w:p>
                <w:pPr>
                  <w:overflowPunct w:val="0"/>
                  <w:jc w:val="center"/>
                  <w:textAlignment w:val="baseline"/>
                </w:pPr>
              </w:p>
            </w:tc>
            <w:tc>
              <w:tcPr>
                <w:tcW w:w="1560" w:type="dxa"/>
                <w:tcBorders>
                  <w:top w:val="single" w:sz="4" w:space="0" w:color="auto"/>
                </w:tcBorders>
              </w:tcPr>
              <w:p>
                <w:pPr>
                  <w:overflowPunct w:val="0"/>
                  <w:jc w:val="center"/>
                  <w:textAlignment w:val="baseline"/>
                </w:pPr>
              </w:p>
            </w:tc>
            <w:tc>
              <w:tcPr>
                <w:tcW w:w="1984" w:type="dxa"/>
                <w:tcBorders>
                  <w:top w:val="single" w:sz="4" w:space="0" w:color="auto"/>
                </w:tcBorders>
              </w:tcPr>
              <w:p>
                <w:pPr>
                  <w:overflowPunct w:val="0"/>
                  <w:jc w:val="center"/>
                  <w:textAlignment w:val="baseline"/>
                </w:pPr>
              </w:p>
            </w:tc>
          </w:tr>
          <w:tr>
            <w:tc>
              <w:tcPr>
                <w:tcW w:w="2802" w:type="dxa"/>
                <w:tcBorders>
                  <w:top w:val="single" w:sz="4" w:space="0" w:color="auto"/>
                </w:tcBorders>
              </w:tcPr>
              <w:p>
                <w:pPr>
                  <w:overflowPunct w:val="0"/>
                  <w:jc w:val="center"/>
                  <w:textAlignment w:val="baseline"/>
                </w:pPr>
              </w:p>
            </w:tc>
            <w:tc>
              <w:tcPr>
                <w:tcW w:w="3543" w:type="dxa"/>
                <w:tcBorders>
                  <w:top w:val="single" w:sz="4" w:space="0" w:color="auto"/>
                </w:tcBorders>
              </w:tcPr>
              <w:p>
                <w:pPr>
                  <w:overflowPunct w:val="0"/>
                  <w:jc w:val="center"/>
                  <w:textAlignment w:val="baseline"/>
                </w:pPr>
              </w:p>
            </w:tc>
            <w:tc>
              <w:tcPr>
                <w:tcW w:w="1560" w:type="dxa"/>
                <w:tcBorders>
                  <w:top w:val="single" w:sz="4" w:space="0" w:color="auto"/>
                </w:tcBorders>
              </w:tcPr>
              <w:p>
                <w:pPr>
                  <w:overflowPunct w:val="0"/>
                  <w:jc w:val="center"/>
                  <w:textAlignment w:val="baseline"/>
                </w:pPr>
              </w:p>
            </w:tc>
            <w:tc>
              <w:tcPr>
                <w:tcW w:w="1984" w:type="dxa"/>
                <w:tcBorders>
                  <w:top w:val="single" w:sz="4" w:space="0" w:color="auto"/>
                </w:tcBorders>
              </w:tcPr>
              <w:p>
                <w:pPr>
                  <w:overflowPunct w:val="0"/>
                  <w:jc w:val="center"/>
                  <w:textAlignment w:val="baseline"/>
                </w:pPr>
              </w:p>
            </w:tc>
          </w:tr>
          <w:tr>
            <w:tc>
              <w:tcPr>
                <w:tcW w:w="2802" w:type="dxa"/>
                <w:tcBorders>
                  <w:top w:val="single" w:sz="4" w:space="0" w:color="auto"/>
                </w:tcBorders>
              </w:tcPr>
              <w:p>
                <w:pPr>
                  <w:overflowPunct w:val="0"/>
                  <w:jc w:val="center"/>
                  <w:textAlignment w:val="baseline"/>
                </w:pPr>
              </w:p>
            </w:tc>
            <w:tc>
              <w:tcPr>
                <w:tcW w:w="3543" w:type="dxa"/>
                <w:tcBorders>
                  <w:top w:val="single" w:sz="4" w:space="0" w:color="auto"/>
                </w:tcBorders>
              </w:tcPr>
              <w:p>
                <w:pPr>
                  <w:overflowPunct w:val="0"/>
                  <w:jc w:val="center"/>
                  <w:textAlignment w:val="baseline"/>
                </w:pPr>
              </w:p>
            </w:tc>
            <w:tc>
              <w:tcPr>
                <w:tcW w:w="1560" w:type="dxa"/>
                <w:tcBorders>
                  <w:top w:val="single" w:sz="4" w:space="0" w:color="auto"/>
                </w:tcBorders>
              </w:tcPr>
              <w:p>
                <w:pPr>
                  <w:overflowPunct w:val="0"/>
                  <w:jc w:val="center"/>
                  <w:textAlignment w:val="baseline"/>
                </w:pPr>
              </w:p>
            </w:tc>
            <w:tc>
              <w:tcPr>
                <w:tcW w:w="1984" w:type="dxa"/>
                <w:tcBorders>
                  <w:top w:val="single" w:sz="4" w:space="0" w:color="auto"/>
                </w:tcBorders>
              </w:tcPr>
              <w:p>
                <w:pPr>
                  <w:overflowPunct w:val="0"/>
                  <w:jc w:val="center"/>
                  <w:textAlignment w:val="baseline"/>
                </w:pPr>
              </w:p>
            </w:tc>
          </w:tr>
          <w:tr>
            <w:tc>
              <w:tcPr>
                <w:tcW w:w="2802" w:type="dxa"/>
              </w:tcPr>
              <w:p>
                <w:pPr>
                  <w:overflowPunct w:val="0"/>
                  <w:jc w:val="center"/>
                  <w:textAlignment w:val="baseline"/>
                </w:pPr>
              </w:p>
            </w:tc>
            <w:tc>
              <w:tcPr>
                <w:tcW w:w="3543" w:type="dxa"/>
              </w:tcPr>
              <w:p>
                <w:pPr>
                  <w:overflowPunct w:val="0"/>
                  <w:jc w:val="center"/>
                  <w:textAlignment w:val="baseline"/>
                </w:pPr>
              </w:p>
            </w:tc>
            <w:tc>
              <w:tcPr>
                <w:tcW w:w="1560" w:type="dxa"/>
              </w:tcPr>
              <w:p>
                <w:pPr>
                  <w:overflowPunct w:val="0"/>
                  <w:jc w:val="center"/>
                  <w:textAlignment w:val="baseline"/>
                </w:pPr>
              </w:p>
            </w:tc>
            <w:tc>
              <w:tcPr>
                <w:tcW w:w="1984" w:type="dxa"/>
              </w:tcPr>
              <w:p>
                <w:pPr>
                  <w:overflowPunct w:val="0"/>
                  <w:jc w:val="center"/>
                  <w:textAlignment w:val="baseline"/>
                </w:pPr>
              </w:p>
            </w:tc>
          </w:tr>
          <w:tr>
            <w:trPr>
              <w:cantSplit/>
            </w:trPr>
            <w:tc>
              <w:tcPr>
                <w:tcW w:w="6345" w:type="dxa"/>
                <w:gridSpan w:val="2"/>
              </w:tcPr>
              <w:p>
                <w:pPr>
                  <w:tabs>
                    <w:tab w:val="center" w:pos="4153"/>
                    <w:tab w:val="right" w:pos="8306"/>
                  </w:tabs>
                  <w:overflowPunct w:val="0"/>
                  <w:jc w:val="both"/>
                  <w:textAlignment w:val="baseline"/>
                </w:pPr>
                <w:r>
                  <w:t>Iš viso</w:t>
                </w:r>
              </w:p>
            </w:tc>
            <w:tc>
              <w:tcPr>
                <w:tcW w:w="1560" w:type="dxa"/>
              </w:tcPr>
              <w:p>
                <w:pPr>
                  <w:overflowPunct w:val="0"/>
                  <w:jc w:val="center"/>
                  <w:textAlignment w:val="baseline"/>
                </w:pPr>
              </w:p>
            </w:tc>
            <w:tc>
              <w:tcPr>
                <w:tcW w:w="1984" w:type="dxa"/>
              </w:tcPr>
              <w:p>
                <w:pPr>
                  <w:overflowPunct w:val="0"/>
                  <w:jc w:val="center"/>
                  <w:textAlignment w:val="baseline"/>
                </w:pPr>
              </w:p>
            </w:tc>
          </w:tr>
        </w:tbl>
        <w:p>
          <w:pPr>
            <w:overflowPunct w:val="0"/>
            <w:jc w:val="both"/>
            <w:textAlignment w:val="baseline"/>
          </w:pPr>
        </w:p>
        <w:p>
          <w:pPr>
            <w:overflowPunct w:val="0"/>
            <w:jc w:val="both"/>
            <w:textAlignment w:val="baseline"/>
          </w:pPr>
          <w:r>
            <w:t>Ūkininkas</w:t>
            <w:tab/>
            <w:tab/>
            <w:t>_________________</w:t>
            <w:tab/>
            <w:tab/>
            <w:t>_________________________</w:t>
          </w:r>
        </w:p>
        <w:p>
          <w:pPr>
            <w:overflowPunct w:val="0"/>
            <w:ind w:left="1298" w:firstLine="1298"/>
            <w:jc w:val="both"/>
            <w:textAlignment w:val="baseline"/>
          </w:pPr>
          <w:r>
            <w:rPr>
              <w:sz w:val="20"/>
            </w:rPr>
            <w:t>(parašas)</w:t>
            <w:tab/>
          </w:r>
          <w:r>
            <w:tab/>
            <w:tab/>
          </w:r>
          <w:r>
            <w:rPr>
              <w:sz w:val="20"/>
            </w:rPr>
            <w:t>(vardas, pavardė)</w:t>
          </w:r>
        </w:p>
        <w:sdt>
          <w:sdtPr>
            <w:alias w:val="pabaiga"/>
            <w:tag w:val="part_a3c4acd51ba34ec4a4ebc22d126075ca"/>
            <w:lock w:val="sdtLocked"/>
            <w:richText/>
          </w:sdtPr>
          <w:sdtContent>
            <w:p>
              <w:pPr>
                <w:overflowPunct w:val="0"/>
                <w:jc w:val="center"/>
                <w:textAlignment w:val="baseline"/>
              </w:pPr>
              <w:r>
                <w:t>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ba5c0506f11e4a698d921e3e46801">
            <w:r w:rsidRPr="00532B9F">
              <w:rPr>
                <w:rFonts w:ascii="Times New Roman" w:eastAsia="MS Mincho" w:hAnsi="Times New Roman"/>
                <w:sz w:val="20"/>
                <w:i/>
                <w:iCs/>
                <w:color w:val="0000FF" w:themeColor="hyperlink"/>
                <w:u w:val="single"/>
              </w:rPr>
              <w:t>3D-725</w:t>
            </w:r>
          </w:fldSimple>
          <w:r>
            <w:rPr>
              <w:rFonts w:ascii="Times New Roman" w:eastAsia="MS Mincho" w:hAnsi="Times New Roman"/>
              <w:sz w:val="20"/>
              <w:i/>
              <w:iCs/>
            </w:rPr>
            <w:t>,
2014-10-10,
paskelbta TAR 2014-10-10, i. k. 2014-13951            </w:t>
          </w:r>
        </w:p>
        <w:p/>
      </w:sdtContent>
    </w:sdt>
    <w:sdt>
      <w:sdtPr>
        <w:alias w:val="3 pr."/>
        <w:tag w:val="part_5b24a1b5dd3e4409bc189eb32758f925"/>
        <w:lock w:val="sdtLocked"/>
        <w:richText/>
      </w:sdtPr>
      <w:sdtContent>
        <w:p>
          <w:pPr>
            <w:overflowPunct w:val="0"/>
            <w:jc w:val="both"/>
            <w:textAlignment w:val="baseline"/>
          </w:pPr>
          <w:r>
            <w:br w:type="page"/>
          </w:r>
        </w:p>
        <w:p>
          <w:pPr>
            <w:overflowPunct w:val="0"/>
            <w:ind w:left="3402" w:firstLine="2977"/>
            <w:jc w:val="both"/>
            <w:textAlignment w:val="baseline"/>
            <w:rPr>
              <w:szCs w:val="24"/>
            </w:rPr>
          </w:pPr>
          <w:r>
            <w:rPr>
              <w:szCs w:val="24"/>
            </w:rPr>
            <w:t>Ūkininko ūkio veiklos</w:t>
          </w:r>
        </w:p>
        <w:p>
          <w:pPr>
            <w:overflowPunct w:val="0"/>
            <w:ind w:left="6379"/>
            <w:jc w:val="both"/>
            <w:textAlignment w:val="baseline"/>
            <w:rPr>
              <w:szCs w:val="24"/>
            </w:rPr>
          </w:pPr>
          <w:r>
            <w:rPr>
              <w:szCs w:val="24"/>
            </w:rPr>
            <w:t>buhalterinės apskaitos tvarkymo</w:t>
          </w:r>
        </w:p>
        <w:p>
          <w:pPr>
            <w:overflowPunct w:val="0"/>
            <w:ind w:left="6379"/>
            <w:jc w:val="both"/>
            <w:textAlignment w:val="baseline"/>
            <w:rPr>
              <w:szCs w:val="24"/>
            </w:rPr>
          </w:pPr>
          <w:r>
            <w:rPr>
              <w:szCs w:val="24"/>
            </w:rPr>
            <w:t>supaprastintąja apskaitos sistema</w:t>
          </w:r>
        </w:p>
        <w:p>
          <w:pPr>
            <w:overflowPunct w:val="0"/>
            <w:ind w:left="6379"/>
            <w:jc w:val="both"/>
            <w:textAlignment w:val="baseline"/>
            <w:rPr>
              <w:szCs w:val="24"/>
            </w:rPr>
          </w:pPr>
          <w:r>
            <w:rPr>
              <w:szCs w:val="24"/>
            </w:rPr>
            <w:t xml:space="preserve">rekomendacijų </w:t>
          </w:r>
        </w:p>
        <w:p>
          <w:pPr>
            <w:overflowPunct w:val="0"/>
            <w:ind w:left="6379"/>
            <w:jc w:val="both"/>
            <w:textAlignment w:val="baseline"/>
            <w:rPr>
              <w:szCs w:val="24"/>
            </w:rPr>
          </w:pPr>
          <w:sdt>
            <w:sdtPr>
              <w:alias w:val="Numeris"/>
              <w:tag w:val="nr_5b24a1b5dd3e4409bc189eb32758f925"/>
              <w:lock w:val="sdtLocked"/>
              <w:richText/>
            </w:sdtPr>
            <w:sdtContent>
              <w:r>
                <w:rPr>
                  <w:szCs w:val="24"/>
                </w:rPr>
                <w:t>3</w:t>
              </w:r>
            </w:sdtContent>
          </w:sdt>
          <w:r>
            <w:rPr>
              <w:szCs w:val="24"/>
            </w:rPr>
            <w:t xml:space="preserve">  priedas</w:t>
          </w:r>
        </w:p>
        <w:p>
          <w:pPr>
            <w:keepNext/>
            <w:overflowPunct w:val="0"/>
            <w:jc w:val="center"/>
            <w:textAlignment w:val="baseline"/>
            <w:rPr>
              <w:b/>
            </w:rPr>
          </w:pPr>
        </w:p>
        <w:p>
          <w:pPr>
            <w:overflowPunct w:val="0"/>
            <w:jc w:val="center"/>
            <w:textAlignment w:val="baseline"/>
          </w:pPr>
          <w:r>
            <w:t>Ūkininko ________________________________ ūkis</w:t>
          </w:r>
        </w:p>
        <w:p>
          <w:pPr>
            <w:overflowPunct w:val="0"/>
            <w:jc w:val="center"/>
            <w:textAlignment w:val="baseline"/>
          </w:pPr>
        </w:p>
        <w:p>
          <w:pPr>
            <w:overflowPunct w:val="0"/>
            <w:jc w:val="center"/>
            <w:textAlignment w:val="baseline"/>
            <w:rPr>
              <w:b/>
            </w:rPr>
          </w:pPr>
          <w:r>
            <w:rPr>
              <w:b/>
            </w:rPr>
            <w:t>INVENTORIZACIJOS APRAŠAS</w:t>
          </w:r>
        </w:p>
        <w:p>
          <w:pPr>
            <w:overflowPunct w:val="0"/>
            <w:jc w:val="center"/>
            <w:textAlignment w:val="baseline"/>
          </w:pPr>
        </w:p>
        <w:p>
          <w:pPr>
            <w:overflowPunct w:val="0"/>
            <w:jc w:val="center"/>
            <w:textAlignment w:val="baseline"/>
          </w:pPr>
          <w:r>
            <w:t>_____________ Nr. _____________</w:t>
          </w:r>
        </w:p>
        <w:p>
          <w:pPr>
            <w:overflowPunct w:val="0"/>
            <w:ind w:left="3544"/>
            <w:jc w:val="both"/>
            <w:textAlignment w:val="baseline"/>
            <w:rPr>
              <w:sz w:val="20"/>
            </w:rPr>
          </w:pPr>
          <w:r>
            <w:rPr>
              <w:sz w:val="20"/>
            </w:rPr>
            <w:t>(data)</w:t>
          </w:r>
        </w:p>
        <w:p>
          <w:pPr>
            <w:overflowPunct w:val="0"/>
            <w:ind w:left="3544"/>
            <w:jc w:val="both"/>
            <w:textAlignment w:val="baseline"/>
          </w:pPr>
        </w:p>
        <w:tbl>
          <w:tblPr>
            <w:tblW w:w="9923"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709"/>
            <w:gridCol w:w="4678"/>
            <w:gridCol w:w="992"/>
            <w:gridCol w:w="993"/>
            <w:gridCol w:w="1275"/>
            <w:gridCol w:w="1276"/>
          </w:tblGrid>
          <w:tr>
            <w:trPr>
              <w:cantSplit/>
              <w:trHeight w:val="405"/>
            </w:trPr>
            <w:tc>
              <w:tcPr>
                <w:tcW w:w="709" w:type="dxa"/>
                <w:vMerge w:val="restart"/>
                <w:vAlign w:val="center"/>
              </w:tcPr>
              <w:p>
                <w:pPr>
                  <w:overflowPunct w:val="0"/>
                  <w:jc w:val="center"/>
                  <w:textAlignment w:val="baseline"/>
                </w:pPr>
                <w:r>
                  <w:t>Eil. Nr.</w:t>
                </w:r>
              </w:p>
            </w:tc>
            <w:tc>
              <w:tcPr>
                <w:tcW w:w="4678" w:type="dxa"/>
                <w:vMerge w:val="restart"/>
                <w:vAlign w:val="center"/>
              </w:tcPr>
              <w:p>
                <w:pPr>
                  <w:overflowPunct w:val="0"/>
                  <w:jc w:val="center"/>
                  <w:textAlignment w:val="baseline"/>
                </w:pPr>
                <w:r>
                  <w:t>Vertybių pavadinimai</w:t>
                </w:r>
              </w:p>
            </w:tc>
            <w:tc>
              <w:tcPr>
                <w:tcW w:w="992" w:type="dxa"/>
                <w:vMerge w:val="restart"/>
                <w:vAlign w:val="center"/>
              </w:tcPr>
              <w:p>
                <w:pPr>
                  <w:overflowPunct w:val="0"/>
                  <w:jc w:val="center"/>
                  <w:textAlignment w:val="baseline"/>
                </w:pPr>
                <w:r>
                  <w:t>Mato vienetas</w:t>
                </w:r>
              </w:p>
            </w:tc>
            <w:tc>
              <w:tcPr>
                <w:tcW w:w="3544" w:type="dxa"/>
                <w:gridSpan w:val="3"/>
                <w:vAlign w:val="center"/>
              </w:tcPr>
              <w:p>
                <w:pPr>
                  <w:overflowPunct w:val="0"/>
                  <w:jc w:val="center"/>
                  <w:textAlignment w:val="baseline"/>
                </w:pPr>
                <w:r>
                  <w:t>Inventorizuota</w:t>
                </w:r>
              </w:p>
            </w:tc>
          </w:tr>
          <w:tr>
            <w:trPr>
              <w:cantSplit/>
              <w:trHeight w:val="420"/>
            </w:trPr>
            <w:tc>
              <w:tcPr>
                <w:tcW w:w="709" w:type="dxa"/>
                <w:vMerge/>
                <w:vAlign w:val="center"/>
              </w:tcPr>
              <w:p>
                <w:pPr>
                  <w:overflowPunct w:val="0"/>
                  <w:jc w:val="center"/>
                  <w:textAlignment w:val="baseline"/>
                </w:pPr>
              </w:p>
            </w:tc>
            <w:tc>
              <w:tcPr>
                <w:tcW w:w="4678" w:type="dxa"/>
                <w:vMerge/>
                <w:vAlign w:val="center"/>
              </w:tcPr>
              <w:p>
                <w:pPr>
                  <w:overflowPunct w:val="0"/>
                  <w:jc w:val="center"/>
                  <w:textAlignment w:val="baseline"/>
                </w:pPr>
              </w:p>
            </w:tc>
            <w:tc>
              <w:tcPr>
                <w:tcW w:w="992" w:type="dxa"/>
                <w:vMerge/>
                <w:vAlign w:val="center"/>
              </w:tcPr>
              <w:p>
                <w:pPr>
                  <w:overflowPunct w:val="0"/>
                  <w:jc w:val="center"/>
                  <w:textAlignment w:val="baseline"/>
                </w:pPr>
              </w:p>
            </w:tc>
            <w:tc>
              <w:tcPr>
                <w:tcW w:w="993" w:type="dxa"/>
                <w:vAlign w:val="center"/>
              </w:tcPr>
              <w:p>
                <w:pPr>
                  <w:overflowPunct w:val="0"/>
                  <w:jc w:val="center"/>
                  <w:textAlignment w:val="baseline"/>
                </w:pPr>
                <w:r>
                  <w:t>Kiekis</w:t>
                </w:r>
              </w:p>
            </w:tc>
            <w:tc>
              <w:tcPr>
                <w:tcW w:w="1275" w:type="dxa"/>
                <w:vAlign w:val="center"/>
              </w:tcPr>
              <w:p>
                <w:pPr>
                  <w:overflowPunct w:val="0"/>
                  <w:jc w:val="center"/>
                  <w:textAlignment w:val="baseline"/>
                </w:pPr>
                <w:r>
                  <w:t>Kaina, Eur</w:t>
                </w:r>
              </w:p>
            </w:tc>
            <w:tc>
              <w:tcPr>
                <w:tcW w:w="1276" w:type="dxa"/>
                <w:vAlign w:val="center"/>
              </w:tcPr>
              <w:p>
                <w:pPr>
                  <w:overflowPunct w:val="0"/>
                  <w:jc w:val="center"/>
                  <w:textAlignment w:val="baseline"/>
                </w:pPr>
                <w:r>
                  <w:t>Suma, Eur</w:t>
                </w:r>
              </w:p>
            </w:tc>
          </w:tr>
          <w:tr>
            <w:trPr>
              <w:cantSplit/>
              <w:trHeight w:hRule="exact" w:val="300"/>
            </w:trPr>
            <w:tc>
              <w:tcPr>
                <w:tcW w:w="709" w:type="dxa"/>
              </w:tcPr>
              <w:p>
                <w:pPr>
                  <w:overflowPunct w:val="0"/>
                  <w:jc w:val="both"/>
                  <w:textAlignment w:val="baseline"/>
                </w:pPr>
              </w:p>
            </w:tc>
            <w:tc>
              <w:tcPr>
                <w:tcW w:w="4678" w:type="dxa"/>
              </w:tcPr>
              <w:p>
                <w:pPr>
                  <w:overflowPunct w:val="0"/>
                  <w:jc w:val="both"/>
                  <w:textAlignment w:val="baseline"/>
                </w:pPr>
              </w:p>
            </w:tc>
            <w:tc>
              <w:tcPr>
                <w:tcW w:w="992" w:type="dxa"/>
              </w:tcPr>
              <w:p>
                <w:pPr>
                  <w:overflowPunct w:val="0"/>
                  <w:jc w:val="both"/>
                  <w:textAlignment w:val="baseline"/>
                </w:pPr>
              </w:p>
            </w:tc>
            <w:tc>
              <w:tcPr>
                <w:tcW w:w="993" w:type="dxa"/>
              </w:tcPr>
              <w:p>
                <w:pPr>
                  <w:overflowPunct w:val="0"/>
                  <w:jc w:val="both"/>
                  <w:textAlignment w:val="baseline"/>
                </w:pPr>
              </w:p>
            </w:tc>
            <w:tc>
              <w:tcPr>
                <w:tcW w:w="1275" w:type="dxa"/>
              </w:tcPr>
              <w:p>
                <w:pPr>
                  <w:overflowPunct w:val="0"/>
                  <w:jc w:val="both"/>
                  <w:textAlignment w:val="baseline"/>
                </w:pPr>
              </w:p>
            </w:tc>
            <w:tc>
              <w:tcPr>
                <w:tcW w:w="1276" w:type="dxa"/>
              </w:tcPr>
              <w:p>
                <w:pPr>
                  <w:overflowPunct w:val="0"/>
                  <w:jc w:val="both"/>
                  <w:textAlignment w:val="baseline"/>
                </w:pPr>
              </w:p>
            </w:tc>
          </w:tr>
          <w:tr>
            <w:trPr>
              <w:cantSplit/>
              <w:trHeight w:hRule="exact" w:val="300"/>
            </w:trPr>
            <w:tc>
              <w:tcPr>
                <w:tcW w:w="709" w:type="dxa"/>
              </w:tcPr>
              <w:p>
                <w:pPr>
                  <w:overflowPunct w:val="0"/>
                  <w:jc w:val="both"/>
                  <w:textAlignment w:val="baseline"/>
                </w:pPr>
              </w:p>
            </w:tc>
            <w:tc>
              <w:tcPr>
                <w:tcW w:w="4678" w:type="dxa"/>
              </w:tcPr>
              <w:p>
                <w:pPr>
                  <w:overflowPunct w:val="0"/>
                  <w:jc w:val="both"/>
                  <w:textAlignment w:val="baseline"/>
                </w:pPr>
              </w:p>
            </w:tc>
            <w:tc>
              <w:tcPr>
                <w:tcW w:w="992" w:type="dxa"/>
              </w:tcPr>
              <w:p>
                <w:pPr>
                  <w:overflowPunct w:val="0"/>
                  <w:jc w:val="both"/>
                  <w:textAlignment w:val="baseline"/>
                </w:pPr>
              </w:p>
            </w:tc>
            <w:tc>
              <w:tcPr>
                <w:tcW w:w="993" w:type="dxa"/>
              </w:tcPr>
              <w:p>
                <w:pPr>
                  <w:overflowPunct w:val="0"/>
                  <w:jc w:val="both"/>
                  <w:textAlignment w:val="baseline"/>
                </w:pPr>
              </w:p>
            </w:tc>
            <w:tc>
              <w:tcPr>
                <w:tcW w:w="1275" w:type="dxa"/>
              </w:tcPr>
              <w:p>
                <w:pPr>
                  <w:overflowPunct w:val="0"/>
                  <w:jc w:val="both"/>
                  <w:textAlignment w:val="baseline"/>
                </w:pPr>
              </w:p>
            </w:tc>
            <w:tc>
              <w:tcPr>
                <w:tcW w:w="1276" w:type="dxa"/>
              </w:tcPr>
              <w:p>
                <w:pPr>
                  <w:overflowPunct w:val="0"/>
                  <w:jc w:val="both"/>
                  <w:textAlignment w:val="baseline"/>
                </w:pPr>
              </w:p>
            </w:tc>
          </w:tr>
          <w:tr>
            <w:trPr>
              <w:cantSplit/>
              <w:trHeight w:hRule="exact" w:val="300"/>
            </w:trPr>
            <w:tc>
              <w:tcPr>
                <w:tcW w:w="709" w:type="dxa"/>
              </w:tcPr>
              <w:p>
                <w:pPr>
                  <w:overflowPunct w:val="0"/>
                  <w:jc w:val="both"/>
                  <w:textAlignment w:val="baseline"/>
                </w:pPr>
              </w:p>
            </w:tc>
            <w:tc>
              <w:tcPr>
                <w:tcW w:w="4678" w:type="dxa"/>
              </w:tcPr>
              <w:p>
                <w:pPr>
                  <w:overflowPunct w:val="0"/>
                  <w:jc w:val="both"/>
                  <w:textAlignment w:val="baseline"/>
                </w:pPr>
              </w:p>
            </w:tc>
            <w:tc>
              <w:tcPr>
                <w:tcW w:w="992" w:type="dxa"/>
              </w:tcPr>
              <w:p>
                <w:pPr>
                  <w:overflowPunct w:val="0"/>
                  <w:jc w:val="both"/>
                  <w:textAlignment w:val="baseline"/>
                </w:pPr>
              </w:p>
            </w:tc>
            <w:tc>
              <w:tcPr>
                <w:tcW w:w="993" w:type="dxa"/>
              </w:tcPr>
              <w:p>
                <w:pPr>
                  <w:overflowPunct w:val="0"/>
                  <w:jc w:val="both"/>
                  <w:textAlignment w:val="baseline"/>
                </w:pPr>
              </w:p>
            </w:tc>
            <w:tc>
              <w:tcPr>
                <w:tcW w:w="1275" w:type="dxa"/>
              </w:tcPr>
              <w:p>
                <w:pPr>
                  <w:overflowPunct w:val="0"/>
                  <w:jc w:val="both"/>
                  <w:textAlignment w:val="baseline"/>
                </w:pPr>
              </w:p>
            </w:tc>
            <w:tc>
              <w:tcPr>
                <w:tcW w:w="1276" w:type="dxa"/>
              </w:tcPr>
              <w:p>
                <w:pPr>
                  <w:overflowPunct w:val="0"/>
                  <w:jc w:val="both"/>
                  <w:textAlignment w:val="baseline"/>
                </w:pPr>
              </w:p>
            </w:tc>
          </w:tr>
          <w:tr>
            <w:trPr>
              <w:cantSplit/>
              <w:trHeight w:hRule="exact" w:val="300"/>
            </w:trPr>
            <w:tc>
              <w:tcPr>
                <w:tcW w:w="709" w:type="dxa"/>
              </w:tcPr>
              <w:p>
                <w:pPr>
                  <w:overflowPunct w:val="0"/>
                  <w:jc w:val="both"/>
                  <w:textAlignment w:val="baseline"/>
                </w:pPr>
              </w:p>
            </w:tc>
            <w:tc>
              <w:tcPr>
                <w:tcW w:w="4678" w:type="dxa"/>
              </w:tcPr>
              <w:p>
                <w:pPr>
                  <w:overflowPunct w:val="0"/>
                  <w:jc w:val="both"/>
                  <w:textAlignment w:val="baseline"/>
                </w:pPr>
              </w:p>
            </w:tc>
            <w:tc>
              <w:tcPr>
                <w:tcW w:w="992" w:type="dxa"/>
              </w:tcPr>
              <w:p>
                <w:pPr>
                  <w:overflowPunct w:val="0"/>
                  <w:jc w:val="both"/>
                  <w:textAlignment w:val="baseline"/>
                </w:pPr>
              </w:p>
            </w:tc>
            <w:tc>
              <w:tcPr>
                <w:tcW w:w="993" w:type="dxa"/>
              </w:tcPr>
              <w:p>
                <w:pPr>
                  <w:overflowPunct w:val="0"/>
                  <w:jc w:val="both"/>
                  <w:textAlignment w:val="baseline"/>
                </w:pPr>
              </w:p>
            </w:tc>
            <w:tc>
              <w:tcPr>
                <w:tcW w:w="1275" w:type="dxa"/>
              </w:tcPr>
              <w:p>
                <w:pPr>
                  <w:overflowPunct w:val="0"/>
                  <w:jc w:val="both"/>
                  <w:textAlignment w:val="baseline"/>
                </w:pPr>
              </w:p>
            </w:tc>
            <w:tc>
              <w:tcPr>
                <w:tcW w:w="1276" w:type="dxa"/>
              </w:tcPr>
              <w:p>
                <w:pPr>
                  <w:overflowPunct w:val="0"/>
                  <w:jc w:val="both"/>
                  <w:textAlignment w:val="baseline"/>
                </w:pPr>
              </w:p>
            </w:tc>
          </w:tr>
          <w:tr>
            <w:trPr>
              <w:cantSplit/>
              <w:trHeight w:hRule="exact" w:val="300"/>
            </w:trPr>
            <w:tc>
              <w:tcPr>
                <w:tcW w:w="709" w:type="dxa"/>
              </w:tcPr>
              <w:p>
                <w:pPr>
                  <w:overflowPunct w:val="0"/>
                  <w:jc w:val="both"/>
                  <w:textAlignment w:val="baseline"/>
                </w:pPr>
              </w:p>
            </w:tc>
            <w:tc>
              <w:tcPr>
                <w:tcW w:w="4678" w:type="dxa"/>
              </w:tcPr>
              <w:p>
                <w:pPr>
                  <w:overflowPunct w:val="0"/>
                  <w:jc w:val="both"/>
                  <w:textAlignment w:val="baseline"/>
                </w:pPr>
              </w:p>
            </w:tc>
            <w:tc>
              <w:tcPr>
                <w:tcW w:w="992" w:type="dxa"/>
              </w:tcPr>
              <w:p>
                <w:pPr>
                  <w:overflowPunct w:val="0"/>
                  <w:jc w:val="both"/>
                  <w:textAlignment w:val="baseline"/>
                </w:pPr>
              </w:p>
            </w:tc>
            <w:tc>
              <w:tcPr>
                <w:tcW w:w="993" w:type="dxa"/>
              </w:tcPr>
              <w:p>
                <w:pPr>
                  <w:overflowPunct w:val="0"/>
                  <w:jc w:val="both"/>
                  <w:textAlignment w:val="baseline"/>
                </w:pPr>
              </w:p>
            </w:tc>
            <w:tc>
              <w:tcPr>
                <w:tcW w:w="1275" w:type="dxa"/>
              </w:tcPr>
              <w:p>
                <w:pPr>
                  <w:overflowPunct w:val="0"/>
                  <w:jc w:val="both"/>
                  <w:textAlignment w:val="baseline"/>
                </w:pPr>
              </w:p>
            </w:tc>
            <w:tc>
              <w:tcPr>
                <w:tcW w:w="1276" w:type="dxa"/>
              </w:tcPr>
              <w:p>
                <w:pPr>
                  <w:overflowPunct w:val="0"/>
                  <w:jc w:val="both"/>
                  <w:textAlignment w:val="baseline"/>
                </w:pPr>
              </w:p>
            </w:tc>
          </w:tr>
          <w:tr>
            <w:trPr>
              <w:cantSplit/>
              <w:trHeight w:hRule="exact" w:val="300"/>
            </w:trPr>
            <w:tc>
              <w:tcPr>
                <w:tcW w:w="709" w:type="dxa"/>
              </w:tcPr>
              <w:p>
                <w:pPr>
                  <w:overflowPunct w:val="0"/>
                  <w:jc w:val="both"/>
                  <w:textAlignment w:val="baseline"/>
                </w:pPr>
              </w:p>
            </w:tc>
            <w:tc>
              <w:tcPr>
                <w:tcW w:w="4678" w:type="dxa"/>
              </w:tcPr>
              <w:p>
                <w:pPr>
                  <w:overflowPunct w:val="0"/>
                  <w:jc w:val="both"/>
                  <w:textAlignment w:val="baseline"/>
                </w:pPr>
              </w:p>
            </w:tc>
            <w:tc>
              <w:tcPr>
                <w:tcW w:w="992" w:type="dxa"/>
              </w:tcPr>
              <w:p>
                <w:pPr>
                  <w:overflowPunct w:val="0"/>
                  <w:jc w:val="both"/>
                  <w:textAlignment w:val="baseline"/>
                </w:pPr>
              </w:p>
            </w:tc>
            <w:tc>
              <w:tcPr>
                <w:tcW w:w="993" w:type="dxa"/>
              </w:tcPr>
              <w:p>
                <w:pPr>
                  <w:overflowPunct w:val="0"/>
                  <w:jc w:val="both"/>
                  <w:textAlignment w:val="baseline"/>
                </w:pPr>
              </w:p>
            </w:tc>
            <w:tc>
              <w:tcPr>
                <w:tcW w:w="1275" w:type="dxa"/>
              </w:tcPr>
              <w:p>
                <w:pPr>
                  <w:overflowPunct w:val="0"/>
                  <w:jc w:val="both"/>
                  <w:textAlignment w:val="baseline"/>
                </w:pPr>
              </w:p>
            </w:tc>
            <w:tc>
              <w:tcPr>
                <w:tcW w:w="1276" w:type="dxa"/>
              </w:tcPr>
              <w:p>
                <w:pPr>
                  <w:overflowPunct w:val="0"/>
                  <w:jc w:val="both"/>
                  <w:textAlignment w:val="baseline"/>
                </w:pPr>
              </w:p>
            </w:tc>
          </w:tr>
          <w:tr>
            <w:trPr>
              <w:cantSplit/>
              <w:trHeight w:hRule="exact" w:val="300"/>
            </w:trPr>
            <w:tc>
              <w:tcPr>
                <w:tcW w:w="709" w:type="dxa"/>
              </w:tcPr>
              <w:p>
                <w:pPr>
                  <w:overflowPunct w:val="0"/>
                  <w:jc w:val="both"/>
                  <w:textAlignment w:val="baseline"/>
                </w:pPr>
              </w:p>
            </w:tc>
            <w:tc>
              <w:tcPr>
                <w:tcW w:w="4678" w:type="dxa"/>
              </w:tcPr>
              <w:p>
                <w:pPr>
                  <w:overflowPunct w:val="0"/>
                  <w:jc w:val="both"/>
                  <w:textAlignment w:val="baseline"/>
                </w:pPr>
              </w:p>
            </w:tc>
            <w:tc>
              <w:tcPr>
                <w:tcW w:w="992" w:type="dxa"/>
              </w:tcPr>
              <w:p>
                <w:pPr>
                  <w:overflowPunct w:val="0"/>
                  <w:jc w:val="both"/>
                  <w:textAlignment w:val="baseline"/>
                </w:pPr>
              </w:p>
            </w:tc>
            <w:tc>
              <w:tcPr>
                <w:tcW w:w="993" w:type="dxa"/>
              </w:tcPr>
              <w:p>
                <w:pPr>
                  <w:overflowPunct w:val="0"/>
                  <w:jc w:val="both"/>
                  <w:textAlignment w:val="baseline"/>
                </w:pPr>
              </w:p>
            </w:tc>
            <w:tc>
              <w:tcPr>
                <w:tcW w:w="1275" w:type="dxa"/>
              </w:tcPr>
              <w:p>
                <w:pPr>
                  <w:overflowPunct w:val="0"/>
                  <w:jc w:val="both"/>
                  <w:textAlignment w:val="baseline"/>
                </w:pPr>
              </w:p>
            </w:tc>
            <w:tc>
              <w:tcPr>
                <w:tcW w:w="1276" w:type="dxa"/>
              </w:tcPr>
              <w:p>
                <w:pPr>
                  <w:overflowPunct w:val="0"/>
                  <w:jc w:val="both"/>
                  <w:textAlignment w:val="baseline"/>
                </w:pPr>
              </w:p>
            </w:tc>
          </w:tr>
          <w:tr>
            <w:trPr>
              <w:cantSplit/>
              <w:trHeight w:hRule="exact" w:val="300"/>
            </w:trPr>
            <w:tc>
              <w:tcPr>
                <w:tcW w:w="709" w:type="dxa"/>
              </w:tcPr>
              <w:p>
                <w:pPr>
                  <w:overflowPunct w:val="0"/>
                  <w:jc w:val="both"/>
                  <w:textAlignment w:val="baseline"/>
                </w:pPr>
              </w:p>
            </w:tc>
            <w:tc>
              <w:tcPr>
                <w:tcW w:w="4678" w:type="dxa"/>
              </w:tcPr>
              <w:p>
                <w:pPr>
                  <w:overflowPunct w:val="0"/>
                  <w:jc w:val="both"/>
                  <w:textAlignment w:val="baseline"/>
                </w:pPr>
              </w:p>
            </w:tc>
            <w:tc>
              <w:tcPr>
                <w:tcW w:w="992" w:type="dxa"/>
              </w:tcPr>
              <w:p>
                <w:pPr>
                  <w:overflowPunct w:val="0"/>
                  <w:jc w:val="both"/>
                  <w:textAlignment w:val="baseline"/>
                </w:pPr>
              </w:p>
            </w:tc>
            <w:tc>
              <w:tcPr>
                <w:tcW w:w="993" w:type="dxa"/>
              </w:tcPr>
              <w:p>
                <w:pPr>
                  <w:overflowPunct w:val="0"/>
                  <w:jc w:val="both"/>
                  <w:textAlignment w:val="baseline"/>
                </w:pPr>
              </w:p>
            </w:tc>
            <w:tc>
              <w:tcPr>
                <w:tcW w:w="1275" w:type="dxa"/>
              </w:tcPr>
              <w:p>
                <w:pPr>
                  <w:overflowPunct w:val="0"/>
                  <w:jc w:val="both"/>
                  <w:textAlignment w:val="baseline"/>
                </w:pPr>
              </w:p>
            </w:tc>
            <w:tc>
              <w:tcPr>
                <w:tcW w:w="1276" w:type="dxa"/>
              </w:tcPr>
              <w:p>
                <w:pPr>
                  <w:overflowPunct w:val="0"/>
                  <w:jc w:val="both"/>
                  <w:textAlignment w:val="baseline"/>
                </w:pPr>
              </w:p>
            </w:tc>
          </w:tr>
          <w:tr>
            <w:trPr>
              <w:cantSplit/>
              <w:trHeight w:hRule="exact" w:val="300"/>
            </w:trPr>
            <w:tc>
              <w:tcPr>
                <w:tcW w:w="709" w:type="dxa"/>
              </w:tcPr>
              <w:p>
                <w:pPr>
                  <w:overflowPunct w:val="0"/>
                  <w:jc w:val="both"/>
                  <w:textAlignment w:val="baseline"/>
                </w:pPr>
              </w:p>
            </w:tc>
            <w:tc>
              <w:tcPr>
                <w:tcW w:w="4678" w:type="dxa"/>
              </w:tcPr>
              <w:p>
                <w:pPr>
                  <w:overflowPunct w:val="0"/>
                  <w:jc w:val="both"/>
                  <w:textAlignment w:val="baseline"/>
                </w:pPr>
              </w:p>
            </w:tc>
            <w:tc>
              <w:tcPr>
                <w:tcW w:w="992" w:type="dxa"/>
              </w:tcPr>
              <w:p>
                <w:pPr>
                  <w:overflowPunct w:val="0"/>
                  <w:jc w:val="both"/>
                  <w:textAlignment w:val="baseline"/>
                </w:pPr>
              </w:p>
            </w:tc>
            <w:tc>
              <w:tcPr>
                <w:tcW w:w="993" w:type="dxa"/>
              </w:tcPr>
              <w:p>
                <w:pPr>
                  <w:overflowPunct w:val="0"/>
                  <w:jc w:val="both"/>
                  <w:textAlignment w:val="baseline"/>
                </w:pPr>
              </w:p>
            </w:tc>
            <w:tc>
              <w:tcPr>
                <w:tcW w:w="1275" w:type="dxa"/>
              </w:tcPr>
              <w:p>
                <w:pPr>
                  <w:overflowPunct w:val="0"/>
                  <w:jc w:val="both"/>
                  <w:textAlignment w:val="baseline"/>
                </w:pPr>
              </w:p>
            </w:tc>
            <w:tc>
              <w:tcPr>
                <w:tcW w:w="1276" w:type="dxa"/>
              </w:tcPr>
              <w:p>
                <w:pPr>
                  <w:overflowPunct w:val="0"/>
                  <w:jc w:val="both"/>
                  <w:textAlignment w:val="baseline"/>
                </w:pPr>
              </w:p>
            </w:tc>
          </w:tr>
          <w:tr>
            <w:trPr>
              <w:cantSplit/>
              <w:trHeight w:hRule="exact" w:val="300"/>
            </w:trPr>
            <w:tc>
              <w:tcPr>
                <w:tcW w:w="709" w:type="dxa"/>
              </w:tcPr>
              <w:p>
                <w:pPr>
                  <w:overflowPunct w:val="0"/>
                  <w:jc w:val="both"/>
                  <w:textAlignment w:val="baseline"/>
                </w:pPr>
              </w:p>
            </w:tc>
            <w:tc>
              <w:tcPr>
                <w:tcW w:w="4678" w:type="dxa"/>
              </w:tcPr>
              <w:p>
                <w:pPr>
                  <w:overflowPunct w:val="0"/>
                  <w:jc w:val="both"/>
                  <w:textAlignment w:val="baseline"/>
                </w:pPr>
              </w:p>
            </w:tc>
            <w:tc>
              <w:tcPr>
                <w:tcW w:w="992" w:type="dxa"/>
              </w:tcPr>
              <w:p>
                <w:pPr>
                  <w:overflowPunct w:val="0"/>
                  <w:jc w:val="both"/>
                  <w:textAlignment w:val="baseline"/>
                </w:pPr>
              </w:p>
            </w:tc>
            <w:tc>
              <w:tcPr>
                <w:tcW w:w="993" w:type="dxa"/>
              </w:tcPr>
              <w:p>
                <w:pPr>
                  <w:overflowPunct w:val="0"/>
                  <w:jc w:val="both"/>
                  <w:textAlignment w:val="baseline"/>
                  <w:rPr>
                    <w:b/>
                  </w:rPr>
                </w:pPr>
              </w:p>
            </w:tc>
            <w:tc>
              <w:tcPr>
                <w:tcW w:w="1275" w:type="dxa"/>
              </w:tcPr>
              <w:p>
                <w:pPr>
                  <w:overflowPunct w:val="0"/>
                  <w:jc w:val="both"/>
                  <w:textAlignment w:val="baseline"/>
                  <w:rPr>
                    <w:b/>
                  </w:rPr>
                </w:pPr>
              </w:p>
            </w:tc>
            <w:tc>
              <w:tcPr>
                <w:tcW w:w="1276" w:type="dxa"/>
              </w:tcPr>
              <w:p>
                <w:pPr>
                  <w:overflowPunct w:val="0"/>
                  <w:jc w:val="both"/>
                  <w:textAlignment w:val="baseline"/>
                </w:pPr>
              </w:p>
            </w:tc>
          </w:tr>
          <w:tr>
            <w:trPr>
              <w:cantSplit/>
              <w:trHeight w:hRule="exact" w:val="300"/>
            </w:trPr>
            <w:tc>
              <w:tcPr>
                <w:tcW w:w="709" w:type="dxa"/>
              </w:tcPr>
              <w:p>
                <w:pPr>
                  <w:overflowPunct w:val="0"/>
                  <w:jc w:val="both"/>
                  <w:textAlignment w:val="baseline"/>
                </w:pPr>
              </w:p>
            </w:tc>
            <w:tc>
              <w:tcPr>
                <w:tcW w:w="4678" w:type="dxa"/>
              </w:tcPr>
              <w:p>
                <w:pPr>
                  <w:overflowPunct w:val="0"/>
                  <w:jc w:val="both"/>
                  <w:textAlignment w:val="baseline"/>
                </w:pPr>
              </w:p>
            </w:tc>
            <w:tc>
              <w:tcPr>
                <w:tcW w:w="992" w:type="dxa"/>
              </w:tcPr>
              <w:p>
                <w:pPr>
                  <w:overflowPunct w:val="0"/>
                  <w:jc w:val="both"/>
                  <w:textAlignment w:val="baseline"/>
                </w:pPr>
              </w:p>
            </w:tc>
            <w:tc>
              <w:tcPr>
                <w:tcW w:w="993" w:type="dxa"/>
              </w:tcPr>
              <w:p>
                <w:pPr>
                  <w:overflowPunct w:val="0"/>
                  <w:jc w:val="both"/>
                  <w:textAlignment w:val="baseline"/>
                  <w:rPr>
                    <w:b/>
                  </w:rPr>
                </w:pPr>
              </w:p>
            </w:tc>
            <w:tc>
              <w:tcPr>
                <w:tcW w:w="1275" w:type="dxa"/>
              </w:tcPr>
              <w:p>
                <w:pPr>
                  <w:overflowPunct w:val="0"/>
                  <w:jc w:val="both"/>
                  <w:textAlignment w:val="baseline"/>
                  <w:rPr>
                    <w:b/>
                  </w:rPr>
                </w:pPr>
              </w:p>
            </w:tc>
            <w:tc>
              <w:tcPr>
                <w:tcW w:w="1276" w:type="dxa"/>
              </w:tcPr>
              <w:p>
                <w:pPr>
                  <w:overflowPunct w:val="0"/>
                  <w:jc w:val="both"/>
                  <w:textAlignment w:val="baseline"/>
                </w:pPr>
              </w:p>
            </w:tc>
          </w:tr>
          <w:tr>
            <w:trPr>
              <w:cantSplit/>
              <w:trHeight w:hRule="exact" w:val="300"/>
            </w:trPr>
            <w:tc>
              <w:tcPr>
                <w:tcW w:w="709" w:type="dxa"/>
              </w:tcPr>
              <w:p>
                <w:pPr>
                  <w:overflowPunct w:val="0"/>
                  <w:jc w:val="both"/>
                  <w:textAlignment w:val="baseline"/>
                </w:pPr>
              </w:p>
            </w:tc>
            <w:tc>
              <w:tcPr>
                <w:tcW w:w="4678" w:type="dxa"/>
              </w:tcPr>
              <w:p>
                <w:pPr>
                  <w:overflowPunct w:val="0"/>
                  <w:jc w:val="both"/>
                  <w:textAlignment w:val="baseline"/>
                </w:pPr>
              </w:p>
            </w:tc>
            <w:tc>
              <w:tcPr>
                <w:tcW w:w="992" w:type="dxa"/>
              </w:tcPr>
              <w:p>
                <w:pPr>
                  <w:overflowPunct w:val="0"/>
                  <w:jc w:val="both"/>
                  <w:textAlignment w:val="baseline"/>
                </w:pPr>
              </w:p>
            </w:tc>
            <w:tc>
              <w:tcPr>
                <w:tcW w:w="993" w:type="dxa"/>
              </w:tcPr>
              <w:p>
                <w:pPr>
                  <w:overflowPunct w:val="0"/>
                  <w:jc w:val="both"/>
                  <w:textAlignment w:val="baseline"/>
                  <w:rPr>
                    <w:b/>
                  </w:rPr>
                </w:pPr>
              </w:p>
            </w:tc>
            <w:tc>
              <w:tcPr>
                <w:tcW w:w="1275" w:type="dxa"/>
              </w:tcPr>
              <w:p>
                <w:pPr>
                  <w:overflowPunct w:val="0"/>
                  <w:jc w:val="both"/>
                  <w:textAlignment w:val="baseline"/>
                  <w:rPr>
                    <w:b/>
                  </w:rPr>
                </w:pPr>
              </w:p>
            </w:tc>
            <w:tc>
              <w:tcPr>
                <w:tcW w:w="1276" w:type="dxa"/>
              </w:tcPr>
              <w:p>
                <w:pPr>
                  <w:overflowPunct w:val="0"/>
                  <w:jc w:val="both"/>
                  <w:textAlignment w:val="baseline"/>
                </w:pPr>
              </w:p>
            </w:tc>
          </w:tr>
          <w:tr>
            <w:trPr>
              <w:cantSplit/>
              <w:trHeight w:hRule="exact" w:val="300"/>
            </w:trPr>
            <w:tc>
              <w:tcPr>
                <w:tcW w:w="709" w:type="dxa"/>
              </w:tcPr>
              <w:p>
                <w:pPr>
                  <w:overflowPunct w:val="0"/>
                  <w:jc w:val="both"/>
                  <w:textAlignment w:val="baseline"/>
                </w:pPr>
              </w:p>
            </w:tc>
            <w:tc>
              <w:tcPr>
                <w:tcW w:w="4678" w:type="dxa"/>
              </w:tcPr>
              <w:p>
                <w:pPr>
                  <w:overflowPunct w:val="0"/>
                  <w:jc w:val="both"/>
                  <w:textAlignment w:val="baseline"/>
                </w:pPr>
              </w:p>
            </w:tc>
            <w:tc>
              <w:tcPr>
                <w:tcW w:w="992" w:type="dxa"/>
              </w:tcPr>
              <w:p>
                <w:pPr>
                  <w:overflowPunct w:val="0"/>
                  <w:jc w:val="both"/>
                  <w:textAlignment w:val="baseline"/>
                </w:pPr>
              </w:p>
            </w:tc>
            <w:tc>
              <w:tcPr>
                <w:tcW w:w="993" w:type="dxa"/>
              </w:tcPr>
              <w:p>
                <w:pPr>
                  <w:overflowPunct w:val="0"/>
                  <w:jc w:val="both"/>
                  <w:textAlignment w:val="baseline"/>
                </w:pPr>
              </w:p>
            </w:tc>
            <w:tc>
              <w:tcPr>
                <w:tcW w:w="1275" w:type="dxa"/>
              </w:tcPr>
              <w:p>
                <w:pPr>
                  <w:overflowPunct w:val="0"/>
                  <w:jc w:val="both"/>
                  <w:textAlignment w:val="baseline"/>
                </w:pPr>
              </w:p>
            </w:tc>
            <w:tc>
              <w:tcPr>
                <w:tcW w:w="1276" w:type="dxa"/>
              </w:tcPr>
              <w:p>
                <w:pPr>
                  <w:overflowPunct w:val="0"/>
                  <w:jc w:val="both"/>
                  <w:textAlignment w:val="baseline"/>
                </w:pPr>
              </w:p>
            </w:tc>
          </w:tr>
          <w:tr>
            <w:trPr>
              <w:cantSplit/>
              <w:trHeight w:hRule="exact" w:val="300"/>
            </w:trPr>
            <w:tc>
              <w:tcPr>
                <w:tcW w:w="709" w:type="dxa"/>
              </w:tcPr>
              <w:p>
                <w:pPr>
                  <w:overflowPunct w:val="0"/>
                  <w:jc w:val="both"/>
                  <w:textAlignment w:val="baseline"/>
                </w:pPr>
              </w:p>
            </w:tc>
            <w:tc>
              <w:tcPr>
                <w:tcW w:w="4678" w:type="dxa"/>
              </w:tcPr>
              <w:p>
                <w:pPr>
                  <w:overflowPunct w:val="0"/>
                  <w:jc w:val="both"/>
                  <w:textAlignment w:val="baseline"/>
                </w:pPr>
              </w:p>
            </w:tc>
            <w:tc>
              <w:tcPr>
                <w:tcW w:w="992" w:type="dxa"/>
              </w:tcPr>
              <w:p>
                <w:pPr>
                  <w:overflowPunct w:val="0"/>
                  <w:jc w:val="both"/>
                  <w:textAlignment w:val="baseline"/>
                </w:pPr>
              </w:p>
            </w:tc>
            <w:tc>
              <w:tcPr>
                <w:tcW w:w="993" w:type="dxa"/>
              </w:tcPr>
              <w:p>
                <w:pPr>
                  <w:overflowPunct w:val="0"/>
                  <w:jc w:val="both"/>
                  <w:textAlignment w:val="baseline"/>
                </w:pPr>
              </w:p>
            </w:tc>
            <w:tc>
              <w:tcPr>
                <w:tcW w:w="1275" w:type="dxa"/>
              </w:tcPr>
              <w:p>
                <w:pPr>
                  <w:overflowPunct w:val="0"/>
                  <w:jc w:val="both"/>
                  <w:textAlignment w:val="baseline"/>
                </w:pPr>
              </w:p>
            </w:tc>
            <w:tc>
              <w:tcPr>
                <w:tcW w:w="1276" w:type="dxa"/>
              </w:tcPr>
              <w:p>
                <w:pPr>
                  <w:overflowPunct w:val="0"/>
                  <w:jc w:val="both"/>
                  <w:textAlignment w:val="baseline"/>
                </w:pPr>
              </w:p>
            </w:tc>
          </w:tr>
          <w:tr>
            <w:trPr>
              <w:cantSplit/>
              <w:trHeight w:hRule="exact" w:val="300"/>
            </w:trPr>
            <w:tc>
              <w:tcPr>
                <w:tcW w:w="709" w:type="dxa"/>
              </w:tcPr>
              <w:p>
                <w:pPr>
                  <w:overflowPunct w:val="0"/>
                  <w:jc w:val="both"/>
                  <w:textAlignment w:val="baseline"/>
                </w:pPr>
              </w:p>
            </w:tc>
            <w:tc>
              <w:tcPr>
                <w:tcW w:w="4678" w:type="dxa"/>
              </w:tcPr>
              <w:p>
                <w:pPr>
                  <w:overflowPunct w:val="0"/>
                  <w:jc w:val="both"/>
                  <w:textAlignment w:val="baseline"/>
                </w:pPr>
              </w:p>
            </w:tc>
            <w:tc>
              <w:tcPr>
                <w:tcW w:w="992" w:type="dxa"/>
              </w:tcPr>
              <w:p>
                <w:pPr>
                  <w:overflowPunct w:val="0"/>
                  <w:jc w:val="both"/>
                  <w:textAlignment w:val="baseline"/>
                </w:pPr>
              </w:p>
            </w:tc>
            <w:tc>
              <w:tcPr>
                <w:tcW w:w="993" w:type="dxa"/>
              </w:tcPr>
              <w:p>
                <w:pPr>
                  <w:overflowPunct w:val="0"/>
                  <w:jc w:val="both"/>
                  <w:textAlignment w:val="baseline"/>
                </w:pPr>
              </w:p>
            </w:tc>
            <w:tc>
              <w:tcPr>
                <w:tcW w:w="1275" w:type="dxa"/>
              </w:tcPr>
              <w:p>
                <w:pPr>
                  <w:overflowPunct w:val="0"/>
                  <w:jc w:val="both"/>
                  <w:textAlignment w:val="baseline"/>
                </w:pPr>
              </w:p>
            </w:tc>
            <w:tc>
              <w:tcPr>
                <w:tcW w:w="1276" w:type="dxa"/>
              </w:tcPr>
              <w:p>
                <w:pPr>
                  <w:overflowPunct w:val="0"/>
                  <w:jc w:val="both"/>
                  <w:textAlignment w:val="baseline"/>
                </w:pPr>
              </w:p>
            </w:tc>
          </w:tr>
          <w:tr>
            <w:trPr>
              <w:cantSplit/>
              <w:trHeight w:hRule="exact" w:val="300"/>
            </w:trPr>
            <w:tc>
              <w:tcPr>
                <w:tcW w:w="709" w:type="dxa"/>
              </w:tcPr>
              <w:p>
                <w:pPr>
                  <w:overflowPunct w:val="0"/>
                  <w:jc w:val="both"/>
                  <w:textAlignment w:val="baseline"/>
                </w:pPr>
              </w:p>
            </w:tc>
            <w:tc>
              <w:tcPr>
                <w:tcW w:w="4678" w:type="dxa"/>
              </w:tcPr>
              <w:p>
                <w:pPr>
                  <w:overflowPunct w:val="0"/>
                  <w:jc w:val="both"/>
                  <w:textAlignment w:val="baseline"/>
                </w:pPr>
              </w:p>
            </w:tc>
            <w:tc>
              <w:tcPr>
                <w:tcW w:w="992" w:type="dxa"/>
              </w:tcPr>
              <w:p>
                <w:pPr>
                  <w:overflowPunct w:val="0"/>
                  <w:jc w:val="both"/>
                  <w:textAlignment w:val="baseline"/>
                </w:pPr>
              </w:p>
            </w:tc>
            <w:tc>
              <w:tcPr>
                <w:tcW w:w="993" w:type="dxa"/>
              </w:tcPr>
              <w:p>
                <w:pPr>
                  <w:overflowPunct w:val="0"/>
                  <w:jc w:val="both"/>
                  <w:textAlignment w:val="baseline"/>
                  <w:rPr>
                    <w:b/>
                  </w:rPr>
                </w:pPr>
              </w:p>
            </w:tc>
            <w:tc>
              <w:tcPr>
                <w:tcW w:w="1275" w:type="dxa"/>
              </w:tcPr>
              <w:p>
                <w:pPr>
                  <w:overflowPunct w:val="0"/>
                  <w:jc w:val="both"/>
                  <w:textAlignment w:val="baseline"/>
                  <w:rPr>
                    <w:b/>
                  </w:rPr>
                </w:pPr>
              </w:p>
            </w:tc>
            <w:tc>
              <w:tcPr>
                <w:tcW w:w="1276" w:type="dxa"/>
              </w:tcPr>
              <w:p>
                <w:pPr>
                  <w:overflowPunct w:val="0"/>
                  <w:jc w:val="both"/>
                  <w:textAlignment w:val="baseline"/>
                </w:pPr>
              </w:p>
            </w:tc>
          </w:tr>
          <w:tr>
            <w:trPr>
              <w:cantSplit/>
              <w:trHeight w:hRule="exact" w:val="300"/>
            </w:trPr>
            <w:tc>
              <w:tcPr>
                <w:tcW w:w="709" w:type="dxa"/>
              </w:tcPr>
              <w:p>
                <w:pPr>
                  <w:overflowPunct w:val="0"/>
                  <w:jc w:val="both"/>
                  <w:textAlignment w:val="baseline"/>
                </w:pPr>
              </w:p>
            </w:tc>
            <w:tc>
              <w:tcPr>
                <w:tcW w:w="4678" w:type="dxa"/>
              </w:tcPr>
              <w:p>
                <w:pPr>
                  <w:overflowPunct w:val="0"/>
                  <w:jc w:val="both"/>
                  <w:textAlignment w:val="baseline"/>
                </w:pPr>
              </w:p>
            </w:tc>
            <w:tc>
              <w:tcPr>
                <w:tcW w:w="992" w:type="dxa"/>
              </w:tcPr>
              <w:p>
                <w:pPr>
                  <w:overflowPunct w:val="0"/>
                  <w:jc w:val="both"/>
                  <w:textAlignment w:val="baseline"/>
                </w:pPr>
              </w:p>
            </w:tc>
            <w:tc>
              <w:tcPr>
                <w:tcW w:w="993" w:type="dxa"/>
              </w:tcPr>
              <w:p>
                <w:pPr>
                  <w:overflowPunct w:val="0"/>
                  <w:jc w:val="both"/>
                  <w:textAlignment w:val="baseline"/>
                  <w:rPr>
                    <w:b/>
                  </w:rPr>
                </w:pPr>
              </w:p>
            </w:tc>
            <w:tc>
              <w:tcPr>
                <w:tcW w:w="1275" w:type="dxa"/>
              </w:tcPr>
              <w:p>
                <w:pPr>
                  <w:overflowPunct w:val="0"/>
                  <w:jc w:val="both"/>
                  <w:textAlignment w:val="baseline"/>
                  <w:rPr>
                    <w:b/>
                  </w:rPr>
                </w:pPr>
              </w:p>
            </w:tc>
            <w:tc>
              <w:tcPr>
                <w:tcW w:w="1276" w:type="dxa"/>
              </w:tcPr>
              <w:p>
                <w:pPr>
                  <w:overflowPunct w:val="0"/>
                  <w:jc w:val="both"/>
                  <w:textAlignment w:val="baseline"/>
                </w:pPr>
              </w:p>
            </w:tc>
          </w:tr>
          <w:tr>
            <w:trPr>
              <w:cantSplit/>
              <w:trHeight w:hRule="exact" w:val="300"/>
            </w:trPr>
            <w:tc>
              <w:tcPr>
                <w:tcW w:w="709" w:type="dxa"/>
              </w:tcPr>
              <w:p>
                <w:pPr>
                  <w:overflowPunct w:val="0"/>
                  <w:jc w:val="both"/>
                  <w:textAlignment w:val="baseline"/>
                </w:pPr>
              </w:p>
            </w:tc>
            <w:tc>
              <w:tcPr>
                <w:tcW w:w="4678" w:type="dxa"/>
              </w:tcPr>
              <w:p>
                <w:pPr>
                  <w:overflowPunct w:val="0"/>
                  <w:jc w:val="both"/>
                  <w:textAlignment w:val="baseline"/>
                </w:pPr>
              </w:p>
            </w:tc>
            <w:tc>
              <w:tcPr>
                <w:tcW w:w="992" w:type="dxa"/>
              </w:tcPr>
              <w:p>
                <w:pPr>
                  <w:overflowPunct w:val="0"/>
                  <w:jc w:val="both"/>
                  <w:textAlignment w:val="baseline"/>
                </w:pPr>
              </w:p>
            </w:tc>
            <w:tc>
              <w:tcPr>
                <w:tcW w:w="993" w:type="dxa"/>
              </w:tcPr>
              <w:p>
                <w:pPr>
                  <w:overflowPunct w:val="0"/>
                  <w:jc w:val="both"/>
                  <w:textAlignment w:val="baseline"/>
                </w:pPr>
              </w:p>
            </w:tc>
            <w:tc>
              <w:tcPr>
                <w:tcW w:w="1275" w:type="dxa"/>
              </w:tcPr>
              <w:p>
                <w:pPr>
                  <w:overflowPunct w:val="0"/>
                  <w:jc w:val="both"/>
                  <w:textAlignment w:val="baseline"/>
                  <w:rPr>
                    <w:b/>
                  </w:rPr>
                </w:pPr>
              </w:p>
            </w:tc>
            <w:tc>
              <w:tcPr>
                <w:tcW w:w="1276" w:type="dxa"/>
              </w:tcPr>
              <w:p>
                <w:pPr>
                  <w:overflowPunct w:val="0"/>
                  <w:jc w:val="both"/>
                  <w:textAlignment w:val="baseline"/>
                </w:pPr>
              </w:p>
            </w:tc>
          </w:tr>
          <w:tr>
            <w:trPr>
              <w:cantSplit/>
              <w:trHeight w:hRule="exact" w:val="300"/>
            </w:trPr>
            <w:tc>
              <w:tcPr>
                <w:tcW w:w="709" w:type="dxa"/>
              </w:tcPr>
              <w:p>
                <w:pPr>
                  <w:overflowPunct w:val="0"/>
                  <w:jc w:val="both"/>
                  <w:textAlignment w:val="baseline"/>
                </w:pPr>
              </w:p>
            </w:tc>
            <w:tc>
              <w:tcPr>
                <w:tcW w:w="4678" w:type="dxa"/>
              </w:tcPr>
              <w:p>
                <w:pPr>
                  <w:overflowPunct w:val="0"/>
                  <w:jc w:val="both"/>
                  <w:textAlignment w:val="baseline"/>
                  <w:rPr>
                    <w:i/>
                  </w:rPr>
                </w:pPr>
              </w:p>
            </w:tc>
            <w:tc>
              <w:tcPr>
                <w:tcW w:w="992" w:type="dxa"/>
              </w:tcPr>
              <w:p>
                <w:pPr>
                  <w:overflowPunct w:val="0"/>
                  <w:jc w:val="both"/>
                  <w:textAlignment w:val="baseline"/>
                </w:pPr>
              </w:p>
            </w:tc>
            <w:tc>
              <w:tcPr>
                <w:tcW w:w="993" w:type="dxa"/>
              </w:tcPr>
              <w:p>
                <w:pPr>
                  <w:overflowPunct w:val="0"/>
                  <w:jc w:val="both"/>
                  <w:textAlignment w:val="baseline"/>
                </w:pPr>
              </w:p>
            </w:tc>
            <w:tc>
              <w:tcPr>
                <w:tcW w:w="1275" w:type="dxa"/>
              </w:tcPr>
              <w:p>
                <w:pPr>
                  <w:overflowPunct w:val="0"/>
                  <w:jc w:val="both"/>
                  <w:textAlignment w:val="baseline"/>
                </w:pPr>
              </w:p>
            </w:tc>
            <w:tc>
              <w:tcPr>
                <w:tcW w:w="1276" w:type="dxa"/>
              </w:tcPr>
              <w:p>
                <w:pPr>
                  <w:overflowPunct w:val="0"/>
                  <w:jc w:val="both"/>
                  <w:textAlignment w:val="baseline"/>
                </w:pPr>
              </w:p>
            </w:tc>
          </w:tr>
          <w:tr>
            <w:trPr>
              <w:cantSplit/>
              <w:trHeight w:hRule="exact" w:val="300"/>
            </w:trPr>
            <w:tc>
              <w:tcPr>
                <w:tcW w:w="709" w:type="dxa"/>
              </w:tcPr>
              <w:p>
                <w:pPr>
                  <w:overflowPunct w:val="0"/>
                  <w:jc w:val="both"/>
                  <w:textAlignment w:val="baseline"/>
                </w:pPr>
              </w:p>
            </w:tc>
            <w:tc>
              <w:tcPr>
                <w:tcW w:w="4678" w:type="dxa"/>
              </w:tcPr>
              <w:p>
                <w:pPr>
                  <w:overflowPunct w:val="0"/>
                  <w:jc w:val="both"/>
                  <w:textAlignment w:val="baseline"/>
                </w:pPr>
              </w:p>
            </w:tc>
            <w:tc>
              <w:tcPr>
                <w:tcW w:w="992" w:type="dxa"/>
              </w:tcPr>
              <w:p>
                <w:pPr>
                  <w:overflowPunct w:val="0"/>
                  <w:jc w:val="both"/>
                  <w:textAlignment w:val="baseline"/>
                </w:pPr>
              </w:p>
            </w:tc>
            <w:tc>
              <w:tcPr>
                <w:tcW w:w="993" w:type="dxa"/>
              </w:tcPr>
              <w:p>
                <w:pPr>
                  <w:overflowPunct w:val="0"/>
                  <w:jc w:val="both"/>
                  <w:textAlignment w:val="baseline"/>
                </w:pPr>
              </w:p>
            </w:tc>
            <w:tc>
              <w:tcPr>
                <w:tcW w:w="1275" w:type="dxa"/>
              </w:tcPr>
              <w:p>
                <w:pPr>
                  <w:overflowPunct w:val="0"/>
                  <w:jc w:val="both"/>
                  <w:textAlignment w:val="baseline"/>
                </w:pPr>
              </w:p>
            </w:tc>
            <w:tc>
              <w:tcPr>
                <w:tcW w:w="1276" w:type="dxa"/>
              </w:tcPr>
              <w:p>
                <w:pPr>
                  <w:overflowPunct w:val="0"/>
                  <w:jc w:val="both"/>
                  <w:textAlignment w:val="baseline"/>
                </w:pPr>
              </w:p>
            </w:tc>
          </w:tr>
          <w:tr>
            <w:trPr>
              <w:cantSplit/>
              <w:trHeight w:hRule="exact" w:val="300"/>
            </w:trPr>
            <w:tc>
              <w:tcPr>
                <w:tcW w:w="709" w:type="dxa"/>
              </w:tcPr>
              <w:p>
                <w:pPr>
                  <w:overflowPunct w:val="0"/>
                  <w:jc w:val="both"/>
                  <w:textAlignment w:val="baseline"/>
                </w:pPr>
              </w:p>
            </w:tc>
            <w:tc>
              <w:tcPr>
                <w:tcW w:w="4678" w:type="dxa"/>
              </w:tcPr>
              <w:p>
                <w:pPr>
                  <w:overflowPunct w:val="0"/>
                  <w:jc w:val="both"/>
                  <w:textAlignment w:val="baseline"/>
                </w:pPr>
              </w:p>
            </w:tc>
            <w:tc>
              <w:tcPr>
                <w:tcW w:w="992" w:type="dxa"/>
              </w:tcPr>
              <w:p>
                <w:pPr>
                  <w:overflowPunct w:val="0"/>
                  <w:jc w:val="both"/>
                  <w:textAlignment w:val="baseline"/>
                </w:pPr>
              </w:p>
            </w:tc>
            <w:tc>
              <w:tcPr>
                <w:tcW w:w="993" w:type="dxa"/>
              </w:tcPr>
              <w:p>
                <w:pPr>
                  <w:overflowPunct w:val="0"/>
                  <w:jc w:val="both"/>
                  <w:textAlignment w:val="baseline"/>
                </w:pPr>
              </w:p>
            </w:tc>
            <w:tc>
              <w:tcPr>
                <w:tcW w:w="1275" w:type="dxa"/>
              </w:tcPr>
              <w:p>
                <w:pPr>
                  <w:overflowPunct w:val="0"/>
                  <w:jc w:val="both"/>
                  <w:textAlignment w:val="baseline"/>
                </w:pPr>
              </w:p>
            </w:tc>
            <w:tc>
              <w:tcPr>
                <w:tcW w:w="1276" w:type="dxa"/>
              </w:tcPr>
              <w:p>
                <w:pPr>
                  <w:overflowPunct w:val="0"/>
                  <w:jc w:val="both"/>
                  <w:textAlignment w:val="baseline"/>
                </w:pPr>
              </w:p>
            </w:tc>
          </w:tr>
          <w:tr>
            <w:trPr>
              <w:cantSplit/>
              <w:trHeight w:hRule="exact" w:val="300"/>
            </w:trPr>
            <w:tc>
              <w:tcPr>
                <w:tcW w:w="709" w:type="dxa"/>
              </w:tcPr>
              <w:p>
                <w:pPr>
                  <w:overflowPunct w:val="0"/>
                  <w:jc w:val="both"/>
                  <w:textAlignment w:val="baseline"/>
                </w:pPr>
              </w:p>
            </w:tc>
            <w:tc>
              <w:tcPr>
                <w:tcW w:w="4678" w:type="dxa"/>
              </w:tcPr>
              <w:p>
                <w:pPr>
                  <w:overflowPunct w:val="0"/>
                  <w:jc w:val="both"/>
                  <w:textAlignment w:val="baseline"/>
                </w:pPr>
              </w:p>
            </w:tc>
            <w:tc>
              <w:tcPr>
                <w:tcW w:w="992" w:type="dxa"/>
              </w:tcPr>
              <w:p>
                <w:pPr>
                  <w:overflowPunct w:val="0"/>
                  <w:jc w:val="both"/>
                  <w:textAlignment w:val="baseline"/>
                  <w:rPr>
                    <w:b/>
                  </w:rPr>
                </w:pPr>
              </w:p>
            </w:tc>
            <w:tc>
              <w:tcPr>
                <w:tcW w:w="993" w:type="dxa"/>
              </w:tcPr>
              <w:p>
                <w:pPr>
                  <w:overflowPunct w:val="0"/>
                  <w:jc w:val="both"/>
                  <w:textAlignment w:val="baseline"/>
                </w:pPr>
              </w:p>
            </w:tc>
            <w:tc>
              <w:tcPr>
                <w:tcW w:w="1275" w:type="dxa"/>
              </w:tcPr>
              <w:p>
                <w:pPr>
                  <w:overflowPunct w:val="0"/>
                  <w:jc w:val="both"/>
                  <w:textAlignment w:val="baseline"/>
                </w:pPr>
              </w:p>
            </w:tc>
            <w:tc>
              <w:tcPr>
                <w:tcW w:w="1276" w:type="dxa"/>
              </w:tcPr>
              <w:p>
                <w:pPr>
                  <w:overflowPunct w:val="0"/>
                  <w:jc w:val="both"/>
                  <w:textAlignment w:val="baseline"/>
                </w:pPr>
              </w:p>
            </w:tc>
          </w:tr>
          <w:tr>
            <w:trPr>
              <w:cantSplit/>
              <w:trHeight w:hRule="exact" w:val="300"/>
            </w:trPr>
            <w:tc>
              <w:tcPr>
                <w:tcW w:w="709" w:type="dxa"/>
              </w:tcPr>
              <w:p>
                <w:pPr>
                  <w:overflowPunct w:val="0"/>
                  <w:jc w:val="both"/>
                  <w:textAlignment w:val="baseline"/>
                </w:pPr>
              </w:p>
            </w:tc>
            <w:tc>
              <w:tcPr>
                <w:tcW w:w="4678" w:type="dxa"/>
              </w:tcPr>
              <w:p>
                <w:pPr>
                  <w:overflowPunct w:val="0"/>
                  <w:jc w:val="both"/>
                  <w:textAlignment w:val="baseline"/>
                </w:pPr>
              </w:p>
            </w:tc>
            <w:tc>
              <w:tcPr>
                <w:tcW w:w="992" w:type="dxa"/>
              </w:tcPr>
              <w:p>
                <w:pPr>
                  <w:overflowPunct w:val="0"/>
                  <w:jc w:val="both"/>
                  <w:textAlignment w:val="baseline"/>
                </w:pPr>
              </w:p>
            </w:tc>
            <w:tc>
              <w:tcPr>
                <w:tcW w:w="993" w:type="dxa"/>
              </w:tcPr>
              <w:p>
                <w:pPr>
                  <w:overflowPunct w:val="0"/>
                  <w:jc w:val="both"/>
                  <w:textAlignment w:val="baseline"/>
                </w:pPr>
              </w:p>
            </w:tc>
            <w:tc>
              <w:tcPr>
                <w:tcW w:w="1275" w:type="dxa"/>
              </w:tcPr>
              <w:p>
                <w:pPr>
                  <w:overflowPunct w:val="0"/>
                  <w:jc w:val="both"/>
                  <w:textAlignment w:val="baseline"/>
                </w:pPr>
              </w:p>
            </w:tc>
            <w:tc>
              <w:tcPr>
                <w:tcW w:w="1276" w:type="dxa"/>
              </w:tcPr>
              <w:p>
                <w:pPr>
                  <w:overflowPunct w:val="0"/>
                  <w:jc w:val="both"/>
                  <w:textAlignment w:val="baseline"/>
                </w:pPr>
              </w:p>
            </w:tc>
          </w:tr>
          <w:tr>
            <w:trPr>
              <w:cantSplit/>
              <w:trHeight w:hRule="exact" w:val="300"/>
            </w:trPr>
            <w:tc>
              <w:tcPr>
                <w:tcW w:w="709" w:type="dxa"/>
              </w:tcPr>
              <w:p>
                <w:pPr>
                  <w:overflowPunct w:val="0"/>
                  <w:jc w:val="both"/>
                  <w:textAlignment w:val="baseline"/>
                </w:pPr>
              </w:p>
            </w:tc>
            <w:tc>
              <w:tcPr>
                <w:tcW w:w="4678" w:type="dxa"/>
              </w:tcPr>
              <w:p>
                <w:pPr>
                  <w:overflowPunct w:val="0"/>
                  <w:jc w:val="both"/>
                  <w:textAlignment w:val="baseline"/>
                </w:pPr>
              </w:p>
            </w:tc>
            <w:tc>
              <w:tcPr>
                <w:tcW w:w="992" w:type="dxa"/>
              </w:tcPr>
              <w:p>
                <w:pPr>
                  <w:overflowPunct w:val="0"/>
                  <w:jc w:val="both"/>
                  <w:textAlignment w:val="baseline"/>
                </w:pPr>
              </w:p>
            </w:tc>
            <w:tc>
              <w:tcPr>
                <w:tcW w:w="993" w:type="dxa"/>
              </w:tcPr>
              <w:p>
                <w:pPr>
                  <w:overflowPunct w:val="0"/>
                  <w:jc w:val="both"/>
                  <w:textAlignment w:val="baseline"/>
                </w:pPr>
              </w:p>
            </w:tc>
            <w:tc>
              <w:tcPr>
                <w:tcW w:w="1275" w:type="dxa"/>
              </w:tcPr>
              <w:p>
                <w:pPr>
                  <w:overflowPunct w:val="0"/>
                  <w:jc w:val="both"/>
                  <w:textAlignment w:val="baseline"/>
                </w:pPr>
              </w:p>
            </w:tc>
            <w:tc>
              <w:tcPr>
                <w:tcW w:w="1276" w:type="dxa"/>
              </w:tcPr>
              <w:p>
                <w:pPr>
                  <w:overflowPunct w:val="0"/>
                  <w:jc w:val="both"/>
                  <w:textAlignment w:val="baseline"/>
                </w:pPr>
              </w:p>
            </w:tc>
          </w:tr>
          <w:tr>
            <w:trPr>
              <w:cantSplit/>
              <w:trHeight w:hRule="exact" w:val="300"/>
            </w:trPr>
            <w:tc>
              <w:tcPr>
                <w:tcW w:w="709" w:type="dxa"/>
              </w:tcPr>
              <w:p>
                <w:pPr>
                  <w:overflowPunct w:val="0"/>
                  <w:jc w:val="both"/>
                  <w:textAlignment w:val="baseline"/>
                </w:pPr>
              </w:p>
            </w:tc>
            <w:tc>
              <w:tcPr>
                <w:tcW w:w="4678" w:type="dxa"/>
              </w:tcPr>
              <w:p>
                <w:pPr>
                  <w:overflowPunct w:val="0"/>
                  <w:jc w:val="both"/>
                  <w:textAlignment w:val="baseline"/>
                </w:pPr>
              </w:p>
            </w:tc>
            <w:tc>
              <w:tcPr>
                <w:tcW w:w="992" w:type="dxa"/>
              </w:tcPr>
              <w:p>
                <w:pPr>
                  <w:overflowPunct w:val="0"/>
                  <w:jc w:val="both"/>
                  <w:textAlignment w:val="baseline"/>
                </w:pPr>
              </w:p>
            </w:tc>
            <w:tc>
              <w:tcPr>
                <w:tcW w:w="993" w:type="dxa"/>
              </w:tcPr>
              <w:p>
                <w:pPr>
                  <w:overflowPunct w:val="0"/>
                  <w:jc w:val="both"/>
                  <w:textAlignment w:val="baseline"/>
                </w:pPr>
              </w:p>
            </w:tc>
            <w:tc>
              <w:tcPr>
                <w:tcW w:w="1275" w:type="dxa"/>
              </w:tcPr>
              <w:p>
                <w:pPr>
                  <w:overflowPunct w:val="0"/>
                  <w:jc w:val="both"/>
                  <w:textAlignment w:val="baseline"/>
                </w:pPr>
              </w:p>
            </w:tc>
            <w:tc>
              <w:tcPr>
                <w:tcW w:w="1276" w:type="dxa"/>
              </w:tcPr>
              <w:p>
                <w:pPr>
                  <w:overflowPunct w:val="0"/>
                  <w:jc w:val="both"/>
                  <w:textAlignment w:val="baseline"/>
                </w:pPr>
              </w:p>
            </w:tc>
          </w:tr>
          <w:tr>
            <w:trPr>
              <w:cantSplit/>
              <w:trHeight w:hRule="exact" w:val="300"/>
            </w:trPr>
            <w:tc>
              <w:tcPr>
                <w:tcW w:w="709" w:type="dxa"/>
              </w:tcPr>
              <w:p>
                <w:pPr>
                  <w:overflowPunct w:val="0"/>
                  <w:jc w:val="both"/>
                  <w:textAlignment w:val="baseline"/>
                </w:pPr>
              </w:p>
            </w:tc>
            <w:tc>
              <w:tcPr>
                <w:tcW w:w="4678" w:type="dxa"/>
              </w:tcPr>
              <w:p>
                <w:pPr>
                  <w:overflowPunct w:val="0"/>
                  <w:jc w:val="both"/>
                  <w:textAlignment w:val="baseline"/>
                </w:pPr>
              </w:p>
            </w:tc>
            <w:tc>
              <w:tcPr>
                <w:tcW w:w="992" w:type="dxa"/>
              </w:tcPr>
              <w:p>
                <w:pPr>
                  <w:overflowPunct w:val="0"/>
                  <w:jc w:val="both"/>
                  <w:textAlignment w:val="baseline"/>
                </w:pPr>
              </w:p>
            </w:tc>
            <w:tc>
              <w:tcPr>
                <w:tcW w:w="993" w:type="dxa"/>
              </w:tcPr>
              <w:p>
                <w:pPr>
                  <w:overflowPunct w:val="0"/>
                  <w:jc w:val="both"/>
                  <w:textAlignment w:val="baseline"/>
                </w:pPr>
              </w:p>
            </w:tc>
            <w:tc>
              <w:tcPr>
                <w:tcW w:w="1275" w:type="dxa"/>
              </w:tcPr>
              <w:p>
                <w:pPr>
                  <w:overflowPunct w:val="0"/>
                  <w:jc w:val="both"/>
                  <w:textAlignment w:val="baseline"/>
                </w:pPr>
              </w:p>
            </w:tc>
            <w:tc>
              <w:tcPr>
                <w:tcW w:w="1276" w:type="dxa"/>
              </w:tcPr>
              <w:p>
                <w:pPr>
                  <w:overflowPunct w:val="0"/>
                  <w:jc w:val="both"/>
                  <w:textAlignment w:val="baseline"/>
                </w:pPr>
              </w:p>
            </w:tc>
          </w:tr>
          <w:tr>
            <w:trPr>
              <w:cantSplit/>
              <w:trHeight w:hRule="exact" w:val="300"/>
            </w:trPr>
            <w:tc>
              <w:tcPr>
                <w:tcW w:w="709" w:type="dxa"/>
              </w:tcPr>
              <w:p>
                <w:pPr>
                  <w:overflowPunct w:val="0"/>
                  <w:jc w:val="both"/>
                  <w:textAlignment w:val="baseline"/>
                </w:pPr>
              </w:p>
            </w:tc>
            <w:tc>
              <w:tcPr>
                <w:tcW w:w="4678" w:type="dxa"/>
              </w:tcPr>
              <w:p>
                <w:pPr>
                  <w:overflowPunct w:val="0"/>
                  <w:jc w:val="both"/>
                  <w:textAlignment w:val="baseline"/>
                </w:pPr>
              </w:p>
            </w:tc>
            <w:tc>
              <w:tcPr>
                <w:tcW w:w="992" w:type="dxa"/>
              </w:tcPr>
              <w:p>
                <w:pPr>
                  <w:overflowPunct w:val="0"/>
                  <w:jc w:val="both"/>
                  <w:textAlignment w:val="baseline"/>
                </w:pPr>
              </w:p>
            </w:tc>
            <w:tc>
              <w:tcPr>
                <w:tcW w:w="993" w:type="dxa"/>
              </w:tcPr>
              <w:p>
                <w:pPr>
                  <w:overflowPunct w:val="0"/>
                  <w:jc w:val="both"/>
                  <w:textAlignment w:val="baseline"/>
                </w:pPr>
              </w:p>
            </w:tc>
            <w:tc>
              <w:tcPr>
                <w:tcW w:w="1275" w:type="dxa"/>
              </w:tcPr>
              <w:p>
                <w:pPr>
                  <w:overflowPunct w:val="0"/>
                  <w:jc w:val="both"/>
                  <w:textAlignment w:val="baseline"/>
                </w:pPr>
              </w:p>
            </w:tc>
            <w:tc>
              <w:tcPr>
                <w:tcW w:w="1276" w:type="dxa"/>
              </w:tcPr>
              <w:p>
                <w:pPr>
                  <w:overflowPunct w:val="0"/>
                  <w:jc w:val="both"/>
                  <w:textAlignment w:val="baseline"/>
                </w:pPr>
              </w:p>
            </w:tc>
          </w:tr>
          <w:tr>
            <w:trPr>
              <w:cantSplit/>
              <w:trHeight w:hRule="exact" w:val="300"/>
            </w:trPr>
            <w:tc>
              <w:tcPr>
                <w:tcW w:w="8647" w:type="dxa"/>
                <w:gridSpan w:val="5"/>
              </w:tcPr>
              <w:p>
                <w:pPr>
                  <w:overflowPunct w:val="0"/>
                  <w:jc w:val="both"/>
                  <w:textAlignment w:val="baseline"/>
                </w:pPr>
                <w:r>
                  <w:t>Iš viso</w:t>
                </w:r>
              </w:p>
            </w:tc>
            <w:tc>
              <w:tcPr>
                <w:tcW w:w="1276" w:type="dxa"/>
              </w:tcPr>
              <w:p>
                <w:pPr>
                  <w:overflowPunct w:val="0"/>
                  <w:jc w:val="both"/>
                  <w:textAlignment w:val="baseline"/>
                </w:pPr>
              </w:p>
            </w:tc>
          </w:tr>
        </w:tbl>
        <w:p>
          <w:pPr>
            <w:overflowPunct w:val="0"/>
            <w:jc w:val="both"/>
            <w:textAlignment w:val="baseline"/>
            <w:rPr>
              <w:sz w:val="20"/>
            </w:rPr>
          </w:pPr>
        </w:p>
        <w:p>
          <w:pPr>
            <w:overflowPunct w:val="0"/>
            <w:jc w:val="both"/>
            <w:textAlignment w:val="baseline"/>
          </w:pPr>
          <w:r>
            <w:t>Ūkininkas</w:t>
            <w:tab/>
            <w:tab/>
            <w:t>_________________</w:t>
            <w:tab/>
            <w:tab/>
            <w:t>_________________________</w:t>
          </w:r>
        </w:p>
        <w:p>
          <w:pPr>
            <w:overflowPunct w:val="0"/>
            <w:ind w:left="1298" w:firstLine="1298"/>
            <w:jc w:val="both"/>
            <w:textAlignment w:val="baseline"/>
          </w:pPr>
          <w:r>
            <w:rPr>
              <w:sz w:val="20"/>
            </w:rPr>
            <w:t>(parašas)</w:t>
          </w:r>
          <w:r>
            <w:tab/>
            <w:tab/>
            <w:tab/>
          </w:r>
          <w:r>
            <w:rPr>
              <w:sz w:val="20"/>
            </w:rPr>
            <w:t>(vardas, pavardė)</w:t>
          </w:r>
        </w:p>
        <w:sdt>
          <w:sdtPr>
            <w:alias w:val="pabaiga"/>
            <w:tag w:val="part_c4ab7eca17a84d768ccdef9ee477b1d2"/>
            <w:lock w:val="sdtLocked"/>
            <w:richText/>
          </w:sdtPr>
          <w:sdtContent>
            <w:p>
              <w:pPr>
                <w:overflowPunct w:val="0"/>
                <w:jc w:val="center"/>
                <w:textAlignment w:val="baseline"/>
              </w:pPr>
              <w: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ba5c0506f11e4a698d921e3e46801">
            <w:r w:rsidRPr="00532B9F">
              <w:rPr>
                <w:rFonts w:ascii="Times New Roman" w:eastAsia="MS Mincho" w:hAnsi="Times New Roman"/>
                <w:sz w:val="20"/>
                <w:i/>
                <w:iCs/>
                <w:color w:val="0000FF" w:themeColor="hyperlink"/>
                <w:u w:val="single"/>
              </w:rPr>
              <w:t>3D-725</w:t>
            </w:r>
          </w:fldSimple>
          <w:r>
            <w:rPr>
              <w:rFonts w:ascii="Times New Roman" w:eastAsia="MS Mincho" w:hAnsi="Times New Roman"/>
              <w:sz w:val="20"/>
              <w:i/>
              <w:iCs/>
            </w:rPr>
            <w:t>,
2014-10-10,
paskelbta TAR 2014-10-10, i. k. 2014-13951            </w:t>
          </w:r>
        </w:p>
        <w:p/>
      </w:sdtContent>
    </w:sdt>
    <w:sdt>
      <w:sdtPr>
        <w:alias w:val="4 pr."/>
        <w:tag w:val="part_1432efef15c1403797e9bf71b9e517b0"/>
        <w:lock w:val="sdtLocked"/>
        <w:richText/>
      </w:sdtPr>
      <w:sdtContent>
        <w:p>
          <w:pPr>
            <w:overflowPunct w:val="0"/>
            <w:jc w:val="both"/>
            <w:textAlignment w:val="baseline"/>
          </w:pPr>
          <w:r>
            <w:br w:type="page"/>
          </w:r>
        </w:p>
        <w:p>
          <w:pPr>
            <w:overflowPunct w:val="0"/>
            <w:ind w:left="3402" w:firstLine="2977"/>
            <w:jc w:val="both"/>
            <w:textAlignment w:val="baseline"/>
            <w:rPr>
              <w:szCs w:val="24"/>
            </w:rPr>
          </w:pPr>
          <w:r>
            <w:rPr>
              <w:szCs w:val="24"/>
            </w:rPr>
            <w:t>Ūkininko ūkio veiklos</w:t>
          </w:r>
        </w:p>
        <w:p>
          <w:pPr>
            <w:overflowPunct w:val="0"/>
            <w:ind w:left="6379"/>
            <w:jc w:val="both"/>
            <w:textAlignment w:val="baseline"/>
            <w:rPr>
              <w:szCs w:val="24"/>
            </w:rPr>
          </w:pPr>
          <w:r>
            <w:rPr>
              <w:szCs w:val="24"/>
            </w:rPr>
            <w:t>buhalterinės apskaitos tvarkymo</w:t>
          </w:r>
        </w:p>
        <w:p>
          <w:pPr>
            <w:overflowPunct w:val="0"/>
            <w:ind w:left="6379"/>
            <w:jc w:val="both"/>
            <w:textAlignment w:val="baseline"/>
            <w:rPr>
              <w:szCs w:val="24"/>
            </w:rPr>
          </w:pPr>
          <w:r>
            <w:rPr>
              <w:szCs w:val="24"/>
            </w:rPr>
            <w:t>supaprastintąja apskaitos sistema</w:t>
          </w:r>
        </w:p>
        <w:p>
          <w:pPr>
            <w:overflowPunct w:val="0"/>
            <w:ind w:left="6379"/>
            <w:jc w:val="both"/>
            <w:textAlignment w:val="baseline"/>
            <w:rPr>
              <w:szCs w:val="24"/>
            </w:rPr>
          </w:pPr>
          <w:r>
            <w:rPr>
              <w:szCs w:val="24"/>
            </w:rPr>
            <w:t xml:space="preserve">rekomendacijų </w:t>
          </w:r>
        </w:p>
        <w:p>
          <w:pPr>
            <w:overflowPunct w:val="0"/>
            <w:ind w:left="6379"/>
            <w:jc w:val="both"/>
            <w:textAlignment w:val="baseline"/>
            <w:rPr>
              <w:szCs w:val="24"/>
            </w:rPr>
          </w:pPr>
          <w:sdt>
            <w:sdtPr>
              <w:alias w:val="Numeris"/>
              <w:tag w:val="nr_1432efef15c1403797e9bf71b9e517b0"/>
              <w:lock w:val="sdtLocked"/>
              <w:richText/>
            </w:sdtPr>
            <w:sdtContent>
              <w:r>
                <w:rPr>
                  <w:szCs w:val="24"/>
                </w:rPr>
                <w:t>4</w:t>
              </w:r>
            </w:sdtContent>
          </w:sdt>
          <w:r>
            <w:rPr>
              <w:szCs w:val="24"/>
            </w:rPr>
            <w:t xml:space="preserve">  priedas</w:t>
          </w:r>
        </w:p>
        <w:p>
          <w:pPr>
            <w:keepNext/>
            <w:overflowPunct w:val="0"/>
            <w:jc w:val="center"/>
            <w:textAlignment w:val="baseline"/>
            <w:rPr>
              <w:b/>
              <w:sz w:val="10"/>
              <w:szCs w:val="10"/>
            </w:rPr>
          </w:pPr>
        </w:p>
        <w:p>
          <w:pPr>
            <w:overflowPunct w:val="0"/>
            <w:jc w:val="center"/>
            <w:textAlignment w:val="baseline"/>
          </w:pPr>
          <w:r>
            <w:t>Ūkininko ________________________________ ūkis</w:t>
          </w:r>
        </w:p>
        <w:p>
          <w:pPr>
            <w:keepNext/>
            <w:overflowPunct w:val="0"/>
            <w:jc w:val="center"/>
            <w:textAlignment w:val="baseline"/>
            <w:rPr>
              <w:b/>
              <w:szCs w:val="22"/>
            </w:rPr>
          </w:pPr>
          <w:r>
            <w:rPr>
              <w:b/>
              <w:szCs w:val="22"/>
            </w:rPr>
            <w:t>PINIGINIŲ ĮPLAUKŲ IR IŠLAIDŲ ŽINIARAŠTIS</w:t>
          </w:r>
        </w:p>
        <w:p>
          <w:pPr>
            <w:overflowPunct w:val="0"/>
            <w:jc w:val="center"/>
            <w:textAlignment w:val="baseline"/>
          </w:pPr>
          <w:r>
            <w:t>_____________ Nr. _____________</w:t>
          </w:r>
        </w:p>
        <w:p>
          <w:pPr>
            <w:overflowPunct w:val="0"/>
            <w:ind w:left="3544"/>
            <w:jc w:val="both"/>
            <w:textAlignment w:val="baseline"/>
            <w:rPr>
              <w:sz w:val="20"/>
            </w:rPr>
          </w:pPr>
          <w:r>
            <w:rPr>
              <w:sz w:val="20"/>
            </w:rPr>
            <w:t>(data)</w:t>
          </w:r>
        </w:p>
        <w:p>
          <w:pPr>
            <w:overflowPunct w:val="0"/>
            <w:ind w:left="3544"/>
            <w:jc w:val="right"/>
            <w:textAlignment w:val="baseline"/>
            <w:rPr>
              <w:sz w:val="20"/>
            </w:rPr>
          </w:pPr>
          <w:r>
            <w:rPr>
              <w:szCs w:val="24"/>
            </w:rPr>
            <w:t>Eur</w:t>
          </w:r>
          <w:r>
            <w:rPr>
              <w:sz w:val="20"/>
            </w:rPr>
            <w:t xml:space="preserve"> </w:t>
          </w:r>
        </w:p>
        <w:tbl>
          <w:tblPr>
            <w:tblW w:w="9781" w:type="dxa"/>
            <w:tblInd w:w="-1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0" w:type="dxa"/>
            </w:tblCellMar>
            <w:tblLook w:val="0000" w:firstRow="0" w:lastRow="0" w:firstColumn="0" w:lastColumn="0" w:noHBand="0" w:noVBand="0"/>
          </w:tblPr>
          <w:tblGrid>
            <w:gridCol w:w="2387"/>
            <w:gridCol w:w="142"/>
            <w:gridCol w:w="2291"/>
            <w:gridCol w:w="992"/>
            <w:gridCol w:w="993"/>
            <w:gridCol w:w="992"/>
            <w:gridCol w:w="992"/>
            <w:gridCol w:w="992"/>
          </w:tblGrid>
          <w:tr>
            <w:trPr>
              <w:cantSplit/>
              <w:trHeight w:hRule="exact" w:val="255"/>
            </w:trPr>
            <w:tc>
              <w:tcPr>
                <w:tcW w:w="4820" w:type="dxa"/>
                <w:gridSpan w:val="3"/>
                <w:vMerge w:val="restart"/>
                <w:tcMar>
                  <w:left w:w="0" w:type="dxa"/>
                  <w:right w:w="0" w:type="dxa"/>
                </w:tcMar>
                <w:vAlign w:val="center"/>
              </w:tcPr>
              <w:p>
                <w:pPr>
                  <w:overflowPunct w:val="0"/>
                  <w:jc w:val="center"/>
                  <w:textAlignment w:val="baseline"/>
                  <w:rPr>
                    <w:spacing w:val="20"/>
                    <w:sz w:val="22"/>
                    <w:szCs w:val="22"/>
                  </w:rPr>
                </w:pPr>
                <w:r>
                  <w:rPr>
                    <w:spacing w:val="20"/>
                    <w:sz w:val="22"/>
                    <w:szCs w:val="22"/>
                  </w:rPr>
                  <w:t>Rodikliai</w:t>
                </w:r>
              </w:p>
            </w:tc>
            <w:tc>
              <w:tcPr>
                <w:tcW w:w="4961" w:type="dxa"/>
                <w:gridSpan w:val="5"/>
                <w:tcMar>
                  <w:left w:w="0" w:type="dxa"/>
                  <w:right w:w="0" w:type="dxa"/>
                </w:tcMar>
                <w:vAlign w:val="center"/>
              </w:tcPr>
              <w:p>
                <w:pPr>
                  <w:overflowPunct w:val="0"/>
                  <w:jc w:val="center"/>
                  <w:textAlignment w:val="baseline"/>
                  <w:rPr>
                    <w:sz w:val="22"/>
                    <w:szCs w:val="22"/>
                  </w:rPr>
                </w:pPr>
                <w:r>
                  <w:rPr>
                    <w:sz w:val="22"/>
                    <w:szCs w:val="22"/>
                  </w:rPr>
                  <w:t>Mėnesiai ar kiti laikotarpiai</w:t>
                </w:r>
              </w:p>
            </w:tc>
          </w:tr>
          <w:tr>
            <w:trPr>
              <w:cantSplit/>
              <w:trHeight w:hRule="exact" w:val="255"/>
            </w:trPr>
            <w:tc>
              <w:tcPr>
                <w:tcW w:w="4820" w:type="dxa"/>
                <w:gridSpan w:val="3"/>
                <w:vMerge/>
                <w:tcMar>
                  <w:left w:w="0" w:type="dxa"/>
                  <w:right w:w="0" w:type="dxa"/>
                </w:tcMar>
              </w:tcPr>
              <w:p>
                <w:pPr>
                  <w:overflowPunct w:val="0"/>
                  <w:jc w:val="both"/>
                  <w:textAlignment w:val="baseline"/>
                  <w:rPr>
                    <w:sz w:val="22"/>
                    <w:szCs w:val="22"/>
                  </w:rPr>
                </w:pPr>
              </w:p>
            </w:tc>
            <w:tc>
              <w:tcPr>
                <w:tcW w:w="992" w:type="dxa"/>
                <w:tcMar>
                  <w:left w:w="0" w:type="dxa"/>
                  <w:right w:w="0" w:type="dxa"/>
                </w:tcMar>
              </w:tcPr>
              <w:p>
                <w:pPr>
                  <w:overflowPunct w:val="0"/>
                  <w:jc w:val="both"/>
                  <w:textAlignment w:val="baseline"/>
                  <w:rPr>
                    <w:sz w:val="22"/>
                    <w:szCs w:val="22"/>
                  </w:rPr>
                </w:pPr>
              </w:p>
            </w:tc>
            <w:tc>
              <w:tcPr>
                <w:tcW w:w="993" w:type="dxa"/>
                <w:tcMar>
                  <w:left w:w="0" w:type="dxa"/>
                  <w:right w:w="0" w:type="dxa"/>
                </w:tcMar>
              </w:tcPr>
              <w:p>
                <w:pPr>
                  <w:overflowPunct w:val="0"/>
                  <w:jc w:val="both"/>
                  <w:textAlignment w:val="baseline"/>
                  <w:rPr>
                    <w:sz w:val="22"/>
                    <w:szCs w:val="22"/>
                  </w:rPr>
                </w:pPr>
              </w:p>
            </w:tc>
            <w:tc>
              <w:tcPr>
                <w:tcW w:w="992" w:type="dxa"/>
                <w:tcMar>
                  <w:left w:w="0" w:type="dxa"/>
                  <w:right w:w="0" w:type="dxa"/>
                </w:tcMar>
              </w:tcPr>
              <w:p>
                <w:pPr>
                  <w:overflowPunct w:val="0"/>
                  <w:jc w:val="both"/>
                  <w:textAlignment w:val="baseline"/>
                  <w:rPr>
                    <w:sz w:val="22"/>
                    <w:szCs w:val="22"/>
                  </w:rPr>
                </w:pPr>
              </w:p>
            </w:tc>
            <w:tc>
              <w:tcPr>
                <w:tcW w:w="992" w:type="dxa"/>
                <w:tcMar>
                  <w:left w:w="0" w:type="dxa"/>
                  <w:right w:w="0" w:type="dxa"/>
                </w:tcMar>
              </w:tcPr>
              <w:p>
                <w:pPr>
                  <w:overflowPunct w:val="0"/>
                  <w:jc w:val="both"/>
                  <w:textAlignment w:val="baseline"/>
                  <w:rPr>
                    <w:sz w:val="22"/>
                    <w:szCs w:val="22"/>
                  </w:rPr>
                </w:pPr>
              </w:p>
            </w:tc>
            <w:tc>
              <w:tcPr>
                <w:tcW w:w="992" w:type="dxa"/>
                <w:tcMar>
                  <w:left w:w="0" w:type="dxa"/>
                  <w:right w:w="0" w:type="dxa"/>
                </w:tcMar>
              </w:tcPr>
              <w:p>
                <w:pPr>
                  <w:overflowPunct w:val="0"/>
                  <w:jc w:val="center"/>
                  <w:textAlignment w:val="baseline"/>
                  <w:rPr>
                    <w:sz w:val="22"/>
                    <w:szCs w:val="22"/>
                  </w:rPr>
                </w:pPr>
                <w:r>
                  <w:rPr>
                    <w:sz w:val="22"/>
                    <w:szCs w:val="22"/>
                  </w:rPr>
                  <w:t>Iš viso</w:t>
                </w:r>
              </w:p>
            </w:tc>
          </w:tr>
          <w:tr>
            <w:trPr>
              <w:cantSplit/>
              <w:trHeight w:hRule="exact" w:val="255"/>
            </w:trPr>
            <w:tc>
              <w:tcPr>
                <w:tcW w:w="4820" w:type="dxa"/>
                <w:gridSpan w:val="3"/>
                <w:tcMar>
                  <w:left w:w="0" w:type="dxa"/>
                  <w:right w:w="0" w:type="dxa"/>
                </w:tcMar>
                <w:vAlign w:val="center"/>
              </w:tcPr>
              <w:p>
                <w:pPr>
                  <w:overflowPunct w:val="0"/>
                  <w:ind w:firstLine="53"/>
                  <w:textAlignment w:val="baseline"/>
                  <w:rPr>
                    <w:spacing w:val="20"/>
                    <w:sz w:val="22"/>
                    <w:szCs w:val="22"/>
                  </w:rPr>
                </w:pPr>
                <w:r>
                  <w:rPr>
                    <w:spacing w:val="20"/>
                    <w:sz w:val="22"/>
                    <w:szCs w:val="22"/>
                  </w:rPr>
                  <w:t>ĮPLAUKOS</w:t>
                </w:r>
              </w:p>
            </w:tc>
            <w:tc>
              <w:tcPr>
                <w:tcW w:w="992" w:type="dxa"/>
                <w:tcMar>
                  <w:left w:w="0" w:type="dxa"/>
                  <w:right w:w="0" w:type="dxa"/>
                </w:tcMar>
                <w:vAlign w:val="center"/>
              </w:tcPr>
              <w:p>
                <w:pPr>
                  <w:overflowPunct w:val="0"/>
                  <w:textAlignment w:val="baseline"/>
                  <w:rPr>
                    <w:sz w:val="22"/>
                    <w:szCs w:val="22"/>
                  </w:rPr>
                </w:pPr>
              </w:p>
            </w:tc>
            <w:tc>
              <w:tcPr>
                <w:tcW w:w="993" w:type="dxa"/>
                <w:tcMar>
                  <w:left w:w="0" w:type="dxa"/>
                  <w:right w:w="0" w:type="dxa"/>
                </w:tcMar>
                <w:vAlign w:val="center"/>
              </w:tcPr>
              <w:p>
                <w:pPr>
                  <w:overflowPunct w:val="0"/>
                  <w:textAlignment w:val="baseline"/>
                  <w:rPr>
                    <w:sz w:val="22"/>
                    <w:szCs w:val="22"/>
                  </w:rPr>
                </w:pPr>
              </w:p>
            </w:tc>
            <w:tc>
              <w:tcPr>
                <w:tcW w:w="992" w:type="dxa"/>
                <w:tcMar>
                  <w:left w:w="0" w:type="dxa"/>
                  <w:right w:w="0" w:type="dxa"/>
                </w:tcMar>
                <w:vAlign w:val="center"/>
              </w:tcPr>
              <w:p>
                <w:pPr>
                  <w:overflowPunct w:val="0"/>
                  <w:textAlignment w:val="baseline"/>
                  <w:rPr>
                    <w:sz w:val="22"/>
                    <w:szCs w:val="22"/>
                  </w:rPr>
                </w:pPr>
              </w:p>
            </w:tc>
            <w:tc>
              <w:tcPr>
                <w:tcW w:w="992" w:type="dxa"/>
                <w:tcMar>
                  <w:left w:w="0" w:type="dxa"/>
                  <w:right w:w="0" w:type="dxa"/>
                </w:tcMar>
                <w:vAlign w:val="center"/>
              </w:tcPr>
              <w:p>
                <w:pPr>
                  <w:overflowPunct w:val="0"/>
                  <w:textAlignment w:val="baseline"/>
                  <w:rPr>
                    <w:sz w:val="22"/>
                    <w:szCs w:val="22"/>
                  </w:rPr>
                </w:pPr>
              </w:p>
            </w:tc>
            <w:tc>
              <w:tcPr>
                <w:tcW w:w="992" w:type="dxa"/>
                <w:tcMar>
                  <w:left w:w="0" w:type="dxa"/>
                  <w:right w:w="0" w:type="dxa"/>
                </w:tcMar>
                <w:vAlign w:val="center"/>
              </w:tcPr>
              <w:p>
                <w:pPr>
                  <w:overflowPunct w:val="0"/>
                  <w:textAlignment w:val="baseline"/>
                  <w:rPr>
                    <w:sz w:val="22"/>
                    <w:szCs w:val="22"/>
                  </w:rPr>
                </w:pPr>
              </w:p>
            </w:tc>
          </w:tr>
          <w:tr>
            <w:trPr>
              <w:cantSplit/>
              <w:trHeight w:hRule="exact" w:val="255"/>
            </w:trPr>
            <w:tc>
              <w:tcPr>
                <w:tcW w:w="4820" w:type="dxa"/>
                <w:gridSpan w:val="3"/>
                <w:tcMar>
                  <w:left w:w="0" w:type="dxa"/>
                  <w:right w:w="0" w:type="dxa"/>
                </w:tcMar>
                <w:vAlign w:val="center"/>
              </w:tcPr>
              <w:p>
                <w:pPr>
                  <w:overflowPunct w:val="0"/>
                  <w:ind w:firstLine="53"/>
                  <w:textAlignment w:val="baseline"/>
                  <w:rPr>
                    <w:sz w:val="22"/>
                    <w:szCs w:val="22"/>
                  </w:rPr>
                </w:pPr>
                <w:r>
                  <w:rPr>
                    <w:sz w:val="22"/>
                    <w:szCs w:val="22"/>
                  </w:rPr>
                  <w:t>1. Iš augalininkystės</w:t>
                </w:r>
              </w:p>
            </w:tc>
            <w:tc>
              <w:tcPr>
                <w:tcW w:w="992" w:type="dxa"/>
                <w:tcMar>
                  <w:left w:w="0" w:type="dxa"/>
                  <w:right w:w="0" w:type="dxa"/>
                </w:tcMar>
                <w:vAlign w:val="center"/>
              </w:tcPr>
              <w:p>
                <w:pPr>
                  <w:overflowPunct w:val="0"/>
                  <w:textAlignment w:val="baseline"/>
                  <w:rPr>
                    <w:sz w:val="22"/>
                    <w:szCs w:val="22"/>
                  </w:rPr>
                </w:pPr>
              </w:p>
            </w:tc>
            <w:tc>
              <w:tcPr>
                <w:tcW w:w="993" w:type="dxa"/>
                <w:tcMar>
                  <w:left w:w="0" w:type="dxa"/>
                  <w:right w:w="0" w:type="dxa"/>
                </w:tcMar>
                <w:vAlign w:val="center"/>
              </w:tcPr>
              <w:p>
                <w:pPr>
                  <w:overflowPunct w:val="0"/>
                  <w:textAlignment w:val="baseline"/>
                  <w:rPr>
                    <w:sz w:val="22"/>
                    <w:szCs w:val="22"/>
                  </w:rPr>
                </w:pPr>
              </w:p>
            </w:tc>
            <w:tc>
              <w:tcPr>
                <w:tcW w:w="992" w:type="dxa"/>
                <w:tcMar>
                  <w:left w:w="0" w:type="dxa"/>
                  <w:right w:w="0" w:type="dxa"/>
                </w:tcMar>
                <w:vAlign w:val="center"/>
              </w:tcPr>
              <w:p>
                <w:pPr>
                  <w:overflowPunct w:val="0"/>
                  <w:textAlignment w:val="baseline"/>
                  <w:rPr>
                    <w:sz w:val="22"/>
                    <w:szCs w:val="22"/>
                  </w:rPr>
                </w:pPr>
              </w:p>
            </w:tc>
            <w:tc>
              <w:tcPr>
                <w:tcW w:w="992" w:type="dxa"/>
                <w:tcMar>
                  <w:left w:w="0" w:type="dxa"/>
                  <w:right w:w="0" w:type="dxa"/>
                </w:tcMar>
                <w:vAlign w:val="center"/>
              </w:tcPr>
              <w:p>
                <w:pPr>
                  <w:overflowPunct w:val="0"/>
                  <w:textAlignment w:val="baseline"/>
                  <w:rPr>
                    <w:sz w:val="22"/>
                    <w:szCs w:val="22"/>
                  </w:rPr>
                </w:pPr>
              </w:p>
            </w:tc>
            <w:tc>
              <w:tcPr>
                <w:tcW w:w="992" w:type="dxa"/>
                <w:tcMar>
                  <w:left w:w="0" w:type="dxa"/>
                  <w:right w:w="0" w:type="dxa"/>
                </w:tcMar>
                <w:vAlign w:val="center"/>
              </w:tcPr>
              <w:p>
                <w:pPr>
                  <w:overflowPunct w:val="0"/>
                  <w:textAlignment w:val="baseline"/>
                  <w:rPr>
                    <w:sz w:val="22"/>
                    <w:szCs w:val="22"/>
                  </w:rPr>
                </w:pPr>
              </w:p>
            </w:tc>
          </w:tr>
          <w:tr>
            <w:trPr>
              <w:cantSplit/>
              <w:trHeight w:hRule="exact" w:val="255"/>
            </w:trPr>
            <w:tc>
              <w:tcPr>
                <w:tcW w:w="4820" w:type="dxa"/>
                <w:gridSpan w:val="3"/>
                <w:tcMar>
                  <w:left w:w="0" w:type="dxa"/>
                  <w:right w:w="0" w:type="dxa"/>
                </w:tcMar>
                <w:vAlign w:val="center"/>
              </w:tcPr>
              <w:p>
                <w:pPr>
                  <w:overflowPunct w:val="0"/>
                  <w:ind w:firstLine="53"/>
                  <w:textAlignment w:val="baseline"/>
                  <w:rPr>
                    <w:sz w:val="22"/>
                    <w:szCs w:val="22"/>
                  </w:rPr>
                </w:pPr>
                <w:r>
                  <w:rPr>
                    <w:sz w:val="22"/>
                    <w:szCs w:val="22"/>
                  </w:rPr>
                  <w:t>2. Iš gyvulininkystės</w:t>
                </w:r>
              </w:p>
            </w:tc>
            <w:tc>
              <w:tcPr>
                <w:tcW w:w="992" w:type="dxa"/>
                <w:tcMar>
                  <w:left w:w="0" w:type="dxa"/>
                  <w:right w:w="0" w:type="dxa"/>
                </w:tcMar>
                <w:vAlign w:val="center"/>
              </w:tcPr>
              <w:p>
                <w:pPr>
                  <w:overflowPunct w:val="0"/>
                  <w:textAlignment w:val="baseline"/>
                  <w:rPr>
                    <w:sz w:val="22"/>
                    <w:szCs w:val="22"/>
                  </w:rPr>
                </w:pPr>
              </w:p>
            </w:tc>
            <w:tc>
              <w:tcPr>
                <w:tcW w:w="993" w:type="dxa"/>
                <w:tcMar>
                  <w:left w:w="0" w:type="dxa"/>
                  <w:right w:w="0" w:type="dxa"/>
                </w:tcMar>
                <w:vAlign w:val="center"/>
              </w:tcPr>
              <w:p>
                <w:pPr>
                  <w:overflowPunct w:val="0"/>
                  <w:textAlignment w:val="baseline"/>
                  <w:rPr>
                    <w:sz w:val="22"/>
                    <w:szCs w:val="22"/>
                  </w:rPr>
                </w:pPr>
              </w:p>
            </w:tc>
            <w:tc>
              <w:tcPr>
                <w:tcW w:w="992" w:type="dxa"/>
                <w:tcMar>
                  <w:left w:w="0" w:type="dxa"/>
                  <w:right w:w="0" w:type="dxa"/>
                </w:tcMar>
                <w:vAlign w:val="center"/>
              </w:tcPr>
              <w:p>
                <w:pPr>
                  <w:overflowPunct w:val="0"/>
                  <w:textAlignment w:val="baseline"/>
                  <w:rPr>
                    <w:sz w:val="22"/>
                    <w:szCs w:val="22"/>
                  </w:rPr>
                </w:pPr>
              </w:p>
            </w:tc>
            <w:tc>
              <w:tcPr>
                <w:tcW w:w="992" w:type="dxa"/>
                <w:tcMar>
                  <w:left w:w="0" w:type="dxa"/>
                  <w:right w:w="0" w:type="dxa"/>
                </w:tcMar>
                <w:vAlign w:val="center"/>
              </w:tcPr>
              <w:p>
                <w:pPr>
                  <w:overflowPunct w:val="0"/>
                  <w:textAlignment w:val="baseline"/>
                  <w:rPr>
                    <w:sz w:val="22"/>
                    <w:szCs w:val="22"/>
                  </w:rPr>
                </w:pPr>
              </w:p>
            </w:tc>
            <w:tc>
              <w:tcPr>
                <w:tcW w:w="992" w:type="dxa"/>
                <w:tcMar>
                  <w:left w:w="0" w:type="dxa"/>
                  <w:right w:w="0" w:type="dxa"/>
                </w:tcMar>
                <w:vAlign w:val="center"/>
              </w:tcPr>
              <w:p>
                <w:pPr>
                  <w:overflowPunct w:val="0"/>
                  <w:textAlignment w:val="baseline"/>
                  <w:rPr>
                    <w:sz w:val="22"/>
                    <w:szCs w:val="22"/>
                  </w:rPr>
                </w:pPr>
              </w:p>
            </w:tc>
          </w:tr>
          <w:tr>
            <w:trPr>
              <w:cantSplit/>
              <w:trHeight w:hRule="exact" w:val="255"/>
            </w:trPr>
            <w:tc>
              <w:tcPr>
                <w:tcW w:w="4820" w:type="dxa"/>
                <w:gridSpan w:val="3"/>
                <w:tcMar>
                  <w:left w:w="0" w:type="dxa"/>
                  <w:right w:w="0" w:type="dxa"/>
                </w:tcMar>
                <w:vAlign w:val="center"/>
              </w:tcPr>
              <w:p>
                <w:pPr>
                  <w:overflowPunct w:val="0"/>
                  <w:ind w:firstLine="53"/>
                  <w:textAlignment w:val="baseline"/>
                  <w:rPr>
                    <w:sz w:val="22"/>
                    <w:szCs w:val="22"/>
                  </w:rPr>
                </w:pPr>
                <w:r>
                  <w:rPr>
                    <w:sz w:val="22"/>
                    <w:szCs w:val="22"/>
                  </w:rPr>
                  <w:t>3. Iš miško</w:t>
                </w:r>
              </w:p>
            </w:tc>
            <w:tc>
              <w:tcPr>
                <w:tcW w:w="992" w:type="dxa"/>
                <w:tcMar>
                  <w:left w:w="0" w:type="dxa"/>
                  <w:right w:w="0" w:type="dxa"/>
                </w:tcMar>
                <w:vAlign w:val="center"/>
              </w:tcPr>
              <w:p>
                <w:pPr>
                  <w:overflowPunct w:val="0"/>
                  <w:textAlignment w:val="baseline"/>
                  <w:rPr>
                    <w:sz w:val="22"/>
                    <w:szCs w:val="22"/>
                  </w:rPr>
                </w:pPr>
              </w:p>
            </w:tc>
            <w:tc>
              <w:tcPr>
                <w:tcW w:w="993" w:type="dxa"/>
                <w:tcMar>
                  <w:left w:w="0" w:type="dxa"/>
                  <w:right w:w="0" w:type="dxa"/>
                </w:tcMar>
                <w:vAlign w:val="center"/>
              </w:tcPr>
              <w:p>
                <w:pPr>
                  <w:overflowPunct w:val="0"/>
                  <w:textAlignment w:val="baseline"/>
                  <w:rPr>
                    <w:sz w:val="22"/>
                    <w:szCs w:val="22"/>
                  </w:rPr>
                </w:pPr>
              </w:p>
            </w:tc>
            <w:tc>
              <w:tcPr>
                <w:tcW w:w="992" w:type="dxa"/>
                <w:tcMar>
                  <w:left w:w="0" w:type="dxa"/>
                  <w:right w:w="0" w:type="dxa"/>
                </w:tcMar>
                <w:vAlign w:val="center"/>
              </w:tcPr>
              <w:p>
                <w:pPr>
                  <w:overflowPunct w:val="0"/>
                  <w:textAlignment w:val="baseline"/>
                  <w:rPr>
                    <w:sz w:val="22"/>
                    <w:szCs w:val="22"/>
                  </w:rPr>
                </w:pPr>
              </w:p>
            </w:tc>
            <w:tc>
              <w:tcPr>
                <w:tcW w:w="992" w:type="dxa"/>
                <w:tcMar>
                  <w:left w:w="0" w:type="dxa"/>
                  <w:right w:w="0" w:type="dxa"/>
                </w:tcMar>
                <w:vAlign w:val="center"/>
              </w:tcPr>
              <w:p>
                <w:pPr>
                  <w:overflowPunct w:val="0"/>
                  <w:textAlignment w:val="baseline"/>
                  <w:rPr>
                    <w:sz w:val="22"/>
                    <w:szCs w:val="22"/>
                  </w:rPr>
                </w:pPr>
              </w:p>
            </w:tc>
            <w:tc>
              <w:tcPr>
                <w:tcW w:w="992" w:type="dxa"/>
                <w:tcMar>
                  <w:left w:w="0" w:type="dxa"/>
                  <w:right w:w="0" w:type="dxa"/>
                </w:tcMar>
                <w:vAlign w:val="center"/>
              </w:tcPr>
              <w:p>
                <w:pPr>
                  <w:overflowPunct w:val="0"/>
                  <w:textAlignment w:val="baseline"/>
                  <w:rPr>
                    <w:sz w:val="22"/>
                    <w:szCs w:val="22"/>
                  </w:rPr>
                </w:pPr>
              </w:p>
            </w:tc>
          </w:tr>
          <w:tr>
            <w:trPr>
              <w:cantSplit/>
              <w:trHeight w:hRule="exact" w:val="255"/>
            </w:trPr>
            <w:tc>
              <w:tcPr>
                <w:tcW w:w="4820" w:type="dxa"/>
                <w:gridSpan w:val="3"/>
                <w:tcMar>
                  <w:left w:w="0" w:type="dxa"/>
                  <w:right w:w="0" w:type="dxa"/>
                </w:tcMar>
                <w:vAlign w:val="center"/>
              </w:tcPr>
              <w:p>
                <w:pPr>
                  <w:overflowPunct w:val="0"/>
                  <w:ind w:firstLine="53"/>
                  <w:textAlignment w:val="baseline"/>
                  <w:rPr>
                    <w:sz w:val="22"/>
                    <w:szCs w:val="22"/>
                  </w:rPr>
                </w:pPr>
                <w:r>
                  <w:rPr>
                    <w:sz w:val="22"/>
                    <w:szCs w:val="22"/>
                  </w:rPr>
                  <w:t>4. Iš vidaus vandenų</w:t>
                </w:r>
              </w:p>
            </w:tc>
            <w:tc>
              <w:tcPr>
                <w:tcW w:w="992" w:type="dxa"/>
                <w:tcMar>
                  <w:left w:w="0" w:type="dxa"/>
                  <w:right w:w="0" w:type="dxa"/>
                </w:tcMar>
                <w:vAlign w:val="center"/>
              </w:tcPr>
              <w:p>
                <w:pPr>
                  <w:overflowPunct w:val="0"/>
                  <w:textAlignment w:val="baseline"/>
                  <w:rPr>
                    <w:sz w:val="22"/>
                    <w:szCs w:val="22"/>
                  </w:rPr>
                </w:pPr>
              </w:p>
            </w:tc>
            <w:tc>
              <w:tcPr>
                <w:tcW w:w="993" w:type="dxa"/>
                <w:tcMar>
                  <w:left w:w="0" w:type="dxa"/>
                  <w:right w:w="0" w:type="dxa"/>
                </w:tcMar>
                <w:vAlign w:val="center"/>
              </w:tcPr>
              <w:p>
                <w:pPr>
                  <w:overflowPunct w:val="0"/>
                  <w:textAlignment w:val="baseline"/>
                  <w:rPr>
                    <w:sz w:val="22"/>
                    <w:szCs w:val="22"/>
                  </w:rPr>
                </w:pPr>
              </w:p>
            </w:tc>
            <w:tc>
              <w:tcPr>
                <w:tcW w:w="992" w:type="dxa"/>
                <w:tcMar>
                  <w:left w:w="0" w:type="dxa"/>
                  <w:right w:w="0" w:type="dxa"/>
                </w:tcMar>
                <w:vAlign w:val="center"/>
              </w:tcPr>
              <w:p>
                <w:pPr>
                  <w:overflowPunct w:val="0"/>
                  <w:textAlignment w:val="baseline"/>
                  <w:rPr>
                    <w:sz w:val="22"/>
                    <w:szCs w:val="22"/>
                  </w:rPr>
                </w:pPr>
              </w:p>
            </w:tc>
            <w:tc>
              <w:tcPr>
                <w:tcW w:w="992" w:type="dxa"/>
                <w:tcMar>
                  <w:left w:w="0" w:type="dxa"/>
                  <w:right w:w="0" w:type="dxa"/>
                </w:tcMar>
                <w:vAlign w:val="center"/>
              </w:tcPr>
              <w:p>
                <w:pPr>
                  <w:overflowPunct w:val="0"/>
                  <w:textAlignment w:val="baseline"/>
                  <w:rPr>
                    <w:sz w:val="22"/>
                    <w:szCs w:val="22"/>
                  </w:rPr>
                </w:pPr>
              </w:p>
            </w:tc>
            <w:tc>
              <w:tcPr>
                <w:tcW w:w="992" w:type="dxa"/>
                <w:tcMar>
                  <w:left w:w="0" w:type="dxa"/>
                  <w:right w:w="0" w:type="dxa"/>
                </w:tcMar>
                <w:vAlign w:val="center"/>
              </w:tcPr>
              <w:p>
                <w:pPr>
                  <w:overflowPunct w:val="0"/>
                  <w:textAlignment w:val="baseline"/>
                  <w:rPr>
                    <w:sz w:val="22"/>
                    <w:szCs w:val="22"/>
                  </w:rPr>
                </w:pPr>
              </w:p>
            </w:tc>
          </w:tr>
          <w:tr>
            <w:trPr>
              <w:cantSplit/>
              <w:trHeight w:hRule="exact" w:val="255"/>
            </w:trPr>
            <w:tc>
              <w:tcPr>
                <w:tcW w:w="4820" w:type="dxa"/>
                <w:gridSpan w:val="3"/>
                <w:tcMar>
                  <w:left w:w="0" w:type="dxa"/>
                  <w:right w:w="0" w:type="dxa"/>
                </w:tcMar>
                <w:vAlign w:val="center"/>
              </w:tcPr>
              <w:p>
                <w:pPr>
                  <w:overflowPunct w:val="0"/>
                  <w:ind w:firstLine="53"/>
                  <w:textAlignment w:val="baseline"/>
                  <w:rPr>
                    <w:sz w:val="22"/>
                    <w:szCs w:val="22"/>
                  </w:rPr>
                </w:pPr>
                <w:r>
                  <w:rPr>
                    <w:sz w:val="22"/>
                    <w:szCs w:val="22"/>
                  </w:rPr>
                  <w:t>5. Iš savos ž. ū. produkcijos perdirbimo</w:t>
                </w:r>
              </w:p>
            </w:tc>
            <w:tc>
              <w:tcPr>
                <w:tcW w:w="992" w:type="dxa"/>
                <w:tcMar>
                  <w:left w:w="0" w:type="dxa"/>
                  <w:right w:w="0" w:type="dxa"/>
                </w:tcMar>
                <w:vAlign w:val="center"/>
              </w:tcPr>
              <w:p>
                <w:pPr>
                  <w:overflowPunct w:val="0"/>
                  <w:textAlignment w:val="baseline"/>
                  <w:rPr>
                    <w:sz w:val="22"/>
                    <w:szCs w:val="22"/>
                  </w:rPr>
                </w:pPr>
              </w:p>
            </w:tc>
            <w:tc>
              <w:tcPr>
                <w:tcW w:w="993" w:type="dxa"/>
                <w:tcMar>
                  <w:left w:w="0" w:type="dxa"/>
                  <w:right w:w="0" w:type="dxa"/>
                </w:tcMar>
                <w:vAlign w:val="center"/>
              </w:tcPr>
              <w:p>
                <w:pPr>
                  <w:overflowPunct w:val="0"/>
                  <w:textAlignment w:val="baseline"/>
                  <w:rPr>
                    <w:sz w:val="22"/>
                    <w:szCs w:val="22"/>
                  </w:rPr>
                </w:pPr>
              </w:p>
            </w:tc>
            <w:tc>
              <w:tcPr>
                <w:tcW w:w="992" w:type="dxa"/>
                <w:tcMar>
                  <w:left w:w="0" w:type="dxa"/>
                  <w:right w:w="0" w:type="dxa"/>
                </w:tcMar>
                <w:vAlign w:val="center"/>
              </w:tcPr>
              <w:p>
                <w:pPr>
                  <w:overflowPunct w:val="0"/>
                  <w:textAlignment w:val="baseline"/>
                  <w:rPr>
                    <w:sz w:val="22"/>
                    <w:szCs w:val="22"/>
                  </w:rPr>
                </w:pPr>
              </w:p>
            </w:tc>
            <w:tc>
              <w:tcPr>
                <w:tcW w:w="992" w:type="dxa"/>
                <w:tcMar>
                  <w:left w:w="0" w:type="dxa"/>
                  <w:right w:w="0" w:type="dxa"/>
                </w:tcMar>
                <w:vAlign w:val="center"/>
              </w:tcPr>
              <w:p>
                <w:pPr>
                  <w:overflowPunct w:val="0"/>
                  <w:textAlignment w:val="baseline"/>
                  <w:rPr>
                    <w:sz w:val="22"/>
                    <w:szCs w:val="22"/>
                  </w:rPr>
                </w:pPr>
              </w:p>
            </w:tc>
            <w:tc>
              <w:tcPr>
                <w:tcW w:w="992" w:type="dxa"/>
                <w:tcMar>
                  <w:left w:w="0" w:type="dxa"/>
                  <w:right w:w="0" w:type="dxa"/>
                </w:tcMar>
                <w:vAlign w:val="center"/>
              </w:tcPr>
              <w:p>
                <w:pPr>
                  <w:overflowPunct w:val="0"/>
                  <w:textAlignment w:val="baseline"/>
                  <w:rPr>
                    <w:sz w:val="22"/>
                    <w:szCs w:val="22"/>
                  </w:rPr>
                </w:pPr>
              </w:p>
            </w:tc>
          </w:tr>
          <w:tr>
            <w:trPr>
              <w:cantSplit/>
              <w:trHeight w:hRule="exact" w:val="255"/>
            </w:trPr>
            <w:tc>
              <w:tcPr>
                <w:tcW w:w="2387" w:type="dxa"/>
                <w:vMerge w:val="restart"/>
                <w:tcMar>
                  <w:left w:w="0" w:type="dxa"/>
                  <w:right w:w="0" w:type="dxa"/>
                </w:tcMar>
                <w:vAlign w:val="center"/>
              </w:tcPr>
              <w:p>
                <w:pPr>
                  <w:overflowPunct w:val="0"/>
                  <w:ind w:firstLine="53"/>
                  <w:textAlignment w:val="baseline"/>
                  <w:rPr>
                    <w:sz w:val="22"/>
                    <w:szCs w:val="22"/>
                  </w:rPr>
                </w:pPr>
                <w:r>
                  <w:rPr>
                    <w:sz w:val="22"/>
                    <w:szCs w:val="22"/>
                  </w:rPr>
                  <w:t>6. Iš paslaugų žemės ūkiui</w:t>
                </w:r>
              </w:p>
            </w:tc>
            <w:tc>
              <w:tcPr>
                <w:tcW w:w="2433" w:type="dxa"/>
                <w:gridSpan w:val="2"/>
                <w:tcMar>
                  <w:left w:w="0" w:type="dxa"/>
                  <w:right w:w="0" w:type="dxa"/>
                </w:tcMar>
                <w:vAlign w:val="center"/>
              </w:tcPr>
              <w:p>
                <w:pPr>
                  <w:overflowPunct w:val="0"/>
                  <w:textAlignment w:val="baseline"/>
                  <w:rPr>
                    <w:sz w:val="22"/>
                    <w:szCs w:val="22"/>
                  </w:rPr>
                </w:pPr>
              </w:p>
            </w:tc>
            <w:tc>
              <w:tcPr>
                <w:tcW w:w="992" w:type="dxa"/>
                <w:tcMar>
                  <w:left w:w="0" w:type="dxa"/>
                  <w:right w:w="0" w:type="dxa"/>
                </w:tcMar>
                <w:vAlign w:val="center"/>
              </w:tcPr>
              <w:p>
                <w:pPr>
                  <w:overflowPunct w:val="0"/>
                  <w:textAlignment w:val="baseline"/>
                  <w:rPr>
                    <w:sz w:val="22"/>
                    <w:szCs w:val="22"/>
                  </w:rPr>
                </w:pPr>
              </w:p>
            </w:tc>
            <w:tc>
              <w:tcPr>
                <w:tcW w:w="993" w:type="dxa"/>
                <w:tcMar>
                  <w:left w:w="0" w:type="dxa"/>
                  <w:right w:w="0" w:type="dxa"/>
                </w:tcMar>
                <w:vAlign w:val="center"/>
              </w:tcPr>
              <w:p>
                <w:pPr>
                  <w:overflowPunct w:val="0"/>
                  <w:textAlignment w:val="baseline"/>
                  <w:rPr>
                    <w:sz w:val="22"/>
                    <w:szCs w:val="22"/>
                  </w:rPr>
                </w:pPr>
              </w:p>
            </w:tc>
            <w:tc>
              <w:tcPr>
                <w:tcW w:w="992" w:type="dxa"/>
                <w:tcMar>
                  <w:left w:w="0" w:type="dxa"/>
                  <w:right w:w="0" w:type="dxa"/>
                </w:tcMar>
                <w:vAlign w:val="center"/>
              </w:tcPr>
              <w:p>
                <w:pPr>
                  <w:overflowPunct w:val="0"/>
                  <w:textAlignment w:val="baseline"/>
                  <w:rPr>
                    <w:sz w:val="22"/>
                    <w:szCs w:val="22"/>
                  </w:rPr>
                </w:pPr>
              </w:p>
            </w:tc>
            <w:tc>
              <w:tcPr>
                <w:tcW w:w="992" w:type="dxa"/>
                <w:tcMar>
                  <w:left w:w="0" w:type="dxa"/>
                  <w:right w:w="0" w:type="dxa"/>
                </w:tcMar>
                <w:vAlign w:val="center"/>
              </w:tcPr>
              <w:p>
                <w:pPr>
                  <w:overflowPunct w:val="0"/>
                  <w:textAlignment w:val="baseline"/>
                  <w:rPr>
                    <w:sz w:val="22"/>
                    <w:szCs w:val="22"/>
                  </w:rPr>
                </w:pPr>
              </w:p>
            </w:tc>
            <w:tc>
              <w:tcPr>
                <w:tcW w:w="992" w:type="dxa"/>
                <w:tcMar>
                  <w:left w:w="0" w:type="dxa"/>
                  <w:right w:w="0" w:type="dxa"/>
                </w:tcMar>
                <w:vAlign w:val="center"/>
              </w:tcPr>
              <w:p>
                <w:pPr>
                  <w:overflowPunct w:val="0"/>
                  <w:textAlignment w:val="baseline"/>
                  <w:rPr>
                    <w:sz w:val="22"/>
                    <w:szCs w:val="22"/>
                  </w:rPr>
                </w:pPr>
              </w:p>
            </w:tc>
          </w:tr>
          <w:tr>
            <w:trPr>
              <w:cantSplit/>
              <w:trHeight w:hRule="exact" w:val="255"/>
            </w:trPr>
            <w:tc>
              <w:tcPr>
                <w:tcW w:w="2387" w:type="dxa"/>
                <w:vMerge/>
                <w:tcMar>
                  <w:left w:w="0" w:type="dxa"/>
                  <w:right w:w="0" w:type="dxa"/>
                </w:tcMar>
                <w:vAlign w:val="center"/>
              </w:tcPr>
              <w:p>
                <w:pPr>
                  <w:overflowPunct w:val="0"/>
                  <w:textAlignment w:val="baseline"/>
                  <w:rPr>
                    <w:sz w:val="22"/>
                    <w:szCs w:val="22"/>
                  </w:rPr>
                </w:pPr>
              </w:p>
            </w:tc>
            <w:tc>
              <w:tcPr>
                <w:tcW w:w="2433" w:type="dxa"/>
                <w:gridSpan w:val="2"/>
                <w:tcMar>
                  <w:left w:w="0" w:type="dxa"/>
                  <w:right w:w="0" w:type="dxa"/>
                </w:tcMar>
                <w:vAlign w:val="center"/>
              </w:tcPr>
              <w:p>
                <w:pPr>
                  <w:overflowPunct w:val="0"/>
                  <w:textAlignment w:val="baseline"/>
                  <w:rPr>
                    <w:sz w:val="22"/>
                    <w:szCs w:val="22"/>
                  </w:rPr>
                </w:pPr>
              </w:p>
            </w:tc>
            <w:tc>
              <w:tcPr>
                <w:tcW w:w="992" w:type="dxa"/>
                <w:tcMar>
                  <w:left w:w="0" w:type="dxa"/>
                  <w:right w:w="0" w:type="dxa"/>
                </w:tcMar>
                <w:vAlign w:val="center"/>
              </w:tcPr>
              <w:p>
                <w:pPr>
                  <w:overflowPunct w:val="0"/>
                  <w:textAlignment w:val="baseline"/>
                  <w:rPr>
                    <w:sz w:val="22"/>
                    <w:szCs w:val="22"/>
                  </w:rPr>
                </w:pPr>
              </w:p>
            </w:tc>
            <w:tc>
              <w:tcPr>
                <w:tcW w:w="993" w:type="dxa"/>
                <w:tcMar>
                  <w:left w:w="0" w:type="dxa"/>
                  <w:right w:w="0" w:type="dxa"/>
                </w:tcMar>
                <w:vAlign w:val="center"/>
              </w:tcPr>
              <w:p>
                <w:pPr>
                  <w:overflowPunct w:val="0"/>
                  <w:textAlignment w:val="baseline"/>
                  <w:rPr>
                    <w:sz w:val="22"/>
                    <w:szCs w:val="22"/>
                  </w:rPr>
                </w:pPr>
              </w:p>
            </w:tc>
            <w:tc>
              <w:tcPr>
                <w:tcW w:w="992" w:type="dxa"/>
                <w:tcMar>
                  <w:left w:w="0" w:type="dxa"/>
                  <w:right w:w="0" w:type="dxa"/>
                </w:tcMar>
                <w:vAlign w:val="center"/>
              </w:tcPr>
              <w:p>
                <w:pPr>
                  <w:overflowPunct w:val="0"/>
                  <w:textAlignment w:val="baseline"/>
                  <w:rPr>
                    <w:sz w:val="22"/>
                    <w:szCs w:val="22"/>
                  </w:rPr>
                </w:pPr>
              </w:p>
            </w:tc>
            <w:tc>
              <w:tcPr>
                <w:tcW w:w="992" w:type="dxa"/>
                <w:tcMar>
                  <w:left w:w="0" w:type="dxa"/>
                  <w:right w:w="0" w:type="dxa"/>
                </w:tcMar>
                <w:vAlign w:val="center"/>
              </w:tcPr>
              <w:p>
                <w:pPr>
                  <w:overflowPunct w:val="0"/>
                  <w:textAlignment w:val="baseline"/>
                  <w:rPr>
                    <w:sz w:val="22"/>
                    <w:szCs w:val="22"/>
                  </w:rPr>
                </w:pPr>
              </w:p>
            </w:tc>
            <w:tc>
              <w:tcPr>
                <w:tcW w:w="992" w:type="dxa"/>
                <w:tcMar>
                  <w:left w:w="0" w:type="dxa"/>
                  <w:right w:w="0" w:type="dxa"/>
                </w:tcMar>
                <w:vAlign w:val="center"/>
              </w:tcPr>
              <w:p>
                <w:pPr>
                  <w:overflowPunct w:val="0"/>
                  <w:textAlignment w:val="baseline"/>
                  <w:rPr>
                    <w:sz w:val="22"/>
                    <w:szCs w:val="22"/>
                  </w:rPr>
                </w:pPr>
              </w:p>
            </w:tc>
          </w:tr>
          <w:tr>
            <w:trPr>
              <w:cantSplit/>
              <w:trHeight w:hRule="exact" w:val="255"/>
            </w:trPr>
            <w:tc>
              <w:tcPr>
                <w:tcW w:w="2387" w:type="dxa"/>
                <w:vMerge w:val="restart"/>
                <w:tcMar>
                  <w:left w:w="0" w:type="dxa"/>
                  <w:right w:w="0" w:type="dxa"/>
                </w:tcMar>
                <w:vAlign w:val="center"/>
              </w:tcPr>
              <w:p>
                <w:pPr>
                  <w:overflowPunct w:val="0"/>
                  <w:ind w:firstLine="53"/>
                  <w:textAlignment w:val="baseline"/>
                  <w:rPr>
                    <w:sz w:val="22"/>
                    <w:szCs w:val="22"/>
                  </w:rPr>
                </w:pPr>
                <w:r>
                  <w:rPr>
                    <w:sz w:val="22"/>
                    <w:szCs w:val="22"/>
                  </w:rPr>
                  <w:t>7. Iš ne žemės ūkio veiklos</w:t>
                </w:r>
              </w:p>
            </w:tc>
            <w:tc>
              <w:tcPr>
                <w:tcW w:w="2433" w:type="dxa"/>
                <w:gridSpan w:val="2"/>
                <w:tcMar>
                  <w:left w:w="0" w:type="dxa"/>
                  <w:right w:w="0" w:type="dxa"/>
                </w:tcMar>
                <w:vAlign w:val="center"/>
              </w:tcPr>
              <w:p>
                <w:pPr>
                  <w:overflowPunct w:val="0"/>
                  <w:textAlignment w:val="baseline"/>
                  <w:rPr>
                    <w:sz w:val="22"/>
                    <w:szCs w:val="22"/>
                  </w:rPr>
                </w:pPr>
              </w:p>
            </w:tc>
            <w:tc>
              <w:tcPr>
                <w:tcW w:w="992" w:type="dxa"/>
                <w:tcMar>
                  <w:left w:w="0" w:type="dxa"/>
                  <w:right w:w="0" w:type="dxa"/>
                </w:tcMar>
                <w:vAlign w:val="center"/>
              </w:tcPr>
              <w:p>
                <w:pPr>
                  <w:overflowPunct w:val="0"/>
                  <w:textAlignment w:val="baseline"/>
                  <w:rPr>
                    <w:sz w:val="22"/>
                    <w:szCs w:val="22"/>
                  </w:rPr>
                </w:pPr>
              </w:p>
            </w:tc>
            <w:tc>
              <w:tcPr>
                <w:tcW w:w="993" w:type="dxa"/>
                <w:tcMar>
                  <w:left w:w="0" w:type="dxa"/>
                  <w:right w:w="0" w:type="dxa"/>
                </w:tcMar>
                <w:vAlign w:val="center"/>
              </w:tcPr>
              <w:p>
                <w:pPr>
                  <w:overflowPunct w:val="0"/>
                  <w:textAlignment w:val="baseline"/>
                  <w:rPr>
                    <w:sz w:val="22"/>
                    <w:szCs w:val="22"/>
                  </w:rPr>
                </w:pPr>
              </w:p>
            </w:tc>
            <w:tc>
              <w:tcPr>
                <w:tcW w:w="992" w:type="dxa"/>
                <w:tcMar>
                  <w:left w:w="0" w:type="dxa"/>
                  <w:right w:w="0" w:type="dxa"/>
                </w:tcMar>
                <w:vAlign w:val="center"/>
              </w:tcPr>
              <w:p>
                <w:pPr>
                  <w:tabs>
                    <w:tab w:val="center" w:pos="4153"/>
                    <w:tab w:val="right" w:pos="8306"/>
                  </w:tabs>
                  <w:overflowPunct w:val="0"/>
                  <w:textAlignment w:val="baseline"/>
                  <w:rPr>
                    <w:sz w:val="22"/>
                    <w:szCs w:val="22"/>
                  </w:rPr>
                </w:pPr>
              </w:p>
            </w:tc>
            <w:tc>
              <w:tcPr>
                <w:tcW w:w="992" w:type="dxa"/>
                <w:tcMar>
                  <w:left w:w="0" w:type="dxa"/>
                  <w:right w:w="0" w:type="dxa"/>
                </w:tcMar>
                <w:vAlign w:val="center"/>
              </w:tcPr>
              <w:p>
                <w:pPr>
                  <w:overflowPunct w:val="0"/>
                  <w:textAlignment w:val="baseline"/>
                  <w:rPr>
                    <w:sz w:val="22"/>
                    <w:szCs w:val="22"/>
                  </w:rPr>
                </w:pPr>
              </w:p>
            </w:tc>
            <w:tc>
              <w:tcPr>
                <w:tcW w:w="992" w:type="dxa"/>
                <w:tcMar>
                  <w:left w:w="0" w:type="dxa"/>
                  <w:right w:w="0" w:type="dxa"/>
                </w:tcMar>
                <w:vAlign w:val="center"/>
              </w:tcPr>
              <w:p>
                <w:pPr>
                  <w:overflowPunct w:val="0"/>
                  <w:textAlignment w:val="baseline"/>
                  <w:rPr>
                    <w:sz w:val="22"/>
                    <w:szCs w:val="22"/>
                  </w:rPr>
                </w:pPr>
              </w:p>
            </w:tc>
          </w:tr>
          <w:tr>
            <w:trPr>
              <w:cantSplit/>
              <w:trHeight w:hRule="exact" w:val="255"/>
            </w:trPr>
            <w:tc>
              <w:tcPr>
                <w:tcW w:w="2387" w:type="dxa"/>
                <w:vMerge/>
                <w:tcMar>
                  <w:left w:w="0" w:type="dxa"/>
                  <w:right w:w="0" w:type="dxa"/>
                </w:tcMar>
                <w:vAlign w:val="center"/>
              </w:tcPr>
              <w:p>
                <w:pPr>
                  <w:overflowPunct w:val="0"/>
                  <w:textAlignment w:val="baseline"/>
                  <w:rPr>
                    <w:sz w:val="22"/>
                    <w:szCs w:val="22"/>
                  </w:rPr>
                </w:pPr>
              </w:p>
            </w:tc>
            <w:tc>
              <w:tcPr>
                <w:tcW w:w="2433" w:type="dxa"/>
                <w:gridSpan w:val="2"/>
                <w:tcMar>
                  <w:left w:w="0" w:type="dxa"/>
                  <w:right w:w="0" w:type="dxa"/>
                </w:tcMar>
                <w:vAlign w:val="center"/>
              </w:tcPr>
              <w:p>
                <w:pPr>
                  <w:overflowPunct w:val="0"/>
                  <w:textAlignment w:val="baseline"/>
                  <w:rPr>
                    <w:sz w:val="22"/>
                    <w:szCs w:val="22"/>
                  </w:rPr>
                </w:pPr>
              </w:p>
            </w:tc>
            <w:tc>
              <w:tcPr>
                <w:tcW w:w="992" w:type="dxa"/>
                <w:tcMar>
                  <w:left w:w="0" w:type="dxa"/>
                  <w:right w:w="0" w:type="dxa"/>
                </w:tcMar>
                <w:vAlign w:val="center"/>
              </w:tcPr>
              <w:p>
                <w:pPr>
                  <w:overflowPunct w:val="0"/>
                  <w:textAlignment w:val="baseline"/>
                  <w:rPr>
                    <w:sz w:val="22"/>
                    <w:szCs w:val="22"/>
                  </w:rPr>
                </w:pPr>
              </w:p>
            </w:tc>
            <w:tc>
              <w:tcPr>
                <w:tcW w:w="993" w:type="dxa"/>
                <w:tcMar>
                  <w:left w:w="0" w:type="dxa"/>
                  <w:right w:w="0" w:type="dxa"/>
                </w:tcMar>
                <w:vAlign w:val="center"/>
              </w:tcPr>
              <w:p>
                <w:pPr>
                  <w:overflowPunct w:val="0"/>
                  <w:textAlignment w:val="baseline"/>
                  <w:rPr>
                    <w:sz w:val="22"/>
                    <w:szCs w:val="22"/>
                  </w:rPr>
                </w:pPr>
              </w:p>
            </w:tc>
            <w:tc>
              <w:tcPr>
                <w:tcW w:w="992" w:type="dxa"/>
                <w:tcMar>
                  <w:left w:w="0" w:type="dxa"/>
                  <w:right w:w="0" w:type="dxa"/>
                </w:tcMar>
                <w:vAlign w:val="center"/>
              </w:tcPr>
              <w:p>
                <w:pPr>
                  <w:overflowPunct w:val="0"/>
                  <w:textAlignment w:val="baseline"/>
                  <w:rPr>
                    <w:sz w:val="22"/>
                    <w:szCs w:val="22"/>
                  </w:rPr>
                </w:pPr>
              </w:p>
            </w:tc>
            <w:tc>
              <w:tcPr>
                <w:tcW w:w="992" w:type="dxa"/>
                <w:tcMar>
                  <w:left w:w="0" w:type="dxa"/>
                  <w:right w:w="0" w:type="dxa"/>
                </w:tcMar>
                <w:vAlign w:val="center"/>
              </w:tcPr>
              <w:p>
                <w:pPr>
                  <w:overflowPunct w:val="0"/>
                  <w:textAlignment w:val="baseline"/>
                  <w:rPr>
                    <w:sz w:val="22"/>
                    <w:szCs w:val="22"/>
                  </w:rPr>
                </w:pPr>
              </w:p>
            </w:tc>
            <w:tc>
              <w:tcPr>
                <w:tcW w:w="992" w:type="dxa"/>
                <w:tcMar>
                  <w:left w:w="0" w:type="dxa"/>
                  <w:right w:w="0" w:type="dxa"/>
                </w:tcMar>
                <w:vAlign w:val="center"/>
              </w:tcPr>
              <w:p>
                <w:pPr>
                  <w:overflowPunct w:val="0"/>
                  <w:textAlignment w:val="baseline"/>
                  <w:rPr>
                    <w:sz w:val="22"/>
                    <w:szCs w:val="22"/>
                  </w:rPr>
                </w:pPr>
              </w:p>
            </w:tc>
          </w:tr>
          <w:tr>
            <w:trPr>
              <w:cantSplit/>
              <w:trHeight w:hRule="exact" w:val="255"/>
            </w:trPr>
            <w:tc>
              <w:tcPr>
                <w:tcW w:w="2387" w:type="dxa"/>
                <w:vMerge/>
                <w:tcMar>
                  <w:left w:w="0" w:type="dxa"/>
                  <w:right w:w="0" w:type="dxa"/>
                </w:tcMar>
                <w:vAlign w:val="center"/>
              </w:tcPr>
              <w:p>
                <w:pPr>
                  <w:overflowPunct w:val="0"/>
                  <w:textAlignment w:val="baseline"/>
                  <w:rPr>
                    <w:b/>
                    <w:sz w:val="22"/>
                    <w:szCs w:val="22"/>
                  </w:rPr>
                </w:pPr>
              </w:p>
            </w:tc>
            <w:tc>
              <w:tcPr>
                <w:tcW w:w="2433" w:type="dxa"/>
                <w:gridSpan w:val="2"/>
                <w:tcMar>
                  <w:left w:w="0" w:type="dxa"/>
                  <w:right w:w="0" w:type="dxa"/>
                </w:tcMar>
                <w:vAlign w:val="center"/>
              </w:tcPr>
              <w:p>
                <w:pPr>
                  <w:overflowPunct w:val="0"/>
                  <w:textAlignment w:val="baseline"/>
                  <w:rPr>
                    <w:sz w:val="22"/>
                    <w:szCs w:val="22"/>
                  </w:rPr>
                </w:pPr>
              </w:p>
            </w:tc>
            <w:tc>
              <w:tcPr>
                <w:tcW w:w="992" w:type="dxa"/>
                <w:tcMar>
                  <w:left w:w="0" w:type="dxa"/>
                  <w:right w:w="0" w:type="dxa"/>
                </w:tcMar>
                <w:vAlign w:val="center"/>
              </w:tcPr>
              <w:p>
                <w:pPr>
                  <w:overflowPunct w:val="0"/>
                  <w:textAlignment w:val="baseline"/>
                  <w:rPr>
                    <w:sz w:val="22"/>
                    <w:szCs w:val="22"/>
                  </w:rPr>
                </w:pPr>
              </w:p>
            </w:tc>
            <w:tc>
              <w:tcPr>
                <w:tcW w:w="993" w:type="dxa"/>
                <w:tcMar>
                  <w:left w:w="0" w:type="dxa"/>
                  <w:right w:w="0" w:type="dxa"/>
                </w:tcMar>
                <w:vAlign w:val="center"/>
              </w:tcPr>
              <w:p>
                <w:pPr>
                  <w:overflowPunct w:val="0"/>
                  <w:textAlignment w:val="baseline"/>
                  <w:rPr>
                    <w:sz w:val="22"/>
                    <w:szCs w:val="22"/>
                  </w:rPr>
                </w:pPr>
              </w:p>
            </w:tc>
            <w:tc>
              <w:tcPr>
                <w:tcW w:w="992" w:type="dxa"/>
                <w:tcMar>
                  <w:left w:w="0" w:type="dxa"/>
                  <w:right w:w="0" w:type="dxa"/>
                </w:tcMar>
                <w:vAlign w:val="center"/>
              </w:tcPr>
              <w:p>
                <w:pPr>
                  <w:overflowPunct w:val="0"/>
                  <w:textAlignment w:val="baseline"/>
                  <w:rPr>
                    <w:sz w:val="22"/>
                    <w:szCs w:val="22"/>
                  </w:rPr>
                </w:pPr>
              </w:p>
            </w:tc>
            <w:tc>
              <w:tcPr>
                <w:tcW w:w="992" w:type="dxa"/>
                <w:tcMar>
                  <w:left w:w="0" w:type="dxa"/>
                  <w:right w:w="0" w:type="dxa"/>
                </w:tcMar>
                <w:vAlign w:val="center"/>
              </w:tcPr>
              <w:p>
                <w:pPr>
                  <w:overflowPunct w:val="0"/>
                  <w:textAlignment w:val="baseline"/>
                  <w:rPr>
                    <w:sz w:val="22"/>
                    <w:szCs w:val="22"/>
                  </w:rPr>
                </w:pPr>
              </w:p>
            </w:tc>
            <w:tc>
              <w:tcPr>
                <w:tcW w:w="992" w:type="dxa"/>
                <w:tcMar>
                  <w:left w:w="0" w:type="dxa"/>
                  <w:right w:w="0" w:type="dxa"/>
                </w:tcMar>
                <w:vAlign w:val="center"/>
              </w:tcPr>
              <w:p>
                <w:pPr>
                  <w:overflowPunct w:val="0"/>
                  <w:textAlignment w:val="baseline"/>
                  <w:rPr>
                    <w:sz w:val="22"/>
                    <w:szCs w:val="22"/>
                  </w:rPr>
                </w:pPr>
              </w:p>
            </w:tc>
          </w:tr>
          <w:tr>
            <w:trPr>
              <w:cantSplit/>
              <w:trHeight w:hRule="exact" w:val="255"/>
            </w:trPr>
            <w:tc>
              <w:tcPr>
                <w:tcW w:w="4820" w:type="dxa"/>
                <w:gridSpan w:val="3"/>
                <w:vAlign w:val="center"/>
              </w:tcPr>
              <w:p>
                <w:pPr>
                  <w:overflowPunct w:val="0"/>
                  <w:textAlignment w:val="baseline"/>
                  <w:rPr>
                    <w:b/>
                    <w:sz w:val="22"/>
                    <w:szCs w:val="22"/>
                  </w:rPr>
                </w:pPr>
                <w:r>
                  <w:rPr>
                    <w:b/>
                    <w:sz w:val="22"/>
                    <w:szCs w:val="22"/>
                  </w:rPr>
                  <w:t>Iš viso piniginių įplaukų</w:t>
                </w:r>
              </w:p>
            </w:tc>
            <w:tc>
              <w:tcPr>
                <w:tcW w:w="992" w:type="dxa"/>
                <w:vAlign w:val="center"/>
              </w:tcPr>
              <w:p>
                <w:pPr>
                  <w:overflowPunct w:val="0"/>
                  <w:textAlignment w:val="baseline"/>
                  <w:rPr>
                    <w:sz w:val="22"/>
                    <w:szCs w:val="22"/>
                  </w:rPr>
                </w:pPr>
              </w:p>
            </w:tc>
            <w:tc>
              <w:tcPr>
                <w:tcW w:w="993"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r>
          <w:tr>
            <w:trPr>
              <w:cantSplit/>
              <w:trHeight w:hRule="exact" w:val="255"/>
            </w:trPr>
            <w:tc>
              <w:tcPr>
                <w:tcW w:w="4820" w:type="dxa"/>
                <w:gridSpan w:val="3"/>
                <w:vAlign w:val="center"/>
              </w:tcPr>
              <w:p>
                <w:pPr>
                  <w:overflowPunct w:val="0"/>
                  <w:textAlignment w:val="baseline"/>
                  <w:rPr>
                    <w:spacing w:val="20"/>
                    <w:sz w:val="22"/>
                    <w:szCs w:val="22"/>
                  </w:rPr>
                </w:pPr>
                <w:r>
                  <w:rPr>
                    <w:spacing w:val="20"/>
                    <w:sz w:val="22"/>
                    <w:szCs w:val="22"/>
                  </w:rPr>
                  <w:t>IŠLAIDOS</w:t>
                </w:r>
              </w:p>
            </w:tc>
            <w:tc>
              <w:tcPr>
                <w:tcW w:w="992" w:type="dxa"/>
                <w:vAlign w:val="center"/>
              </w:tcPr>
              <w:p>
                <w:pPr>
                  <w:overflowPunct w:val="0"/>
                  <w:textAlignment w:val="baseline"/>
                  <w:rPr>
                    <w:sz w:val="22"/>
                    <w:szCs w:val="22"/>
                  </w:rPr>
                </w:pPr>
              </w:p>
            </w:tc>
            <w:tc>
              <w:tcPr>
                <w:tcW w:w="993"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r>
          <w:tr>
            <w:trPr>
              <w:cantSplit/>
              <w:trHeight w:hRule="exact" w:val="255"/>
            </w:trPr>
            <w:tc>
              <w:tcPr>
                <w:tcW w:w="4820" w:type="dxa"/>
                <w:gridSpan w:val="3"/>
                <w:vAlign w:val="center"/>
              </w:tcPr>
              <w:p>
                <w:pPr>
                  <w:overflowPunct w:val="0"/>
                  <w:textAlignment w:val="baseline"/>
                  <w:rPr>
                    <w:sz w:val="22"/>
                    <w:szCs w:val="22"/>
                  </w:rPr>
                </w:pPr>
                <w:r>
                  <w:rPr>
                    <w:sz w:val="22"/>
                    <w:szCs w:val="22"/>
                  </w:rPr>
                  <w:t>1. Sėklai ir sodmenims pirkti</w:t>
                </w:r>
              </w:p>
            </w:tc>
            <w:tc>
              <w:tcPr>
                <w:tcW w:w="992" w:type="dxa"/>
                <w:vAlign w:val="center"/>
              </w:tcPr>
              <w:p>
                <w:pPr>
                  <w:overflowPunct w:val="0"/>
                  <w:textAlignment w:val="baseline"/>
                  <w:rPr>
                    <w:sz w:val="22"/>
                    <w:szCs w:val="22"/>
                  </w:rPr>
                </w:pPr>
              </w:p>
            </w:tc>
            <w:tc>
              <w:tcPr>
                <w:tcW w:w="993"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r>
          <w:tr>
            <w:trPr>
              <w:cantSplit/>
              <w:trHeight w:hRule="exact" w:val="255"/>
            </w:trPr>
            <w:tc>
              <w:tcPr>
                <w:tcW w:w="4820" w:type="dxa"/>
                <w:gridSpan w:val="3"/>
                <w:vAlign w:val="center"/>
              </w:tcPr>
              <w:p>
                <w:pPr>
                  <w:overflowPunct w:val="0"/>
                  <w:textAlignment w:val="baseline"/>
                  <w:rPr>
                    <w:sz w:val="22"/>
                    <w:szCs w:val="22"/>
                  </w:rPr>
                </w:pPr>
                <w:r>
                  <w:rPr>
                    <w:sz w:val="22"/>
                    <w:szCs w:val="22"/>
                  </w:rPr>
                  <w:t>2. Trąšoms ir kalkėms pirkti</w:t>
                </w:r>
              </w:p>
            </w:tc>
            <w:tc>
              <w:tcPr>
                <w:tcW w:w="992" w:type="dxa"/>
                <w:vAlign w:val="center"/>
              </w:tcPr>
              <w:p>
                <w:pPr>
                  <w:overflowPunct w:val="0"/>
                  <w:textAlignment w:val="baseline"/>
                  <w:rPr>
                    <w:sz w:val="22"/>
                    <w:szCs w:val="22"/>
                  </w:rPr>
                </w:pPr>
              </w:p>
            </w:tc>
            <w:tc>
              <w:tcPr>
                <w:tcW w:w="993"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r>
          <w:tr>
            <w:trPr>
              <w:cantSplit/>
              <w:trHeight w:hRule="exact" w:val="255"/>
            </w:trPr>
            <w:tc>
              <w:tcPr>
                <w:tcW w:w="4820" w:type="dxa"/>
                <w:gridSpan w:val="3"/>
                <w:vAlign w:val="center"/>
              </w:tcPr>
              <w:p>
                <w:pPr>
                  <w:overflowPunct w:val="0"/>
                  <w:textAlignment w:val="baseline"/>
                  <w:rPr>
                    <w:sz w:val="22"/>
                    <w:szCs w:val="22"/>
                  </w:rPr>
                </w:pPr>
                <w:r>
                  <w:rPr>
                    <w:sz w:val="22"/>
                    <w:szCs w:val="22"/>
                  </w:rPr>
                  <w:t>3. Augalų apsaugos priemonėms pirkti</w:t>
                </w:r>
              </w:p>
            </w:tc>
            <w:tc>
              <w:tcPr>
                <w:tcW w:w="992" w:type="dxa"/>
                <w:vAlign w:val="center"/>
              </w:tcPr>
              <w:p>
                <w:pPr>
                  <w:overflowPunct w:val="0"/>
                  <w:textAlignment w:val="baseline"/>
                  <w:rPr>
                    <w:sz w:val="22"/>
                    <w:szCs w:val="22"/>
                  </w:rPr>
                </w:pPr>
              </w:p>
            </w:tc>
            <w:tc>
              <w:tcPr>
                <w:tcW w:w="993"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r>
          <w:tr>
            <w:trPr>
              <w:cantSplit/>
              <w:trHeight w:hRule="exact" w:val="255"/>
            </w:trPr>
            <w:tc>
              <w:tcPr>
                <w:tcW w:w="4820" w:type="dxa"/>
                <w:gridSpan w:val="3"/>
                <w:vAlign w:val="center"/>
              </w:tcPr>
              <w:p>
                <w:pPr>
                  <w:overflowPunct w:val="0"/>
                  <w:textAlignment w:val="baseline"/>
                  <w:rPr>
                    <w:sz w:val="22"/>
                    <w:szCs w:val="22"/>
                  </w:rPr>
                </w:pPr>
                <w:r>
                  <w:rPr>
                    <w:sz w:val="22"/>
                    <w:szCs w:val="22"/>
                  </w:rPr>
                  <w:t>4. Pašarams pirkti</w:t>
                </w:r>
              </w:p>
            </w:tc>
            <w:tc>
              <w:tcPr>
                <w:tcW w:w="992" w:type="dxa"/>
                <w:vAlign w:val="center"/>
              </w:tcPr>
              <w:p>
                <w:pPr>
                  <w:overflowPunct w:val="0"/>
                  <w:textAlignment w:val="baseline"/>
                  <w:rPr>
                    <w:sz w:val="22"/>
                    <w:szCs w:val="22"/>
                  </w:rPr>
                </w:pPr>
              </w:p>
            </w:tc>
            <w:tc>
              <w:tcPr>
                <w:tcW w:w="993"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r>
          <w:tr>
            <w:trPr>
              <w:cantSplit/>
              <w:trHeight w:hRule="exact" w:val="255"/>
            </w:trPr>
            <w:tc>
              <w:tcPr>
                <w:tcW w:w="4820" w:type="dxa"/>
                <w:gridSpan w:val="3"/>
                <w:vAlign w:val="center"/>
              </w:tcPr>
              <w:p>
                <w:pPr>
                  <w:overflowPunct w:val="0"/>
                  <w:textAlignment w:val="baseline"/>
                  <w:rPr>
                    <w:sz w:val="22"/>
                    <w:szCs w:val="22"/>
                  </w:rPr>
                </w:pPr>
                <w:r>
                  <w:rPr>
                    <w:sz w:val="22"/>
                    <w:szCs w:val="22"/>
                  </w:rPr>
                  <w:t>5. Gyvuliams pirkti</w:t>
                </w:r>
              </w:p>
            </w:tc>
            <w:tc>
              <w:tcPr>
                <w:tcW w:w="992" w:type="dxa"/>
                <w:vAlign w:val="center"/>
              </w:tcPr>
              <w:p>
                <w:pPr>
                  <w:overflowPunct w:val="0"/>
                  <w:textAlignment w:val="baseline"/>
                  <w:rPr>
                    <w:sz w:val="22"/>
                    <w:szCs w:val="22"/>
                  </w:rPr>
                </w:pPr>
              </w:p>
            </w:tc>
            <w:tc>
              <w:tcPr>
                <w:tcW w:w="993"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r>
          <w:tr>
            <w:trPr>
              <w:cantSplit/>
              <w:trHeight w:hRule="exact" w:val="255"/>
            </w:trPr>
            <w:tc>
              <w:tcPr>
                <w:tcW w:w="4820" w:type="dxa"/>
                <w:gridSpan w:val="3"/>
                <w:vAlign w:val="center"/>
              </w:tcPr>
              <w:p>
                <w:pPr>
                  <w:overflowPunct w:val="0"/>
                  <w:textAlignment w:val="baseline"/>
                  <w:rPr>
                    <w:sz w:val="22"/>
                    <w:szCs w:val="22"/>
                  </w:rPr>
                </w:pPr>
                <w:r>
                  <w:rPr>
                    <w:sz w:val="22"/>
                    <w:szCs w:val="22"/>
                  </w:rPr>
                  <w:t>6. Gyvulių gydymo priemonėms pirkti</w:t>
                </w:r>
              </w:p>
            </w:tc>
            <w:tc>
              <w:tcPr>
                <w:tcW w:w="992" w:type="dxa"/>
                <w:vAlign w:val="center"/>
              </w:tcPr>
              <w:p>
                <w:pPr>
                  <w:overflowPunct w:val="0"/>
                  <w:textAlignment w:val="baseline"/>
                  <w:rPr>
                    <w:sz w:val="22"/>
                    <w:szCs w:val="22"/>
                  </w:rPr>
                </w:pPr>
              </w:p>
            </w:tc>
            <w:tc>
              <w:tcPr>
                <w:tcW w:w="993"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r>
          <w:tr>
            <w:trPr>
              <w:cantSplit/>
              <w:trHeight w:hRule="exact" w:val="255"/>
            </w:trPr>
            <w:tc>
              <w:tcPr>
                <w:tcW w:w="4820" w:type="dxa"/>
                <w:gridSpan w:val="3"/>
                <w:vAlign w:val="center"/>
              </w:tcPr>
              <w:p>
                <w:pPr>
                  <w:overflowPunct w:val="0"/>
                  <w:textAlignment w:val="baseline"/>
                  <w:rPr>
                    <w:sz w:val="22"/>
                    <w:szCs w:val="22"/>
                  </w:rPr>
                </w:pPr>
                <w:r>
                  <w:rPr>
                    <w:sz w:val="22"/>
                    <w:szCs w:val="22"/>
                  </w:rPr>
                  <w:t>7. Kurui ir tepalams pirkti</w:t>
                </w:r>
              </w:p>
            </w:tc>
            <w:tc>
              <w:tcPr>
                <w:tcW w:w="992" w:type="dxa"/>
                <w:vAlign w:val="center"/>
              </w:tcPr>
              <w:p>
                <w:pPr>
                  <w:overflowPunct w:val="0"/>
                  <w:textAlignment w:val="baseline"/>
                  <w:rPr>
                    <w:sz w:val="22"/>
                    <w:szCs w:val="22"/>
                  </w:rPr>
                </w:pPr>
              </w:p>
            </w:tc>
            <w:tc>
              <w:tcPr>
                <w:tcW w:w="993"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r>
          <w:tr>
            <w:trPr>
              <w:cantSplit/>
              <w:trHeight w:hRule="exact" w:val="255"/>
            </w:trPr>
            <w:tc>
              <w:tcPr>
                <w:tcW w:w="4820" w:type="dxa"/>
                <w:gridSpan w:val="3"/>
                <w:vAlign w:val="center"/>
              </w:tcPr>
              <w:p>
                <w:pPr>
                  <w:overflowPunct w:val="0"/>
                  <w:textAlignment w:val="baseline"/>
                  <w:rPr>
                    <w:sz w:val="22"/>
                    <w:szCs w:val="22"/>
                  </w:rPr>
                </w:pPr>
                <w:r>
                  <w:rPr>
                    <w:sz w:val="22"/>
                    <w:szCs w:val="22"/>
                  </w:rPr>
                  <w:t>8. Elektros energijai, vandeniui ir dujoms pirkti</w:t>
                </w:r>
              </w:p>
            </w:tc>
            <w:tc>
              <w:tcPr>
                <w:tcW w:w="992" w:type="dxa"/>
                <w:vAlign w:val="center"/>
              </w:tcPr>
              <w:p>
                <w:pPr>
                  <w:overflowPunct w:val="0"/>
                  <w:textAlignment w:val="baseline"/>
                  <w:rPr>
                    <w:sz w:val="22"/>
                    <w:szCs w:val="22"/>
                  </w:rPr>
                </w:pPr>
              </w:p>
            </w:tc>
            <w:tc>
              <w:tcPr>
                <w:tcW w:w="993"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r>
          <w:tr>
            <w:trPr>
              <w:cantSplit/>
              <w:trHeight w:hRule="exact" w:val="255"/>
            </w:trPr>
            <w:tc>
              <w:tcPr>
                <w:tcW w:w="4820" w:type="dxa"/>
                <w:gridSpan w:val="3"/>
                <w:vAlign w:val="center"/>
              </w:tcPr>
              <w:p>
                <w:pPr>
                  <w:overflowPunct w:val="0"/>
                  <w:textAlignment w:val="baseline"/>
                  <w:rPr>
                    <w:sz w:val="22"/>
                    <w:szCs w:val="22"/>
                  </w:rPr>
                </w:pPr>
                <w:r>
                  <w:rPr>
                    <w:sz w:val="22"/>
                    <w:szCs w:val="22"/>
                  </w:rPr>
                  <w:t>9. Atsarginėms dalims pirkti</w:t>
                </w:r>
              </w:p>
            </w:tc>
            <w:tc>
              <w:tcPr>
                <w:tcW w:w="992" w:type="dxa"/>
                <w:vAlign w:val="center"/>
              </w:tcPr>
              <w:p>
                <w:pPr>
                  <w:overflowPunct w:val="0"/>
                  <w:textAlignment w:val="baseline"/>
                  <w:rPr>
                    <w:sz w:val="22"/>
                    <w:szCs w:val="22"/>
                  </w:rPr>
                </w:pPr>
              </w:p>
            </w:tc>
            <w:tc>
              <w:tcPr>
                <w:tcW w:w="993"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r>
          <w:tr>
            <w:trPr>
              <w:cantSplit/>
              <w:trHeight w:hRule="exact" w:val="255"/>
            </w:trPr>
            <w:tc>
              <w:tcPr>
                <w:tcW w:w="4820" w:type="dxa"/>
                <w:gridSpan w:val="3"/>
                <w:vAlign w:val="center"/>
              </w:tcPr>
              <w:p>
                <w:pPr>
                  <w:overflowPunct w:val="0"/>
                  <w:textAlignment w:val="baseline"/>
                  <w:rPr>
                    <w:sz w:val="22"/>
                    <w:szCs w:val="22"/>
                  </w:rPr>
                </w:pPr>
                <w:r>
                  <w:rPr>
                    <w:sz w:val="22"/>
                    <w:szCs w:val="22"/>
                  </w:rPr>
                  <w:t>10. Mažaverčiams daiktams pirkti</w:t>
                </w:r>
              </w:p>
            </w:tc>
            <w:tc>
              <w:tcPr>
                <w:tcW w:w="992" w:type="dxa"/>
                <w:vAlign w:val="center"/>
              </w:tcPr>
              <w:p>
                <w:pPr>
                  <w:overflowPunct w:val="0"/>
                  <w:textAlignment w:val="baseline"/>
                  <w:rPr>
                    <w:sz w:val="22"/>
                    <w:szCs w:val="22"/>
                  </w:rPr>
                </w:pPr>
              </w:p>
            </w:tc>
            <w:tc>
              <w:tcPr>
                <w:tcW w:w="993"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r>
          <w:tr>
            <w:trPr>
              <w:cantSplit/>
              <w:trHeight w:hRule="exact" w:val="255"/>
            </w:trPr>
            <w:tc>
              <w:tcPr>
                <w:tcW w:w="4820" w:type="dxa"/>
                <w:gridSpan w:val="3"/>
                <w:vAlign w:val="center"/>
              </w:tcPr>
              <w:p>
                <w:pPr>
                  <w:overflowPunct w:val="0"/>
                  <w:textAlignment w:val="baseline"/>
                  <w:rPr>
                    <w:sz w:val="22"/>
                    <w:szCs w:val="22"/>
                  </w:rPr>
                </w:pPr>
                <w:r>
                  <w:rPr>
                    <w:sz w:val="22"/>
                    <w:szCs w:val="22"/>
                  </w:rPr>
                  <w:t>11. Gamybinėms paslaugoms apmokėti</w:t>
                </w:r>
              </w:p>
            </w:tc>
            <w:tc>
              <w:tcPr>
                <w:tcW w:w="992" w:type="dxa"/>
                <w:vAlign w:val="center"/>
              </w:tcPr>
              <w:p>
                <w:pPr>
                  <w:overflowPunct w:val="0"/>
                  <w:textAlignment w:val="baseline"/>
                  <w:rPr>
                    <w:sz w:val="22"/>
                    <w:szCs w:val="22"/>
                  </w:rPr>
                </w:pPr>
              </w:p>
            </w:tc>
            <w:tc>
              <w:tcPr>
                <w:tcW w:w="993"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r>
          <w:tr>
            <w:trPr>
              <w:cantSplit/>
              <w:trHeight w:hRule="exact" w:val="255"/>
            </w:trPr>
            <w:tc>
              <w:tcPr>
                <w:tcW w:w="2387" w:type="dxa"/>
                <w:vMerge w:val="restart"/>
                <w:vAlign w:val="center"/>
              </w:tcPr>
              <w:p>
                <w:pPr>
                  <w:overflowPunct w:val="0"/>
                  <w:textAlignment w:val="baseline"/>
                  <w:rPr>
                    <w:sz w:val="22"/>
                    <w:szCs w:val="22"/>
                  </w:rPr>
                </w:pPr>
                <w:r>
                  <w:rPr>
                    <w:sz w:val="22"/>
                    <w:szCs w:val="22"/>
                  </w:rPr>
                  <w:t>12. Lengvajam transportui išlaikyti</w:t>
                </w:r>
              </w:p>
            </w:tc>
            <w:tc>
              <w:tcPr>
                <w:tcW w:w="2433" w:type="dxa"/>
                <w:gridSpan w:val="2"/>
                <w:vAlign w:val="center"/>
              </w:tcPr>
              <w:p>
                <w:pPr>
                  <w:overflowPunct w:val="0"/>
                  <w:ind w:firstLine="53"/>
                  <w:textAlignment w:val="baseline"/>
                  <w:rPr>
                    <w:sz w:val="22"/>
                    <w:szCs w:val="22"/>
                  </w:rPr>
                </w:pPr>
                <w:r>
                  <w:rPr>
                    <w:sz w:val="22"/>
                    <w:szCs w:val="22"/>
                  </w:rPr>
                  <w:t>iš viso</w:t>
                </w:r>
              </w:p>
            </w:tc>
            <w:tc>
              <w:tcPr>
                <w:tcW w:w="992" w:type="dxa"/>
                <w:vAlign w:val="center"/>
              </w:tcPr>
              <w:p>
                <w:pPr>
                  <w:overflowPunct w:val="0"/>
                  <w:textAlignment w:val="baseline"/>
                  <w:rPr>
                    <w:sz w:val="22"/>
                    <w:szCs w:val="22"/>
                  </w:rPr>
                </w:pPr>
              </w:p>
            </w:tc>
            <w:tc>
              <w:tcPr>
                <w:tcW w:w="993"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r>
          <w:tr>
            <w:trPr>
              <w:cantSplit/>
              <w:trHeight w:hRule="exact" w:val="255"/>
            </w:trPr>
            <w:tc>
              <w:tcPr>
                <w:tcW w:w="2387" w:type="dxa"/>
                <w:vMerge/>
                <w:vAlign w:val="center"/>
              </w:tcPr>
              <w:p>
                <w:pPr>
                  <w:overflowPunct w:val="0"/>
                  <w:textAlignment w:val="baseline"/>
                  <w:rPr>
                    <w:sz w:val="22"/>
                    <w:szCs w:val="22"/>
                  </w:rPr>
                </w:pPr>
              </w:p>
            </w:tc>
            <w:tc>
              <w:tcPr>
                <w:tcW w:w="2433" w:type="dxa"/>
                <w:gridSpan w:val="2"/>
                <w:vAlign w:val="center"/>
              </w:tcPr>
              <w:p>
                <w:pPr>
                  <w:overflowPunct w:val="0"/>
                  <w:ind w:firstLine="53"/>
                  <w:jc w:val="both"/>
                  <w:textAlignment w:val="baseline"/>
                  <w:rPr>
                    <w:sz w:val="22"/>
                    <w:szCs w:val="22"/>
                  </w:rPr>
                </w:pPr>
                <w:r>
                  <w:rPr>
                    <w:sz w:val="22"/>
                    <w:szCs w:val="22"/>
                  </w:rPr>
                  <w:t>minus asmen. reikmėms</w:t>
                </w:r>
              </w:p>
            </w:tc>
            <w:tc>
              <w:tcPr>
                <w:tcW w:w="992" w:type="dxa"/>
                <w:vAlign w:val="center"/>
              </w:tcPr>
              <w:p>
                <w:pPr>
                  <w:overflowPunct w:val="0"/>
                  <w:textAlignment w:val="baseline"/>
                  <w:rPr>
                    <w:sz w:val="22"/>
                    <w:szCs w:val="22"/>
                  </w:rPr>
                </w:pPr>
              </w:p>
            </w:tc>
            <w:tc>
              <w:tcPr>
                <w:tcW w:w="993" w:type="dxa"/>
                <w:vAlign w:val="center"/>
              </w:tcPr>
              <w:p>
                <w:pPr>
                  <w:tabs>
                    <w:tab w:val="center" w:pos="4153"/>
                    <w:tab w:val="right" w:pos="8306"/>
                  </w:tabs>
                  <w:overflowPunct w:val="0"/>
                  <w:textAlignment w:val="baseline"/>
                  <w:rPr>
                    <w:sz w:val="22"/>
                    <w:szCs w:val="22"/>
                  </w:rPr>
                </w:pPr>
              </w:p>
            </w:tc>
            <w:tc>
              <w:tcPr>
                <w:tcW w:w="992"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r>
          <w:tr>
            <w:trPr>
              <w:cantSplit/>
              <w:trHeight w:hRule="exact" w:val="255"/>
            </w:trPr>
            <w:tc>
              <w:tcPr>
                <w:tcW w:w="2387" w:type="dxa"/>
                <w:vMerge/>
                <w:vAlign w:val="center"/>
              </w:tcPr>
              <w:p>
                <w:pPr>
                  <w:overflowPunct w:val="0"/>
                  <w:textAlignment w:val="baseline"/>
                  <w:rPr>
                    <w:sz w:val="22"/>
                    <w:szCs w:val="22"/>
                  </w:rPr>
                </w:pPr>
              </w:p>
            </w:tc>
            <w:tc>
              <w:tcPr>
                <w:tcW w:w="2433" w:type="dxa"/>
                <w:gridSpan w:val="2"/>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c>
              <w:tcPr>
                <w:tcW w:w="993"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r>
          <w:tr>
            <w:trPr>
              <w:cantSplit/>
              <w:trHeight w:hRule="exact" w:val="255"/>
            </w:trPr>
            <w:tc>
              <w:tcPr>
                <w:tcW w:w="4820" w:type="dxa"/>
                <w:gridSpan w:val="3"/>
                <w:vAlign w:val="center"/>
              </w:tcPr>
              <w:p>
                <w:pPr>
                  <w:overflowPunct w:val="0"/>
                  <w:textAlignment w:val="baseline"/>
                  <w:rPr>
                    <w:sz w:val="22"/>
                    <w:szCs w:val="22"/>
                  </w:rPr>
                </w:pPr>
                <w:r>
                  <w:rPr>
                    <w:sz w:val="22"/>
                    <w:szCs w:val="22"/>
                  </w:rPr>
                  <w:t>13. Kitos materialinės išlaidos</w:t>
                </w:r>
              </w:p>
            </w:tc>
            <w:tc>
              <w:tcPr>
                <w:tcW w:w="992" w:type="dxa"/>
                <w:vAlign w:val="center"/>
              </w:tcPr>
              <w:p>
                <w:pPr>
                  <w:overflowPunct w:val="0"/>
                  <w:textAlignment w:val="baseline"/>
                  <w:rPr>
                    <w:sz w:val="22"/>
                    <w:szCs w:val="22"/>
                  </w:rPr>
                </w:pPr>
              </w:p>
            </w:tc>
            <w:tc>
              <w:tcPr>
                <w:tcW w:w="993"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r>
          <w:tr>
            <w:trPr>
              <w:cantSplit/>
              <w:trHeight w:hRule="exact" w:val="255"/>
            </w:trPr>
            <w:tc>
              <w:tcPr>
                <w:tcW w:w="4820" w:type="dxa"/>
                <w:gridSpan w:val="3"/>
                <w:vAlign w:val="center"/>
              </w:tcPr>
              <w:p>
                <w:pPr>
                  <w:overflowPunct w:val="0"/>
                  <w:textAlignment w:val="baseline"/>
                  <w:rPr>
                    <w:sz w:val="22"/>
                    <w:szCs w:val="22"/>
                  </w:rPr>
                </w:pPr>
                <w:r>
                  <w:rPr>
                    <w:sz w:val="22"/>
                    <w:szCs w:val="22"/>
                  </w:rPr>
                  <w:t>14. Atlyginimams</w:t>
                </w:r>
              </w:p>
            </w:tc>
            <w:tc>
              <w:tcPr>
                <w:tcW w:w="992" w:type="dxa"/>
                <w:vAlign w:val="center"/>
              </w:tcPr>
              <w:p>
                <w:pPr>
                  <w:overflowPunct w:val="0"/>
                  <w:textAlignment w:val="baseline"/>
                  <w:rPr>
                    <w:sz w:val="22"/>
                    <w:szCs w:val="22"/>
                  </w:rPr>
                </w:pPr>
              </w:p>
            </w:tc>
            <w:tc>
              <w:tcPr>
                <w:tcW w:w="993"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r>
          <w:tr>
            <w:trPr>
              <w:cantSplit/>
              <w:trHeight w:hRule="exact" w:val="255"/>
            </w:trPr>
            <w:tc>
              <w:tcPr>
                <w:tcW w:w="4820" w:type="dxa"/>
                <w:gridSpan w:val="3"/>
                <w:vAlign w:val="center"/>
              </w:tcPr>
              <w:p>
                <w:pPr>
                  <w:overflowPunct w:val="0"/>
                  <w:textAlignment w:val="baseline"/>
                  <w:rPr>
                    <w:sz w:val="22"/>
                    <w:szCs w:val="22"/>
                  </w:rPr>
                </w:pPr>
                <w:r>
                  <w:rPr>
                    <w:sz w:val="22"/>
                    <w:szCs w:val="22"/>
                  </w:rPr>
                  <w:t>15. Soc. draudimui</w:t>
                </w:r>
              </w:p>
            </w:tc>
            <w:tc>
              <w:tcPr>
                <w:tcW w:w="992" w:type="dxa"/>
                <w:vAlign w:val="center"/>
              </w:tcPr>
              <w:p>
                <w:pPr>
                  <w:overflowPunct w:val="0"/>
                  <w:textAlignment w:val="baseline"/>
                  <w:rPr>
                    <w:sz w:val="22"/>
                    <w:szCs w:val="22"/>
                  </w:rPr>
                </w:pPr>
              </w:p>
            </w:tc>
            <w:tc>
              <w:tcPr>
                <w:tcW w:w="993"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r>
          <w:tr>
            <w:trPr>
              <w:cantSplit/>
              <w:trHeight w:hRule="exact" w:val="255"/>
            </w:trPr>
            <w:tc>
              <w:tcPr>
                <w:tcW w:w="4820" w:type="dxa"/>
                <w:gridSpan w:val="3"/>
                <w:vAlign w:val="center"/>
              </w:tcPr>
              <w:p>
                <w:pPr>
                  <w:overflowPunct w:val="0"/>
                  <w:textAlignment w:val="baseline"/>
                  <w:rPr>
                    <w:sz w:val="22"/>
                    <w:szCs w:val="22"/>
                  </w:rPr>
                </w:pPr>
                <w:r>
                  <w:rPr>
                    <w:sz w:val="22"/>
                    <w:szCs w:val="22"/>
                  </w:rPr>
                  <w:t>16. Sveikatos draudimui</w:t>
                </w:r>
              </w:p>
            </w:tc>
            <w:tc>
              <w:tcPr>
                <w:tcW w:w="992" w:type="dxa"/>
                <w:vAlign w:val="center"/>
              </w:tcPr>
              <w:p>
                <w:pPr>
                  <w:overflowPunct w:val="0"/>
                  <w:textAlignment w:val="baseline"/>
                  <w:rPr>
                    <w:sz w:val="22"/>
                    <w:szCs w:val="22"/>
                  </w:rPr>
                </w:pPr>
              </w:p>
            </w:tc>
            <w:tc>
              <w:tcPr>
                <w:tcW w:w="993"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r>
          <w:tr>
            <w:trPr>
              <w:cantSplit/>
              <w:trHeight w:hRule="exact" w:val="255"/>
            </w:trPr>
            <w:tc>
              <w:tcPr>
                <w:tcW w:w="4820" w:type="dxa"/>
                <w:gridSpan w:val="3"/>
                <w:vAlign w:val="center"/>
              </w:tcPr>
              <w:p>
                <w:pPr>
                  <w:overflowPunct w:val="0"/>
                  <w:textAlignment w:val="baseline"/>
                  <w:rPr>
                    <w:sz w:val="22"/>
                    <w:szCs w:val="22"/>
                  </w:rPr>
                </w:pPr>
                <w:r>
                  <w:rPr>
                    <w:sz w:val="22"/>
                    <w:szCs w:val="22"/>
                  </w:rPr>
                  <w:t>17. Žemės ir kito turto nuomai</w:t>
                </w:r>
              </w:p>
            </w:tc>
            <w:tc>
              <w:tcPr>
                <w:tcW w:w="992" w:type="dxa"/>
                <w:vAlign w:val="center"/>
              </w:tcPr>
              <w:p>
                <w:pPr>
                  <w:overflowPunct w:val="0"/>
                  <w:textAlignment w:val="baseline"/>
                  <w:rPr>
                    <w:sz w:val="22"/>
                    <w:szCs w:val="22"/>
                  </w:rPr>
                </w:pPr>
              </w:p>
            </w:tc>
            <w:tc>
              <w:tcPr>
                <w:tcW w:w="993"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r>
          <w:tr>
            <w:trPr>
              <w:cantSplit/>
              <w:trHeight w:hRule="exact" w:val="255"/>
            </w:trPr>
            <w:tc>
              <w:tcPr>
                <w:tcW w:w="4820" w:type="dxa"/>
                <w:gridSpan w:val="3"/>
                <w:vAlign w:val="center"/>
              </w:tcPr>
              <w:p>
                <w:pPr>
                  <w:overflowPunct w:val="0"/>
                  <w:textAlignment w:val="baseline"/>
                  <w:rPr>
                    <w:sz w:val="22"/>
                    <w:szCs w:val="22"/>
                  </w:rPr>
                </w:pPr>
                <w:r>
                  <w:rPr>
                    <w:sz w:val="22"/>
                    <w:szCs w:val="22"/>
                  </w:rPr>
                  <w:t>19. Žemės ir kitiems mokesčiams</w:t>
                </w:r>
              </w:p>
            </w:tc>
            <w:tc>
              <w:tcPr>
                <w:tcW w:w="992" w:type="dxa"/>
                <w:vAlign w:val="center"/>
              </w:tcPr>
              <w:p>
                <w:pPr>
                  <w:overflowPunct w:val="0"/>
                  <w:textAlignment w:val="baseline"/>
                  <w:rPr>
                    <w:sz w:val="22"/>
                    <w:szCs w:val="22"/>
                  </w:rPr>
                </w:pPr>
              </w:p>
            </w:tc>
            <w:tc>
              <w:tcPr>
                <w:tcW w:w="993"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r>
          <w:tr>
            <w:trPr>
              <w:cantSplit/>
              <w:trHeight w:hRule="exact" w:val="255"/>
            </w:trPr>
            <w:tc>
              <w:tcPr>
                <w:tcW w:w="4820" w:type="dxa"/>
                <w:gridSpan w:val="3"/>
                <w:vAlign w:val="center"/>
              </w:tcPr>
              <w:p>
                <w:pPr>
                  <w:overflowPunct w:val="0"/>
                  <w:textAlignment w:val="baseline"/>
                  <w:rPr>
                    <w:sz w:val="22"/>
                    <w:szCs w:val="22"/>
                  </w:rPr>
                </w:pPr>
                <w:r>
                  <w:rPr>
                    <w:sz w:val="22"/>
                    <w:szCs w:val="22"/>
                  </w:rPr>
                  <w:t>19. Turto draudimui</w:t>
                </w:r>
              </w:p>
            </w:tc>
            <w:tc>
              <w:tcPr>
                <w:tcW w:w="992" w:type="dxa"/>
                <w:vAlign w:val="center"/>
              </w:tcPr>
              <w:p>
                <w:pPr>
                  <w:overflowPunct w:val="0"/>
                  <w:textAlignment w:val="baseline"/>
                  <w:rPr>
                    <w:sz w:val="22"/>
                    <w:szCs w:val="22"/>
                  </w:rPr>
                </w:pPr>
              </w:p>
            </w:tc>
            <w:tc>
              <w:tcPr>
                <w:tcW w:w="993"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r>
          <w:tr>
            <w:trPr>
              <w:cantSplit/>
              <w:trHeight w:hRule="exact" w:val="255"/>
            </w:trPr>
            <w:tc>
              <w:tcPr>
                <w:tcW w:w="4820" w:type="dxa"/>
                <w:gridSpan w:val="3"/>
                <w:vAlign w:val="center"/>
              </w:tcPr>
              <w:p>
                <w:pPr>
                  <w:overflowPunct w:val="0"/>
                  <w:textAlignment w:val="baseline"/>
                  <w:rPr>
                    <w:sz w:val="22"/>
                    <w:szCs w:val="22"/>
                  </w:rPr>
                </w:pPr>
                <w:r>
                  <w:rPr>
                    <w:sz w:val="22"/>
                    <w:szCs w:val="22"/>
                  </w:rPr>
                  <w:t>20. Kitos ūkio išlaidos</w:t>
                </w:r>
              </w:p>
            </w:tc>
            <w:tc>
              <w:tcPr>
                <w:tcW w:w="992" w:type="dxa"/>
                <w:vAlign w:val="center"/>
              </w:tcPr>
              <w:p>
                <w:pPr>
                  <w:overflowPunct w:val="0"/>
                  <w:textAlignment w:val="baseline"/>
                  <w:rPr>
                    <w:sz w:val="22"/>
                    <w:szCs w:val="22"/>
                  </w:rPr>
                </w:pPr>
              </w:p>
            </w:tc>
            <w:tc>
              <w:tcPr>
                <w:tcW w:w="993"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r>
          <w:tr>
            <w:trPr>
              <w:cantSplit/>
              <w:trHeight w:hRule="exact" w:val="255"/>
            </w:trPr>
            <w:tc>
              <w:tcPr>
                <w:tcW w:w="4820" w:type="dxa"/>
                <w:gridSpan w:val="3"/>
                <w:vAlign w:val="center"/>
              </w:tcPr>
              <w:p>
                <w:pPr>
                  <w:overflowPunct w:val="0"/>
                  <w:textAlignment w:val="baseline"/>
                  <w:rPr>
                    <w:b/>
                    <w:sz w:val="22"/>
                    <w:szCs w:val="22"/>
                  </w:rPr>
                </w:pPr>
                <w:r>
                  <w:rPr>
                    <w:b/>
                    <w:sz w:val="22"/>
                    <w:szCs w:val="22"/>
                  </w:rPr>
                  <w:t>Iš viso piniginių išlaidų</w:t>
                </w:r>
              </w:p>
            </w:tc>
            <w:tc>
              <w:tcPr>
                <w:tcW w:w="992" w:type="dxa"/>
                <w:vAlign w:val="center"/>
              </w:tcPr>
              <w:p>
                <w:pPr>
                  <w:overflowPunct w:val="0"/>
                  <w:textAlignment w:val="baseline"/>
                  <w:rPr>
                    <w:b/>
                    <w:sz w:val="22"/>
                    <w:szCs w:val="22"/>
                  </w:rPr>
                </w:pPr>
              </w:p>
            </w:tc>
            <w:tc>
              <w:tcPr>
                <w:tcW w:w="993" w:type="dxa"/>
                <w:vAlign w:val="center"/>
              </w:tcPr>
              <w:p>
                <w:pPr>
                  <w:overflowPunct w:val="0"/>
                  <w:textAlignment w:val="baseline"/>
                  <w:rPr>
                    <w:b/>
                    <w:sz w:val="22"/>
                    <w:szCs w:val="22"/>
                  </w:rPr>
                </w:pPr>
              </w:p>
            </w:tc>
            <w:tc>
              <w:tcPr>
                <w:tcW w:w="992" w:type="dxa"/>
                <w:vAlign w:val="center"/>
              </w:tcPr>
              <w:p>
                <w:pPr>
                  <w:overflowPunct w:val="0"/>
                  <w:textAlignment w:val="baseline"/>
                  <w:rPr>
                    <w:b/>
                    <w:sz w:val="22"/>
                    <w:szCs w:val="22"/>
                  </w:rPr>
                </w:pPr>
              </w:p>
            </w:tc>
            <w:tc>
              <w:tcPr>
                <w:tcW w:w="992" w:type="dxa"/>
                <w:vAlign w:val="center"/>
              </w:tcPr>
              <w:p>
                <w:pPr>
                  <w:overflowPunct w:val="0"/>
                  <w:textAlignment w:val="baseline"/>
                  <w:rPr>
                    <w:b/>
                    <w:sz w:val="22"/>
                    <w:szCs w:val="22"/>
                  </w:rPr>
                </w:pPr>
              </w:p>
            </w:tc>
            <w:tc>
              <w:tcPr>
                <w:tcW w:w="992" w:type="dxa"/>
                <w:vAlign w:val="center"/>
              </w:tcPr>
              <w:p>
                <w:pPr>
                  <w:overflowPunct w:val="0"/>
                  <w:textAlignment w:val="baseline"/>
                  <w:rPr>
                    <w:b/>
                    <w:sz w:val="22"/>
                    <w:szCs w:val="22"/>
                  </w:rPr>
                </w:pPr>
              </w:p>
            </w:tc>
          </w:tr>
          <w:tr>
            <w:trPr>
              <w:cantSplit/>
              <w:trHeight w:hRule="exact" w:val="255"/>
            </w:trPr>
            <w:tc>
              <w:tcPr>
                <w:tcW w:w="4820" w:type="dxa"/>
                <w:gridSpan w:val="3"/>
                <w:vAlign w:val="center"/>
              </w:tcPr>
              <w:p>
                <w:pPr>
                  <w:overflowPunct w:val="0"/>
                  <w:textAlignment w:val="baseline"/>
                  <w:rPr>
                    <w:sz w:val="22"/>
                    <w:szCs w:val="22"/>
                  </w:rPr>
                </w:pPr>
                <w:r>
                  <w:rPr>
                    <w:sz w:val="22"/>
                    <w:szCs w:val="22"/>
                  </w:rPr>
                  <w:t>Įplaukų ir išlaidų skirtumas</w:t>
                </w:r>
              </w:p>
            </w:tc>
            <w:tc>
              <w:tcPr>
                <w:tcW w:w="992" w:type="dxa"/>
                <w:vAlign w:val="center"/>
              </w:tcPr>
              <w:p>
                <w:pPr>
                  <w:overflowPunct w:val="0"/>
                  <w:textAlignment w:val="baseline"/>
                  <w:rPr>
                    <w:sz w:val="22"/>
                    <w:szCs w:val="22"/>
                  </w:rPr>
                </w:pPr>
              </w:p>
            </w:tc>
            <w:tc>
              <w:tcPr>
                <w:tcW w:w="993"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r>
          <w:tr>
            <w:trPr>
              <w:cantSplit/>
              <w:trHeight w:hRule="exact" w:val="255"/>
            </w:trPr>
            <w:tc>
              <w:tcPr>
                <w:tcW w:w="2529" w:type="dxa"/>
                <w:gridSpan w:val="2"/>
                <w:vMerge w:val="restart"/>
                <w:vAlign w:val="center"/>
              </w:tcPr>
              <w:p>
                <w:pPr>
                  <w:overflowPunct w:val="0"/>
                  <w:textAlignment w:val="baseline"/>
                  <w:rPr>
                    <w:sz w:val="22"/>
                    <w:szCs w:val="22"/>
                  </w:rPr>
                </w:pPr>
                <w:r>
                  <w:rPr>
                    <w:sz w:val="22"/>
                    <w:szCs w:val="22"/>
                  </w:rPr>
                  <w:t>Ūkininko ir jo narių įnašai</w:t>
                </w:r>
              </w:p>
            </w:tc>
            <w:tc>
              <w:tcPr>
                <w:tcW w:w="2291"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c>
              <w:tcPr>
                <w:tcW w:w="993"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r>
          <w:tr>
            <w:trPr>
              <w:cantSplit/>
              <w:trHeight w:hRule="exact" w:val="255"/>
            </w:trPr>
            <w:tc>
              <w:tcPr>
                <w:tcW w:w="2529" w:type="dxa"/>
                <w:gridSpan w:val="2"/>
                <w:vMerge/>
                <w:vAlign w:val="center"/>
              </w:tcPr>
              <w:p>
                <w:pPr>
                  <w:overflowPunct w:val="0"/>
                  <w:textAlignment w:val="baseline"/>
                  <w:rPr>
                    <w:sz w:val="22"/>
                    <w:szCs w:val="22"/>
                  </w:rPr>
                </w:pPr>
              </w:p>
            </w:tc>
            <w:tc>
              <w:tcPr>
                <w:tcW w:w="2291"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c>
              <w:tcPr>
                <w:tcW w:w="993"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r>
          <w:tr>
            <w:trPr>
              <w:cantSplit/>
              <w:trHeight w:hRule="exact" w:val="255"/>
            </w:trPr>
            <w:tc>
              <w:tcPr>
                <w:tcW w:w="2529" w:type="dxa"/>
                <w:gridSpan w:val="2"/>
                <w:vAlign w:val="center"/>
              </w:tcPr>
              <w:p>
                <w:pPr>
                  <w:overflowPunct w:val="0"/>
                  <w:textAlignment w:val="baseline"/>
                  <w:rPr>
                    <w:sz w:val="22"/>
                    <w:szCs w:val="22"/>
                  </w:rPr>
                </w:pPr>
                <w:r>
                  <w:rPr>
                    <w:sz w:val="22"/>
                    <w:szCs w:val="22"/>
                  </w:rPr>
                  <w:t>Pinigų išmokėjimas ūkininkui ir jo partneriams</w:t>
                </w:r>
              </w:p>
            </w:tc>
            <w:tc>
              <w:tcPr>
                <w:tcW w:w="2291"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c>
              <w:tcPr>
                <w:tcW w:w="993"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c>
              <w:tcPr>
                <w:tcW w:w="992" w:type="dxa"/>
                <w:vAlign w:val="center"/>
              </w:tcPr>
              <w:p>
                <w:pPr>
                  <w:overflowPunct w:val="0"/>
                  <w:textAlignment w:val="baseline"/>
                  <w:rPr>
                    <w:sz w:val="22"/>
                    <w:szCs w:val="22"/>
                  </w:rPr>
                </w:pPr>
              </w:p>
            </w:tc>
          </w:tr>
        </w:tbl>
        <w:p>
          <w:pPr>
            <w:overflowPunct w:val="0"/>
            <w:jc w:val="both"/>
            <w:textAlignment w:val="baseline"/>
          </w:pPr>
        </w:p>
        <w:p>
          <w:pPr>
            <w:overflowPunct w:val="0"/>
            <w:jc w:val="both"/>
            <w:textAlignment w:val="baseline"/>
          </w:pPr>
          <w:r>
            <w:t>Ūkininkas</w:t>
            <w:tab/>
            <w:tab/>
            <w:t>_________________</w:t>
            <w:tab/>
            <w:tab/>
            <w:t>_________________________</w:t>
          </w:r>
        </w:p>
        <w:p>
          <w:pPr>
            <w:overflowPunct w:val="0"/>
            <w:ind w:left="1298" w:firstLine="1298"/>
            <w:jc w:val="both"/>
            <w:textAlignment w:val="baseline"/>
            <w:rPr>
              <w:sz w:val="20"/>
            </w:rPr>
          </w:pPr>
          <w:r>
            <w:rPr>
              <w:sz w:val="20"/>
            </w:rPr>
            <w:t>(parašas)</w:t>
            <w:tab/>
          </w:r>
          <w:r>
            <w:tab/>
            <w:tab/>
          </w:r>
          <w:r>
            <w:rPr>
              <w:sz w:val="20"/>
            </w:rPr>
            <w:t>(vardas, pavardė)</w:t>
          </w:r>
        </w:p>
        <w:sdt>
          <w:sdtPr>
            <w:alias w:val="pabaiga"/>
            <w:tag w:val="part_68f38865b0ec47e6bcb8db3a9256a90a"/>
            <w:lock w:val="sdtLocked"/>
            <w:richText/>
          </w:sdtPr>
          <w:sdtContent>
            <w:p>
              <w:pPr>
                <w:overflowPunct w:val="0"/>
                <w:spacing w:line="360" w:lineRule="auto"/>
                <w:ind w:left="2880" w:firstLine="720"/>
                <w:jc w:val="both"/>
                <w:textAlignment w:val="baseline"/>
              </w:pPr>
              <w:r>
                <w:rPr>
                  <w:sz w:val="20"/>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ba5c0506f11e4a698d921e3e46801">
            <w:r w:rsidRPr="00532B9F">
              <w:rPr>
                <w:rFonts w:ascii="Times New Roman" w:eastAsia="MS Mincho" w:hAnsi="Times New Roman"/>
                <w:sz w:val="20"/>
                <w:i/>
                <w:iCs/>
                <w:color w:val="0000FF" w:themeColor="hyperlink"/>
                <w:u w:val="single"/>
              </w:rPr>
              <w:t>3D-725</w:t>
            </w:r>
          </w:fldSimple>
          <w:r>
            <w:rPr>
              <w:rFonts w:ascii="Times New Roman" w:eastAsia="MS Mincho" w:hAnsi="Times New Roman"/>
              <w:sz w:val="20"/>
              <w:i/>
              <w:iCs/>
            </w:rPr>
            <w:t>,
2014-10-10,
paskelbta TAR 2014-10-10, i. k. 2014-13951            </w:t>
          </w:r>
        </w:p>
        <w:p/>
      </w:sdtContent>
    </w:sdt>
    <w:sdt>
      <w:sdtPr>
        <w:alias w:val="5 pr."/>
        <w:tag w:val="part_fb29c5b80a644190aec81091d329e41a"/>
        <w:lock w:val="sdtLocked"/>
        <w:richText/>
      </w:sdtPr>
      <w:sdtContent>
        <w:p>
          <w:pPr>
            <w:overflowPunct w:val="0"/>
            <w:spacing w:line="276" w:lineRule="auto"/>
            <w:ind w:left="3402" w:firstLine="6237"/>
            <w:jc w:val="both"/>
            <w:textAlignment w:val="baseline"/>
            <w:sectPr>
              <w:footerReference w:type="even" r:id="rId13"/>
              <w:headerReference w:type="first" r:id="rId14"/>
              <w:pgSz w:w="11907" w:h="16840" w:code="9"/>
              <w:pgMar w:top="709" w:right="1701" w:bottom="709" w:left="567" w:header="567" w:footer="567" w:gutter="0"/>
              <w:cols w:space="1296"/>
              <w:docGrid w:linePitch="326"/>
            </w:sectPr>
          </w:pPr>
        </w:p>
        <w:p>
          <w:pPr>
            <w:overflowPunct w:val="0"/>
            <w:spacing w:line="276" w:lineRule="auto"/>
            <w:ind w:left="3402" w:firstLine="6237"/>
            <w:jc w:val="both"/>
            <w:textAlignment w:val="baseline"/>
            <w:rPr>
              <w:szCs w:val="24"/>
            </w:rPr>
          </w:pPr>
          <w:r>
            <w:rPr>
              <w:szCs w:val="24"/>
            </w:rPr>
            <w:t>Ūkininko ūkio veiklos</w:t>
          </w:r>
        </w:p>
        <w:p>
          <w:pPr>
            <w:overflowPunct w:val="0"/>
            <w:spacing w:line="276" w:lineRule="auto"/>
            <w:ind w:left="9639"/>
            <w:jc w:val="both"/>
            <w:textAlignment w:val="baseline"/>
            <w:rPr>
              <w:szCs w:val="24"/>
            </w:rPr>
          </w:pPr>
          <w:r>
            <w:rPr>
              <w:szCs w:val="24"/>
            </w:rPr>
            <w:t>buhalterinės apskaitos tvarkymo</w:t>
          </w:r>
        </w:p>
        <w:p>
          <w:pPr>
            <w:overflowPunct w:val="0"/>
            <w:spacing w:line="276" w:lineRule="auto"/>
            <w:ind w:left="9639"/>
            <w:jc w:val="both"/>
            <w:textAlignment w:val="baseline"/>
            <w:rPr>
              <w:szCs w:val="24"/>
            </w:rPr>
          </w:pPr>
          <w:r>
            <w:rPr>
              <w:szCs w:val="24"/>
            </w:rPr>
            <w:t xml:space="preserve">supaprastintąja apskaitos sistema rekomendacijų </w:t>
          </w:r>
        </w:p>
        <w:p>
          <w:pPr>
            <w:overflowPunct w:val="0"/>
            <w:spacing w:line="276" w:lineRule="auto"/>
            <w:ind w:left="9639"/>
            <w:jc w:val="both"/>
            <w:textAlignment w:val="baseline"/>
            <w:rPr>
              <w:szCs w:val="24"/>
            </w:rPr>
          </w:pPr>
          <w:sdt>
            <w:sdtPr>
              <w:alias w:val="Numeris"/>
              <w:tag w:val="nr_fb29c5b80a644190aec81091d329e41a"/>
              <w:lock w:val="sdtLocked"/>
              <w:richText/>
            </w:sdtPr>
            <w:sdtContent>
              <w:r>
                <w:rPr>
                  <w:szCs w:val="24"/>
                </w:rPr>
                <w:t>5</w:t>
              </w:r>
            </w:sdtContent>
          </w:sdt>
          <w:r>
            <w:rPr>
              <w:szCs w:val="24"/>
            </w:rPr>
            <w:t xml:space="preserve">  priedas</w:t>
          </w:r>
        </w:p>
        <w:p>
          <w:pPr>
            <w:keepNext/>
            <w:overflowPunct w:val="0"/>
            <w:spacing w:line="276" w:lineRule="auto"/>
            <w:jc w:val="center"/>
            <w:textAlignment w:val="baseline"/>
            <w:rPr>
              <w:b/>
            </w:rPr>
          </w:pPr>
        </w:p>
        <w:p>
          <w:pPr>
            <w:overflowPunct w:val="0"/>
            <w:spacing w:line="276" w:lineRule="auto"/>
            <w:jc w:val="center"/>
            <w:textAlignment w:val="baseline"/>
          </w:pPr>
          <w:r>
            <w:t>Ūkininko________________________________ ūkis</w:t>
          </w:r>
        </w:p>
        <w:p>
          <w:pPr>
            <w:overflowPunct w:val="0"/>
            <w:spacing w:line="276" w:lineRule="auto"/>
            <w:jc w:val="center"/>
            <w:textAlignment w:val="baseline"/>
            <w:rPr>
              <w:sz w:val="10"/>
              <w:szCs w:val="10"/>
            </w:rPr>
          </w:pPr>
        </w:p>
        <w:p>
          <w:pPr>
            <w:overflowPunct w:val="0"/>
            <w:spacing w:line="276" w:lineRule="auto"/>
            <w:jc w:val="center"/>
            <w:textAlignment w:val="baseline"/>
            <w:rPr>
              <w:sz w:val="10"/>
              <w:szCs w:val="10"/>
            </w:rPr>
          </w:pPr>
        </w:p>
        <w:p>
          <w:pPr>
            <w:spacing w:line="276" w:lineRule="auto"/>
            <w:rPr>
              <w:sz w:val="6"/>
              <w:szCs w:val="6"/>
            </w:rPr>
          </w:pPr>
        </w:p>
        <w:p>
          <w:pPr>
            <w:keepNext/>
            <w:overflowPunct w:val="0"/>
            <w:spacing w:line="276" w:lineRule="auto"/>
            <w:jc w:val="center"/>
            <w:textAlignment w:val="baseline"/>
            <w:rPr>
              <w:b/>
              <w:szCs w:val="22"/>
            </w:rPr>
          </w:pPr>
          <w:r>
            <w:rPr>
              <w:b/>
              <w:szCs w:val="22"/>
            </w:rPr>
            <w:t>ILGALAIKIO TURTO ŽINIARAŠTIS</w:t>
          </w:r>
        </w:p>
        <w:p>
          <w:pPr>
            <w:spacing w:line="276" w:lineRule="auto"/>
            <w:rPr>
              <w:sz w:val="6"/>
              <w:szCs w:val="6"/>
            </w:rPr>
          </w:pPr>
        </w:p>
        <w:p>
          <w:pPr>
            <w:overflowPunct w:val="0"/>
            <w:spacing w:line="276" w:lineRule="auto"/>
            <w:jc w:val="center"/>
            <w:textAlignment w:val="baseline"/>
          </w:pPr>
          <w:r>
            <w:t>_____________ Nr. _____________</w:t>
          </w:r>
        </w:p>
        <w:p>
          <w:pPr>
            <w:overflowPunct w:val="0"/>
            <w:spacing w:line="276" w:lineRule="auto"/>
            <w:ind w:left="5812"/>
            <w:jc w:val="both"/>
            <w:textAlignment w:val="baseline"/>
            <w:rPr>
              <w:sz w:val="20"/>
            </w:rPr>
          </w:pPr>
          <w:r>
            <w:rPr>
              <w:sz w:val="20"/>
            </w:rPr>
            <w:t>(data)</w:t>
          </w:r>
        </w:p>
        <w:tbl>
          <w:tblPr>
            <w:tblW w:w="525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1596"/>
            <w:gridCol w:w="1408"/>
            <w:gridCol w:w="986"/>
            <w:gridCol w:w="1228"/>
            <w:gridCol w:w="1038"/>
            <w:gridCol w:w="1078"/>
            <w:gridCol w:w="919"/>
            <w:gridCol w:w="1136"/>
            <w:gridCol w:w="889"/>
            <w:gridCol w:w="1316"/>
            <w:gridCol w:w="1133"/>
            <w:gridCol w:w="1408"/>
            <w:gridCol w:w="1133"/>
          </w:tblGrid>
          <w:tr>
            <w:trPr>
              <w:trHeight w:val="989"/>
            </w:trPr>
            <w:tc>
              <w:tcPr>
                <w:tcW w:w="523" w:type="pct"/>
                <w:vAlign w:val="center"/>
              </w:tcPr>
              <w:p>
                <w:pPr>
                  <w:overflowPunct w:val="0"/>
                  <w:spacing w:line="276" w:lineRule="auto"/>
                  <w:jc w:val="center"/>
                  <w:textAlignment w:val="baseline"/>
                  <w:rPr>
                    <w:sz w:val="20"/>
                  </w:rPr>
                </w:pPr>
                <w:r>
                  <w:rPr>
                    <w:sz w:val="20"/>
                  </w:rPr>
                  <w:t>Turto grupė, pavadinimas, inventorinis Nr.</w:t>
                </w:r>
              </w:p>
            </w:tc>
            <w:tc>
              <w:tcPr>
                <w:tcW w:w="461" w:type="pct"/>
                <w:vAlign w:val="center"/>
              </w:tcPr>
              <w:p>
                <w:pPr>
                  <w:overflowPunct w:val="0"/>
                  <w:spacing w:line="276" w:lineRule="auto"/>
                  <w:jc w:val="center"/>
                  <w:textAlignment w:val="baseline"/>
                  <w:rPr>
                    <w:sz w:val="20"/>
                  </w:rPr>
                </w:pPr>
                <w:r>
                  <w:rPr>
                    <w:sz w:val="20"/>
                  </w:rPr>
                  <w:t>Įsigijimo / pagaminimo data,</w:t>
                </w:r>
              </w:p>
              <w:p>
                <w:pPr>
                  <w:overflowPunct w:val="0"/>
                  <w:spacing w:line="276" w:lineRule="auto"/>
                  <w:jc w:val="center"/>
                  <w:textAlignment w:val="baseline"/>
                  <w:rPr>
                    <w:sz w:val="20"/>
                  </w:rPr>
                </w:pPr>
                <w:r>
                  <w:rPr>
                    <w:sz w:val="20"/>
                  </w:rPr>
                  <w:t>dokum. Nr.</w:t>
                </w:r>
              </w:p>
            </w:tc>
            <w:tc>
              <w:tcPr>
                <w:tcW w:w="323" w:type="pct"/>
                <w:vAlign w:val="center"/>
              </w:tcPr>
              <w:p>
                <w:pPr>
                  <w:overflowPunct w:val="0"/>
                  <w:spacing w:line="276" w:lineRule="auto"/>
                  <w:jc w:val="center"/>
                  <w:textAlignment w:val="baseline"/>
                  <w:rPr>
                    <w:sz w:val="20"/>
                  </w:rPr>
                </w:pPr>
                <w:r>
                  <w:rPr>
                    <w:sz w:val="20"/>
                  </w:rPr>
                  <w:t>Naudo-jimo pradžios data</w:t>
                </w:r>
              </w:p>
            </w:tc>
            <w:tc>
              <w:tcPr>
                <w:tcW w:w="402" w:type="pct"/>
                <w:vAlign w:val="center"/>
              </w:tcPr>
              <w:p>
                <w:pPr>
                  <w:overflowPunct w:val="0"/>
                  <w:spacing w:line="276" w:lineRule="auto"/>
                  <w:jc w:val="center"/>
                  <w:textAlignment w:val="baseline"/>
                  <w:rPr>
                    <w:sz w:val="20"/>
                  </w:rPr>
                </w:pPr>
                <w:r>
                  <w:rPr>
                    <w:sz w:val="20"/>
                  </w:rPr>
                  <w:t>Įsigijimo / perkainota vertė metų pradžioje ir per metus įsigyto turto vertė, Eur</w:t>
                </w:r>
              </w:p>
            </w:tc>
            <w:tc>
              <w:tcPr>
                <w:tcW w:w="340" w:type="pct"/>
                <w:vAlign w:val="center"/>
              </w:tcPr>
              <w:p>
                <w:pPr>
                  <w:overflowPunct w:val="0"/>
                  <w:spacing w:line="276" w:lineRule="auto"/>
                  <w:jc w:val="center"/>
                  <w:textAlignment w:val="baseline"/>
                  <w:rPr>
                    <w:sz w:val="20"/>
                  </w:rPr>
                </w:pPr>
                <w:r>
                  <w:rPr>
                    <w:sz w:val="20"/>
                  </w:rPr>
                  <w:t>Likvi-dacinė vertė, Eur</w:t>
                </w:r>
              </w:p>
            </w:tc>
            <w:tc>
              <w:tcPr>
                <w:tcW w:w="353" w:type="pct"/>
                <w:vAlign w:val="center"/>
              </w:tcPr>
              <w:p>
                <w:pPr>
                  <w:overflowPunct w:val="0"/>
                  <w:spacing w:line="276" w:lineRule="auto"/>
                  <w:jc w:val="center"/>
                  <w:textAlignment w:val="baseline"/>
                  <w:rPr>
                    <w:sz w:val="20"/>
                  </w:rPr>
                </w:pPr>
                <w:r>
                  <w:rPr>
                    <w:sz w:val="20"/>
                  </w:rPr>
                  <w:t>Nusidė-vėjimo suma metų pradžioje, Eur</w:t>
                </w:r>
              </w:p>
            </w:tc>
            <w:tc>
              <w:tcPr>
                <w:tcW w:w="301" w:type="pct"/>
                <w:vAlign w:val="center"/>
              </w:tcPr>
              <w:p>
                <w:pPr>
                  <w:overflowPunct w:val="0"/>
                  <w:spacing w:line="276" w:lineRule="auto"/>
                  <w:jc w:val="center"/>
                  <w:textAlignment w:val="baseline"/>
                  <w:rPr>
                    <w:sz w:val="20"/>
                  </w:rPr>
                </w:pPr>
                <w:r>
                  <w:rPr>
                    <w:sz w:val="20"/>
                  </w:rPr>
                  <w:t>Numa-tomas naudo-jimo laikas (metai)</w:t>
                </w:r>
              </w:p>
            </w:tc>
            <w:tc>
              <w:tcPr>
                <w:tcW w:w="372" w:type="pct"/>
                <w:vAlign w:val="center"/>
              </w:tcPr>
              <w:p>
                <w:pPr>
                  <w:overflowPunct w:val="0"/>
                  <w:spacing w:line="276" w:lineRule="auto"/>
                  <w:jc w:val="center"/>
                  <w:textAlignment w:val="baseline"/>
                  <w:rPr>
                    <w:sz w:val="20"/>
                  </w:rPr>
                </w:pPr>
                <w:r>
                  <w:rPr>
                    <w:sz w:val="20"/>
                  </w:rPr>
                  <w:t>Metinė nusidė-vėjimo suma, Eur</w:t>
                </w:r>
              </w:p>
            </w:tc>
            <w:tc>
              <w:tcPr>
                <w:tcW w:w="291" w:type="pct"/>
                <w:vAlign w:val="center"/>
              </w:tcPr>
              <w:p>
                <w:pPr>
                  <w:overflowPunct w:val="0"/>
                  <w:spacing w:line="276" w:lineRule="auto"/>
                  <w:jc w:val="center"/>
                  <w:textAlignment w:val="baseline"/>
                  <w:rPr>
                    <w:sz w:val="20"/>
                  </w:rPr>
                </w:pPr>
                <w:r>
                  <w:rPr>
                    <w:sz w:val="20"/>
                  </w:rPr>
                  <w:t>Nurašy-mo data</w:t>
                </w:r>
              </w:p>
            </w:tc>
            <w:tc>
              <w:tcPr>
                <w:tcW w:w="431" w:type="pct"/>
                <w:vAlign w:val="center"/>
              </w:tcPr>
              <w:p>
                <w:pPr>
                  <w:overflowPunct w:val="0"/>
                  <w:spacing w:line="276" w:lineRule="auto"/>
                  <w:jc w:val="center"/>
                  <w:textAlignment w:val="baseline"/>
                  <w:rPr>
                    <w:sz w:val="20"/>
                  </w:rPr>
                </w:pPr>
                <w:r>
                  <w:rPr>
                    <w:sz w:val="20"/>
                  </w:rPr>
                  <w:t>Vertės pasikeitimas dėl rekonst-rukc.(+) /</w:t>
                </w:r>
              </w:p>
              <w:p>
                <w:pPr>
                  <w:overflowPunct w:val="0"/>
                  <w:spacing w:line="276" w:lineRule="auto"/>
                  <w:jc w:val="center"/>
                  <w:textAlignment w:val="baseline"/>
                  <w:rPr>
                    <w:sz w:val="20"/>
                  </w:rPr>
                </w:pPr>
                <w:r>
                  <w:rPr>
                    <w:sz w:val="20"/>
                  </w:rPr>
                  <w:t>perkain.(-) , Eur</w:t>
                </w:r>
              </w:p>
            </w:tc>
            <w:tc>
              <w:tcPr>
                <w:tcW w:w="371" w:type="pct"/>
                <w:vAlign w:val="center"/>
              </w:tcPr>
              <w:p>
                <w:pPr>
                  <w:overflowPunct w:val="0"/>
                  <w:spacing w:line="276" w:lineRule="auto"/>
                  <w:jc w:val="center"/>
                  <w:textAlignment w:val="baseline"/>
                  <w:rPr>
                    <w:sz w:val="20"/>
                  </w:rPr>
                </w:pPr>
                <w:r>
                  <w:rPr>
                    <w:sz w:val="20"/>
                  </w:rPr>
                  <w:t>Likutinė vertė metų pabaigoje, Eur</w:t>
                </w:r>
              </w:p>
            </w:tc>
            <w:tc>
              <w:tcPr>
                <w:tcW w:w="461" w:type="pct"/>
                <w:vAlign w:val="center"/>
              </w:tcPr>
              <w:p>
                <w:pPr>
                  <w:overflowPunct w:val="0"/>
                  <w:spacing w:line="276" w:lineRule="auto"/>
                  <w:jc w:val="center"/>
                  <w:textAlignment w:val="baseline"/>
                  <w:rPr>
                    <w:sz w:val="20"/>
                  </w:rPr>
                </w:pPr>
                <w:r>
                  <w:rPr>
                    <w:sz w:val="20"/>
                  </w:rPr>
                  <w:t>Įsigijimo / perkainota vertė metų pabaigoje, Eur</w:t>
                </w:r>
              </w:p>
            </w:tc>
            <w:tc>
              <w:tcPr>
                <w:tcW w:w="371" w:type="pct"/>
                <w:vAlign w:val="center"/>
              </w:tcPr>
              <w:p>
                <w:pPr>
                  <w:overflowPunct w:val="0"/>
                  <w:spacing w:line="276" w:lineRule="auto"/>
                  <w:jc w:val="center"/>
                  <w:textAlignment w:val="baseline"/>
                  <w:rPr>
                    <w:sz w:val="18"/>
                  </w:rPr>
                </w:pPr>
                <w:r>
                  <w:rPr>
                    <w:sz w:val="18"/>
                  </w:rPr>
                  <w:t>Nusidėvėjimo suma metų pabaigoje, Eur</w:t>
                </w:r>
              </w:p>
            </w:tc>
          </w:tr>
          <w:tr>
            <w:trPr>
              <w:cantSplit/>
              <w:trHeight w:val="247"/>
            </w:trPr>
            <w:tc>
              <w:tcPr>
                <w:tcW w:w="5000" w:type="pct"/>
                <w:gridSpan w:val="13"/>
                <w:vAlign w:val="center"/>
              </w:tcPr>
              <w:p>
                <w:pPr>
                  <w:overflowPunct w:val="0"/>
                  <w:spacing w:line="276" w:lineRule="auto"/>
                  <w:jc w:val="center"/>
                  <w:textAlignment w:val="baseline"/>
                  <w:rPr>
                    <w:sz w:val="22"/>
                    <w:szCs w:val="22"/>
                  </w:rPr>
                </w:pPr>
                <w:r>
                  <w:rPr>
                    <w:sz w:val="22"/>
                    <w:szCs w:val="22"/>
                  </w:rPr>
                  <w:t>Ilgalaikis materialusis turtas</w:t>
                </w:r>
              </w:p>
            </w:tc>
          </w:tr>
          <w:tr>
            <w:trPr>
              <w:trHeight w:val="247"/>
            </w:trPr>
            <w:tc>
              <w:tcPr>
                <w:tcW w:w="523" w:type="pct"/>
                <w:vAlign w:val="center"/>
              </w:tcPr>
              <w:p>
                <w:pPr>
                  <w:overflowPunct w:val="0"/>
                  <w:spacing w:line="276" w:lineRule="auto"/>
                  <w:jc w:val="center"/>
                  <w:textAlignment w:val="baseline"/>
                  <w:rPr>
                    <w:sz w:val="22"/>
                    <w:szCs w:val="22"/>
                  </w:rPr>
                </w:pPr>
              </w:p>
            </w:tc>
            <w:tc>
              <w:tcPr>
                <w:tcW w:w="461" w:type="pct"/>
                <w:vAlign w:val="center"/>
              </w:tcPr>
              <w:p>
                <w:pPr>
                  <w:overflowPunct w:val="0"/>
                  <w:spacing w:line="276" w:lineRule="auto"/>
                  <w:jc w:val="center"/>
                  <w:textAlignment w:val="baseline"/>
                  <w:rPr>
                    <w:sz w:val="22"/>
                    <w:szCs w:val="22"/>
                  </w:rPr>
                </w:pPr>
              </w:p>
            </w:tc>
            <w:tc>
              <w:tcPr>
                <w:tcW w:w="323" w:type="pct"/>
                <w:vAlign w:val="center"/>
              </w:tcPr>
              <w:p>
                <w:pPr>
                  <w:overflowPunct w:val="0"/>
                  <w:spacing w:line="276" w:lineRule="auto"/>
                  <w:jc w:val="center"/>
                  <w:textAlignment w:val="baseline"/>
                  <w:rPr>
                    <w:sz w:val="22"/>
                    <w:szCs w:val="22"/>
                  </w:rPr>
                </w:pPr>
              </w:p>
            </w:tc>
            <w:tc>
              <w:tcPr>
                <w:tcW w:w="402" w:type="pct"/>
                <w:vAlign w:val="center"/>
              </w:tcPr>
              <w:p>
                <w:pPr>
                  <w:overflowPunct w:val="0"/>
                  <w:spacing w:line="276" w:lineRule="auto"/>
                  <w:jc w:val="center"/>
                  <w:textAlignment w:val="baseline"/>
                  <w:rPr>
                    <w:sz w:val="22"/>
                    <w:szCs w:val="22"/>
                  </w:rPr>
                </w:pPr>
              </w:p>
            </w:tc>
            <w:tc>
              <w:tcPr>
                <w:tcW w:w="340" w:type="pct"/>
                <w:vAlign w:val="center"/>
              </w:tcPr>
              <w:p>
                <w:pPr>
                  <w:overflowPunct w:val="0"/>
                  <w:spacing w:line="276" w:lineRule="auto"/>
                  <w:jc w:val="center"/>
                  <w:textAlignment w:val="baseline"/>
                  <w:rPr>
                    <w:sz w:val="22"/>
                    <w:szCs w:val="22"/>
                  </w:rPr>
                </w:pPr>
              </w:p>
            </w:tc>
            <w:tc>
              <w:tcPr>
                <w:tcW w:w="353" w:type="pct"/>
                <w:vAlign w:val="center"/>
              </w:tcPr>
              <w:p>
                <w:pPr>
                  <w:overflowPunct w:val="0"/>
                  <w:spacing w:line="276" w:lineRule="auto"/>
                  <w:jc w:val="center"/>
                  <w:textAlignment w:val="baseline"/>
                  <w:rPr>
                    <w:sz w:val="22"/>
                    <w:szCs w:val="22"/>
                  </w:rPr>
                </w:pPr>
              </w:p>
            </w:tc>
            <w:tc>
              <w:tcPr>
                <w:tcW w:w="301" w:type="pct"/>
                <w:vAlign w:val="center"/>
              </w:tcPr>
              <w:p>
                <w:pPr>
                  <w:overflowPunct w:val="0"/>
                  <w:spacing w:line="276" w:lineRule="auto"/>
                  <w:jc w:val="center"/>
                  <w:textAlignment w:val="baseline"/>
                  <w:rPr>
                    <w:sz w:val="22"/>
                    <w:szCs w:val="22"/>
                  </w:rPr>
                </w:pPr>
              </w:p>
            </w:tc>
            <w:tc>
              <w:tcPr>
                <w:tcW w:w="372" w:type="pct"/>
                <w:vAlign w:val="center"/>
              </w:tcPr>
              <w:p>
                <w:pPr>
                  <w:overflowPunct w:val="0"/>
                  <w:spacing w:line="276" w:lineRule="auto"/>
                  <w:jc w:val="center"/>
                  <w:textAlignment w:val="baseline"/>
                  <w:rPr>
                    <w:sz w:val="22"/>
                    <w:szCs w:val="22"/>
                  </w:rPr>
                </w:pPr>
              </w:p>
            </w:tc>
            <w:tc>
              <w:tcPr>
                <w:tcW w:w="291" w:type="pct"/>
                <w:vAlign w:val="center"/>
              </w:tcPr>
              <w:p>
                <w:pPr>
                  <w:overflowPunct w:val="0"/>
                  <w:spacing w:line="276" w:lineRule="auto"/>
                  <w:jc w:val="center"/>
                  <w:textAlignment w:val="baseline"/>
                  <w:rPr>
                    <w:sz w:val="22"/>
                    <w:szCs w:val="22"/>
                  </w:rPr>
                </w:pPr>
              </w:p>
            </w:tc>
            <w:tc>
              <w:tcPr>
                <w:tcW w:w="431" w:type="pct"/>
                <w:vAlign w:val="center"/>
              </w:tcPr>
              <w:p>
                <w:pPr>
                  <w:overflowPunct w:val="0"/>
                  <w:spacing w:line="276" w:lineRule="auto"/>
                  <w:jc w:val="center"/>
                  <w:textAlignment w:val="baseline"/>
                  <w:rPr>
                    <w:sz w:val="22"/>
                    <w:szCs w:val="22"/>
                  </w:rPr>
                </w:pPr>
              </w:p>
            </w:tc>
            <w:tc>
              <w:tcPr>
                <w:tcW w:w="371" w:type="pct"/>
                <w:vAlign w:val="center"/>
              </w:tcPr>
              <w:p>
                <w:pPr>
                  <w:overflowPunct w:val="0"/>
                  <w:spacing w:line="276" w:lineRule="auto"/>
                  <w:jc w:val="center"/>
                  <w:textAlignment w:val="baseline"/>
                  <w:rPr>
                    <w:sz w:val="22"/>
                    <w:szCs w:val="22"/>
                  </w:rPr>
                </w:pPr>
              </w:p>
            </w:tc>
            <w:tc>
              <w:tcPr>
                <w:tcW w:w="461" w:type="pct"/>
                <w:vAlign w:val="center"/>
              </w:tcPr>
              <w:p>
                <w:pPr>
                  <w:overflowPunct w:val="0"/>
                  <w:spacing w:line="276" w:lineRule="auto"/>
                  <w:jc w:val="center"/>
                  <w:textAlignment w:val="baseline"/>
                  <w:rPr>
                    <w:sz w:val="22"/>
                    <w:szCs w:val="22"/>
                  </w:rPr>
                </w:pPr>
              </w:p>
            </w:tc>
            <w:tc>
              <w:tcPr>
                <w:tcW w:w="371" w:type="pct"/>
                <w:vAlign w:val="center"/>
              </w:tcPr>
              <w:p>
                <w:pPr>
                  <w:overflowPunct w:val="0"/>
                  <w:spacing w:line="276" w:lineRule="auto"/>
                  <w:jc w:val="center"/>
                  <w:textAlignment w:val="baseline"/>
                  <w:rPr>
                    <w:sz w:val="22"/>
                    <w:szCs w:val="22"/>
                  </w:rPr>
                </w:pPr>
              </w:p>
            </w:tc>
          </w:tr>
          <w:tr>
            <w:trPr>
              <w:trHeight w:val="247"/>
            </w:trPr>
            <w:tc>
              <w:tcPr>
                <w:tcW w:w="523" w:type="pct"/>
                <w:vAlign w:val="center"/>
              </w:tcPr>
              <w:p>
                <w:pPr>
                  <w:overflowPunct w:val="0"/>
                  <w:spacing w:line="276" w:lineRule="auto"/>
                  <w:jc w:val="center"/>
                  <w:textAlignment w:val="baseline"/>
                  <w:rPr>
                    <w:sz w:val="22"/>
                    <w:szCs w:val="22"/>
                  </w:rPr>
                </w:pPr>
              </w:p>
            </w:tc>
            <w:tc>
              <w:tcPr>
                <w:tcW w:w="461" w:type="pct"/>
                <w:vAlign w:val="center"/>
              </w:tcPr>
              <w:p>
                <w:pPr>
                  <w:overflowPunct w:val="0"/>
                  <w:spacing w:line="276" w:lineRule="auto"/>
                  <w:jc w:val="center"/>
                  <w:textAlignment w:val="baseline"/>
                  <w:rPr>
                    <w:sz w:val="22"/>
                    <w:szCs w:val="22"/>
                  </w:rPr>
                </w:pPr>
              </w:p>
            </w:tc>
            <w:tc>
              <w:tcPr>
                <w:tcW w:w="323" w:type="pct"/>
                <w:vAlign w:val="center"/>
              </w:tcPr>
              <w:p>
                <w:pPr>
                  <w:overflowPunct w:val="0"/>
                  <w:spacing w:line="276" w:lineRule="auto"/>
                  <w:jc w:val="center"/>
                  <w:textAlignment w:val="baseline"/>
                  <w:rPr>
                    <w:sz w:val="22"/>
                    <w:szCs w:val="22"/>
                  </w:rPr>
                </w:pPr>
              </w:p>
            </w:tc>
            <w:tc>
              <w:tcPr>
                <w:tcW w:w="402" w:type="pct"/>
                <w:vAlign w:val="center"/>
              </w:tcPr>
              <w:p>
                <w:pPr>
                  <w:overflowPunct w:val="0"/>
                  <w:spacing w:line="276" w:lineRule="auto"/>
                  <w:jc w:val="center"/>
                  <w:textAlignment w:val="baseline"/>
                  <w:rPr>
                    <w:sz w:val="22"/>
                    <w:szCs w:val="22"/>
                  </w:rPr>
                </w:pPr>
              </w:p>
            </w:tc>
            <w:tc>
              <w:tcPr>
                <w:tcW w:w="340" w:type="pct"/>
                <w:vAlign w:val="center"/>
              </w:tcPr>
              <w:p>
                <w:pPr>
                  <w:overflowPunct w:val="0"/>
                  <w:spacing w:line="276" w:lineRule="auto"/>
                  <w:jc w:val="center"/>
                  <w:textAlignment w:val="baseline"/>
                  <w:rPr>
                    <w:sz w:val="22"/>
                    <w:szCs w:val="22"/>
                  </w:rPr>
                </w:pPr>
              </w:p>
            </w:tc>
            <w:tc>
              <w:tcPr>
                <w:tcW w:w="353" w:type="pct"/>
                <w:vAlign w:val="center"/>
              </w:tcPr>
              <w:p>
                <w:pPr>
                  <w:overflowPunct w:val="0"/>
                  <w:spacing w:line="276" w:lineRule="auto"/>
                  <w:jc w:val="center"/>
                  <w:textAlignment w:val="baseline"/>
                  <w:rPr>
                    <w:sz w:val="22"/>
                    <w:szCs w:val="22"/>
                  </w:rPr>
                </w:pPr>
              </w:p>
            </w:tc>
            <w:tc>
              <w:tcPr>
                <w:tcW w:w="301" w:type="pct"/>
                <w:vAlign w:val="center"/>
              </w:tcPr>
              <w:p>
                <w:pPr>
                  <w:overflowPunct w:val="0"/>
                  <w:spacing w:line="276" w:lineRule="auto"/>
                  <w:jc w:val="center"/>
                  <w:textAlignment w:val="baseline"/>
                  <w:rPr>
                    <w:sz w:val="22"/>
                    <w:szCs w:val="22"/>
                  </w:rPr>
                </w:pPr>
              </w:p>
            </w:tc>
            <w:tc>
              <w:tcPr>
                <w:tcW w:w="372" w:type="pct"/>
                <w:vAlign w:val="center"/>
              </w:tcPr>
              <w:p>
                <w:pPr>
                  <w:overflowPunct w:val="0"/>
                  <w:spacing w:line="276" w:lineRule="auto"/>
                  <w:jc w:val="center"/>
                  <w:textAlignment w:val="baseline"/>
                  <w:rPr>
                    <w:sz w:val="22"/>
                    <w:szCs w:val="22"/>
                  </w:rPr>
                </w:pPr>
              </w:p>
            </w:tc>
            <w:tc>
              <w:tcPr>
                <w:tcW w:w="291" w:type="pct"/>
                <w:vAlign w:val="center"/>
              </w:tcPr>
              <w:p>
                <w:pPr>
                  <w:overflowPunct w:val="0"/>
                  <w:spacing w:line="276" w:lineRule="auto"/>
                  <w:jc w:val="center"/>
                  <w:textAlignment w:val="baseline"/>
                  <w:rPr>
                    <w:sz w:val="22"/>
                    <w:szCs w:val="22"/>
                  </w:rPr>
                </w:pPr>
              </w:p>
            </w:tc>
            <w:tc>
              <w:tcPr>
                <w:tcW w:w="431" w:type="pct"/>
                <w:vAlign w:val="center"/>
              </w:tcPr>
              <w:p>
                <w:pPr>
                  <w:overflowPunct w:val="0"/>
                  <w:spacing w:line="276" w:lineRule="auto"/>
                  <w:jc w:val="center"/>
                  <w:textAlignment w:val="baseline"/>
                  <w:rPr>
                    <w:sz w:val="22"/>
                    <w:szCs w:val="22"/>
                  </w:rPr>
                </w:pPr>
              </w:p>
            </w:tc>
            <w:tc>
              <w:tcPr>
                <w:tcW w:w="371" w:type="pct"/>
                <w:vAlign w:val="center"/>
              </w:tcPr>
              <w:p>
                <w:pPr>
                  <w:overflowPunct w:val="0"/>
                  <w:spacing w:line="276" w:lineRule="auto"/>
                  <w:jc w:val="center"/>
                  <w:textAlignment w:val="baseline"/>
                  <w:rPr>
                    <w:sz w:val="22"/>
                    <w:szCs w:val="22"/>
                  </w:rPr>
                </w:pPr>
              </w:p>
            </w:tc>
            <w:tc>
              <w:tcPr>
                <w:tcW w:w="461" w:type="pct"/>
                <w:vAlign w:val="center"/>
              </w:tcPr>
              <w:p>
                <w:pPr>
                  <w:overflowPunct w:val="0"/>
                  <w:spacing w:line="276" w:lineRule="auto"/>
                  <w:jc w:val="center"/>
                  <w:textAlignment w:val="baseline"/>
                  <w:rPr>
                    <w:sz w:val="22"/>
                    <w:szCs w:val="22"/>
                  </w:rPr>
                </w:pPr>
              </w:p>
            </w:tc>
            <w:tc>
              <w:tcPr>
                <w:tcW w:w="371" w:type="pct"/>
                <w:vAlign w:val="center"/>
              </w:tcPr>
              <w:p>
                <w:pPr>
                  <w:overflowPunct w:val="0"/>
                  <w:spacing w:line="276" w:lineRule="auto"/>
                  <w:jc w:val="center"/>
                  <w:textAlignment w:val="baseline"/>
                  <w:rPr>
                    <w:sz w:val="22"/>
                    <w:szCs w:val="22"/>
                  </w:rPr>
                </w:pPr>
              </w:p>
            </w:tc>
          </w:tr>
          <w:tr>
            <w:trPr>
              <w:trHeight w:val="247"/>
            </w:trPr>
            <w:tc>
              <w:tcPr>
                <w:tcW w:w="523" w:type="pct"/>
                <w:vAlign w:val="center"/>
              </w:tcPr>
              <w:p>
                <w:pPr>
                  <w:overflowPunct w:val="0"/>
                  <w:spacing w:line="276" w:lineRule="auto"/>
                  <w:jc w:val="center"/>
                  <w:textAlignment w:val="baseline"/>
                  <w:rPr>
                    <w:sz w:val="22"/>
                    <w:szCs w:val="22"/>
                  </w:rPr>
                </w:pPr>
              </w:p>
            </w:tc>
            <w:tc>
              <w:tcPr>
                <w:tcW w:w="461" w:type="pct"/>
                <w:vAlign w:val="center"/>
              </w:tcPr>
              <w:p>
                <w:pPr>
                  <w:overflowPunct w:val="0"/>
                  <w:spacing w:line="276" w:lineRule="auto"/>
                  <w:jc w:val="center"/>
                  <w:textAlignment w:val="baseline"/>
                  <w:rPr>
                    <w:sz w:val="22"/>
                    <w:szCs w:val="22"/>
                  </w:rPr>
                </w:pPr>
              </w:p>
            </w:tc>
            <w:tc>
              <w:tcPr>
                <w:tcW w:w="323" w:type="pct"/>
                <w:vAlign w:val="center"/>
              </w:tcPr>
              <w:p>
                <w:pPr>
                  <w:overflowPunct w:val="0"/>
                  <w:spacing w:line="276" w:lineRule="auto"/>
                  <w:jc w:val="center"/>
                  <w:textAlignment w:val="baseline"/>
                  <w:rPr>
                    <w:sz w:val="22"/>
                    <w:szCs w:val="22"/>
                  </w:rPr>
                </w:pPr>
              </w:p>
            </w:tc>
            <w:tc>
              <w:tcPr>
                <w:tcW w:w="402" w:type="pct"/>
                <w:vAlign w:val="center"/>
              </w:tcPr>
              <w:p>
                <w:pPr>
                  <w:overflowPunct w:val="0"/>
                  <w:spacing w:line="276" w:lineRule="auto"/>
                  <w:jc w:val="center"/>
                  <w:textAlignment w:val="baseline"/>
                  <w:rPr>
                    <w:sz w:val="22"/>
                    <w:szCs w:val="22"/>
                  </w:rPr>
                </w:pPr>
              </w:p>
            </w:tc>
            <w:tc>
              <w:tcPr>
                <w:tcW w:w="340" w:type="pct"/>
                <w:vAlign w:val="center"/>
              </w:tcPr>
              <w:p>
                <w:pPr>
                  <w:overflowPunct w:val="0"/>
                  <w:spacing w:line="276" w:lineRule="auto"/>
                  <w:jc w:val="center"/>
                  <w:textAlignment w:val="baseline"/>
                  <w:rPr>
                    <w:sz w:val="22"/>
                    <w:szCs w:val="22"/>
                  </w:rPr>
                </w:pPr>
              </w:p>
            </w:tc>
            <w:tc>
              <w:tcPr>
                <w:tcW w:w="353" w:type="pct"/>
                <w:vAlign w:val="center"/>
              </w:tcPr>
              <w:p>
                <w:pPr>
                  <w:overflowPunct w:val="0"/>
                  <w:spacing w:line="276" w:lineRule="auto"/>
                  <w:jc w:val="center"/>
                  <w:textAlignment w:val="baseline"/>
                  <w:rPr>
                    <w:sz w:val="22"/>
                    <w:szCs w:val="22"/>
                  </w:rPr>
                </w:pPr>
              </w:p>
            </w:tc>
            <w:tc>
              <w:tcPr>
                <w:tcW w:w="301" w:type="pct"/>
                <w:vAlign w:val="center"/>
              </w:tcPr>
              <w:p>
                <w:pPr>
                  <w:overflowPunct w:val="0"/>
                  <w:spacing w:line="276" w:lineRule="auto"/>
                  <w:jc w:val="center"/>
                  <w:textAlignment w:val="baseline"/>
                  <w:rPr>
                    <w:sz w:val="22"/>
                    <w:szCs w:val="22"/>
                  </w:rPr>
                </w:pPr>
              </w:p>
            </w:tc>
            <w:tc>
              <w:tcPr>
                <w:tcW w:w="372" w:type="pct"/>
                <w:vAlign w:val="center"/>
              </w:tcPr>
              <w:p>
                <w:pPr>
                  <w:overflowPunct w:val="0"/>
                  <w:spacing w:line="276" w:lineRule="auto"/>
                  <w:jc w:val="center"/>
                  <w:textAlignment w:val="baseline"/>
                  <w:rPr>
                    <w:sz w:val="22"/>
                    <w:szCs w:val="22"/>
                  </w:rPr>
                </w:pPr>
              </w:p>
            </w:tc>
            <w:tc>
              <w:tcPr>
                <w:tcW w:w="291" w:type="pct"/>
                <w:vAlign w:val="center"/>
              </w:tcPr>
              <w:p>
                <w:pPr>
                  <w:overflowPunct w:val="0"/>
                  <w:spacing w:line="276" w:lineRule="auto"/>
                  <w:jc w:val="center"/>
                  <w:textAlignment w:val="baseline"/>
                  <w:rPr>
                    <w:sz w:val="22"/>
                    <w:szCs w:val="22"/>
                  </w:rPr>
                </w:pPr>
              </w:p>
            </w:tc>
            <w:tc>
              <w:tcPr>
                <w:tcW w:w="431" w:type="pct"/>
                <w:vAlign w:val="center"/>
              </w:tcPr>
              <w:p>
                <w:pPr>
                  <w:overflowPunct w:val="0"/>
                  <w:spacing w:line="276" w:lineRule="auto"/>
                  <w:jc w:val="center"/>
                  <w:textAlignment w:val="baseline"/>
                  <w:rPr>
                    <w:sz w:val="22"/>
                    <w:szCs w:val="22"/>
                  </w:rPr>
                </w:pPr>
              </w:p>
            </w:tc>
            <w:tc>
              <w:tcPr>
                <w:tcW w:w="371" w:type="pct"/>
                <w:vAlign w:val="center"/>
              </w:tcPr>
              <w:p>
                <w:pPr>
                  <w:overflowPunct w:val="0"/>
                  <w:spacing w:line="276" w:lineRule="auto"/>
                  <w:jc w:val="center"/>
                  <w:textAlignment w:val="baseline"/>
                  <w:rPr>
                    <w:sz w:val="22"/>
                    <w:szCs w:val="22"/>
                  </w:rPr>
                </w:pPr>
              </w:p>
            </w:tc>
            <w:tc>
              <w:tcPr>
                <w:tcW w:w="461" w:type="pct"/>
                <w:vAlign w:val="center"/>
              </w:tcPr>
              <w:p>
                <w:pPr>
                  <w:overflowPunct w:val="0"/>
                  <w:spacing w:line="276" w:lineRule="auto"/>
                  <w:jc w:val="center"/>
                  <w:textAlignment w:val="baseline"/>
                  <w:rPr>
                    <w:sz w:val="22"/>
                    <w:szCs w:val="22"/>
                  </w:rPr>
                </w:pPr>
              </w:p>
            </w:tc>
            <w:tc>
              <w:tcPr>
                <w:tcW w:w="371" w:type="pct"/>
                <w:vAlign w:val="center"/>
              </w:tcPr>
              <w:p>
                <w:pPr>
                  <w:overflowPunct w:val="0"/>
                  <w:spacing w:line="276" w:lineRule="auto"/>
                  <w:jc w:val="center"/>
                  <w:textAlignment w:val="baseline"/>
                  <w:rPr>
                    <w:sz w:val="22"/>
                    <w:szCs w:val="22"/>
                  </w:rPr>
                </w:pPr>
              </w:p>
            </w:tc>
          </w:tr>
          <w:tr>
            <w:trPr>
              <w:trHeight w:val="247"/>
            </w:trPr>
            <w:tc>
              <w:tcPr>
                <w:tcW w:w="523" w:type="pct"/>
                <w:vAlign w:val="center"/>
              </w:tcPr>
              <w:p>
                <w:pPr>
                  <w:overflowPunct w:val="0"/>
                  <w:spacing w:line="276" w:lineRule="auto"/>
                  <w:jc w:val="center"/>
                  <w:textAlignment w:val="baseline"/>
                  <w:rPr>
                    <w:sz w:val="22"/>
                    <w:szCs w:val="22"/>
                  </w:rPr>
                </w:pPr>
              </w:p>
            </w:tc>
            <w:tc>
              <w:tcPr>
                <w:tcW w:w="461" w:type="pct"/>
                <w:vAlign w:val="center"/>
              </w:tcPr>
              <w:p>
                <w:pPr>
                  <w:overflowPunct w:val="0"/>
                  <w:spacing w:line="276" w:lineRule="auto"/>
                  <w:jc w:val="center"/>
                  <w:textAlignment w:val="baseline"/>
                  <w:rPr>
                    <w:sz w:val="22"/>
                    <w:szCs w:val="22"/>
                  </w:rPr>
                </w:pPr>
                <w:r>
                  <w:rPr>
                    <w:sz w:val="22"/>
                    <w:szCs w:val="22"/>
                  </w:rPr>
                  <w:t>Likutis 12 31</w:t>
                </w:r>
              </w:p>
            </w:tc>
            <w:tc>
              <w:tcPr>
                <w:tcW w:w="323" w:type="pct"/>
                <w:vAlign w:val="center"/>
              </w:tcPr>
              <w:p>
                <w:pPr>
                  <w:overflowPunct w:val="0"/>
                  <w:spacing w:line="276" w:lineRule="auto"/>
                  <w:jc w:val="center"/>
                  <w:textAlignment w:val="baseline"/>
                  <w:rPr>
                    <w:sz w:val="22"/>
                    <w:szCs w:val="22"/>
                  </w:rPr>
                </w:pPr>
              </w:p>
            </w:tc>
            <w:tc>
              <w:tcPr>
                <w:tcW w:w="402" w:type="pct"/>
                <w:vAlign w:val="center"/>
              </w:tcPr>
              <w:p>
                <w:pPr>
                  <w:overflowPunct w:val="0"/>
                  <w:spacing w:line="276" w:lineRule="auto"/>
                  <w:jc w:val="center"/>
                  <w:textAlignment w:val="baseline"/>
                  <w:rPr>
                    <w:sz w:val="22"/>
                    <w:szCs w:val="22"/>
                  </w:rPr>
                </w:pPr>
              </w:p>
            </w:tc>
            <w:tc>
              <w:tcPr>
                <w:tcW w:w="340" w:type="pct"/>
                <w:vAlign w:val="center"/>
              </w:tcPr>
              <w:p>
                <w:pPr>
                  <w:overflowPunct w:val="0"/>
                  <w:spacing w:line="276" w:lineRule="auto"/>
                  <w:jc w:val="center"/>
                  <w:textAlignment w:val="baseline"/>
                  <w:rPr>
                    <w:sz w:val="22"/>
                    <w:szCs w:val="22"/>
                  </w:rPr>
                </w:pPr>
              </w:p>
            </w:tc>
            <w:tc>
              <w:tcPr>
                <w:tcW w:w="353" w:type="pct"/>
                <w:vAlign w:val="center"/>
              </w:tcPr>
              <w:p>
                <w:pPr>
                  <w:overflowPunct w:val="0"/>
                  <w:spacing w:line="276" w:lineRule="auto"/>
                  <w:jc w:val="center"/>
                  <w:textAlignment w:val="baseline"/>
                  <w:rPr>
                    <w:sz w:val="22"/>
                    <w:szCs w:val="22"/>
                  </w:rPr>
                </w:pPr>
              </w:p>
            </w:tc>
            <w:tc>
              <w:tcPr>
                <w:tcW w:w="301" w:type="pct"/>
                <w:vAlign w:val="center"/>
              </w:tcPr>
              <w:p>
                <w:pPr>
                  <w:overflowPunct w:val="0"/>
                  <w:spacing w:line="276" w:lineRule="auto"/>
                  <w:jc w:val="center"/>
                  <w:textAlignment w:val="baseline"/>
                  <w:rPr>
                    <w:sz w:val="22"/>
                    <w:szCs w:val="22"/>
                  </w:rPr>
                </w:pPr>
              </w:p>
            </w:tc>
            <w:tc>
              <w:tcPr>
                <w:tcW w:w="372" w:type="pct"/>
                <w:vAlign w:val="center"/>
              </w:tcPr>
              <w:p>
                <w:pPr>
                  <w:overflowPunct w:val="0"/>
                  <w:spacing w:line="276" w:lineRule="auto"/>
                  <w:jc w:val="center"/>
                  <w:textAlignment w:val="baseline"/>
                  <w:rPr>
                    <w:sz w:val="22"/>
                    <w:szCs w:val="22"/>
                  </w:rPr>
                </w:pPr>
              </w:p>
            </w:tc>
            <w:tc>
              <w:tcPr>
                <w:tcW w:w="291" w:type="pct"/>
                <w:vAlign w:val="center"/>
              </w:tcPr>
              <w:p>
                <w:pPr>
                  <w:overflowPunct w:val="0"/>
                  <w:spacing w:line="276" w:lineRule="auto"/>
                  <w:jc w:val="center"/>
                  <w:textAlignment w:val="baseline"/>
                  <w:rPr>
                    <w:sz w:val="22"/>
                    <w:szCs w:val="22"/>
                  </w:rPr>
                </w:pPr>
              </w:p>
            </w:tc>
            <w:tc>
              <w:tcPr>
                <w:tcW w:w="431" w:type="pct"/>
                <w:vAlign w:val="center"/>
              </w:tcPr>
              <w:p>
                <w:pPr>
                  <w:overflowPunct w:val="0"/>
                  <w:spacing w:line="276" w:lineRule="auto"/>
                  <w:jc w:val="center"/>
                  <w:textAlignment w:val="baseline"/>
                  <w:rPr>
                    <w:sz w:val="22"/>
                    <w:szCs w:val="22"/>
                  </w:rPr>
                </w:pPr>
              </w:p>
            </w:tc>
            <w:tc>
              <w:tcPr>
                <w:tcW w:w="371" w:type="pct"/>
                <w:vAlign w:val="center"/>
              </w:tcPr>
              <w:p>
                <w:pPr>
                  <w:overflowPunct w:val="0"/>
                  <w:spacing w:line="276" w:lineRule="auto"/>
                  <w:jc w:val="center"/>
                  <w:textAlignment w:val="baseline"/>
                  <w:rPr>
                    <w:sz w:val="22"/>
                    <w:szCs w:val="22"/>
                  </w:rPr>
                </w:pPr>
              </w:p>
            </w:tc>
            <w:tc>
              <w:tcPr>
                <w:tcW w:w="461" w:type="pct"/>
                <w:vAlign w:val="center"/>
              </w:tcPr>
              <w:p>
                <w:pPr>
                  <w:overflowPunct w:val="0"/>
                  <w:spacing w:line="276" w:lineRule="auto"/>
                  <w:jc w:val="center"/>
                  <w:textAlignment w:val="baseline"/>
                  <w:rPr>
                    <w:sz w:val="22"/>
                    <w:szCs w:val="22"/>
                  </w:rPr>
                </w:pPr>
              </w:p>
            </w:tc>
            <w:tc>
              <w:tcPr>
                <w:tcW w:w="371" w:type="pct"/>
                <w:vAlign w:val="center"/>
              </w:tcPr>
              <w:p>
                <w:pPr>
                  <w:overflowPunct w:val="0"/>
                  <w:spacing w:line="276" w:lineRule="auto"/>
                  <w:jc w:val="center"/>
                  <w:textAlignment w:val="baseline"/>
                  <w:rPr>
                    <w:sz w:val="22"/>
                    <w:szCs w:val="22"/>
                  </w:rPr>
                </w:pPr>
              </w:p>
            </w:tc>
          </w:tr>
          <w:tr>
            <w:trPr>
              <w:trHeight w:val="247"/>
            </w:trPr>
            <w:tc>
              <w:tcPr>
                <w:tcW w:w="5000" w:type="pct"/>
                <w:gridSpan w:val="13"/>
                <w:vAlign w:val="center"/>
              </w:tcPr>
              <w:p>
                <w:pPr>
                  <w:overflowPunct w:val="0"/>
                  <w:spacing w:line="276" w:lineRule="auto"/>
                  <w:jc w:val="center"/>
                  <w:textAlignment w:val="baseline"/>
                  <w:rPr>
                    <w:sz w:val="22"/>
                    <w:szCs w:val="22"/>
                  </w:rPr>
                </w:pPr>
                <w:r>
                  <w:rPr>
                    <w:sz w:val="22"/>
                    <w:szCs w:val="22"/>
                  </w:rPr>
                  <w:t>Ilgalaikis nematerialusis turtas</w:t>
                </w:r>
              </w:p>
            </w:tc>
          </w:tr>
          <w:tr>
            <w:trPr>
              <w:trHeight w:val="247"/>
            </w:trPr>
            <w:tc>
              <w:tcPr>
                <w:tcW w:w="523" w:type="pct"/>
                <w:vAlign w:val="center"/>
              </w:tcPr>
              <w:p>
                <w:pPr>
                  <w:overflowPunct w:val="0"/>
                  <w:spacing w:line="276" w:lineRule="auto"/>
                  <w:jc w:val="center"/>
                  <w:textAlignment w:val="baseline"/>
                  <w:rPr>
                    <w:sz w:val="22"/>
                    <w:szCs w:val="22"/>
                  </w:rPr>
                </w:pPr>
              </w:p>
            </w:tc>
            <w:tc>
              <w:tcPr>
                <w:tcW w:w="461" w:type="pct"/>
                <w:vAlign w:val="center"/>
              </w:tcPr>
              <w:p>
                <w:pPr>
                  <w:overflowPunct w:val="0"/>
                  <w:spacing w:line="276" w:lineRule="auto"/>
                  <w:jc w:val="center"/>
                  <w:textAlignment w:val="baseline"/>
                  <w:rPr>
                    <w:sz w:val="22"/>
                    <w:szCs w:val="22"/>
                  </w:rPr>
                </w:pPr>
              </w:p>
            </w:tc>
            <w:tc>
              <w:tcPr>
                <w:tcW w:w="323" w:type="pct"/>
                <w:vAlign w:val="center"/>
              </w:tcPr>
              <w:p>
                <w:pPr>
                  <w:overflowPunct w:val="0"/>
                  <w:spacing w:line="276" w:lineRule="auto"/>
                  <w:jc w:val="center"/>
                  <w:textAlignment w:val="baseline"/>
                  <w:rPr>
                    <w:sz w:val="22"/>
                    <w:szCs w:val="22"/>
                  </w:rPr>
                </w:pPr>
              </w:p>
            </w:tc>
            <w:tc>
              <w:tcPr>
                <w:tcW w:w="402" w:type="pct"/>
                <w:vAlign w:val="center"/>
              </w:tcPr>
              <w:p>
                <w:pPr>
                  <w:overflowPunct w:val="0"/>
                  <w:spacing w:line="276" w:lineRule="auto"/>
                  <w:jc w:val="center"/>
                  <w:textAlignment w:val="baseline"/>
                  <w:rPr>
                    <w:sz w:val="22"/>
                    <w:szCs w:val="22"/>
                  </w:rPr>
                </w:pPr>
              </w:p>
            </w:tc>
            <w:tc>
              <w:tcPr>
                <w:tcW w:w="340" w:type="pct"/>
                <w:vAlign w:val="center"/>
              </w:tcPr>
              <w:p>
                <w:pPr>
                  <w:overflowPunct w:val="0"/>
                  <w:spacing w:line="276" w:lineRule="auto"/>
                  <w:jc w:val="center"/>
                  <w:textAlignment w:val="baseline"/>
                  <w:rPr>
                    <w:sz w:val="22"/>
                    <w:szCs w:val="22"/>
                  </w:rPr>
                </w:pPr>
              </w:p>
            </w:tc>
            <w:tc>
              <w:tcPr>
                <w:tcW w:w="353" w:type="pct"/>
                <w:vAlign w:val="center"/>
              </w:tcPr>
              <w:p>
                <w:pPr>
                  <w:overflowPunct w:val="0"/>
                  <w:spacing w:line="276" w:lineRule="auto"/>
                  <w:jc w:val="center"/>
                  <w:textAlignment w:val="baseline"/>
                  <w:rPr>
                    <w:sz w:val="22"/>
                    <w:szCs w:val="22"/>
                  </w:rPr>
                </w:pPr>
              </w:p>
            </w:tc>
            <w:tc>
              <w:tcPr>
                <w:tcW w:w="301" w:type="pct"/>
                <w:vAlign w:val="center"/>
              </w:tcPr>
              <w:p>
                <w:pPr>
                  <w:overflowPunct w:val="0"/>
                  <w:spacing w:line="276" w:lineRule="auto"/>
                  <w:jc w:val="center"/>
                  <w:textAlignment w:val="baseline"/>
                  <w:rPr>
                    <w:sz w:val="22"/>
                    <w:szCs w:val="22"/>
                  </w:rPr>
                </w:pPr>
              </w:p>
            </w:tc>
            <w:tc>
              <w:tcPr>
                <w:tcW w:w="372" w:type="pct"/>
                <w:vAlign w:val="center"/>
              </w:tcPr>
              <w:p>
                <w:pPr>
                  <w:overflowPunct w:val="0"/>
                  <w:spacing w:line="276" w:lineRule="auto"/>
                  <w:jc w:val="center"/>
                  <w:textAlignment w:val="baseline"/>
                  <w:rPr>
                    <w:sz w:val="22"/>
                    <w:szCs w:val="22"/>
                  </w:rPr>
                </w:pPr>
              </w:p>
            </w:tc>
            <w:tc>
              <w:tcPr>
                <w:tcW w:w="291" w:type="pct"/>
                <w:vAlign w:val="center"/>
              </w:tcPr>
              <w:p>
                <w:pPr>
                  <w:overflowPunct w:val="0"/>
                  <w:spacing w:line="276" w:lineRule="auto"/>
                  <w:jc w:val="center"/>
                  <w:textAlignment w:val="baseline"/>
                  <w:rPr>
                    <w:sz w:val="22"/>
                    <w:szCs w:val="22"/>
                  </w:rPr>
                </w:pPr>
              </w:p>
            </w:tc>
            <w:tc>
              <w:tcPr>
                <w:tcW w:w="431" w:type="pct"/>
                <w:vAlign w:val="center"/>
              </w:tcPr>
              <w:p>
                <w:pPr>
                  <w:overflowPunct w:val="0"/>
                  <w:spacing w:line="276" w:lineRule="auto"/>
                  <w:jc w:val="center"/>
                  <w:textAlignment w:val="baseline"/>
                  <w:rPr>
                    <w:sz w:val="22"/>
                    <w:szCs w:val="22"/>
                  </w:rPr>
                </w:pPr>
              </w:p>
            </w:tc>
            <w:tc>
              <w:tcPr>
                <w:tcW w:w="371" w:type="pct"/>
                <w:vAlign w:val="center"/>
              </w:tcPr>
              <w:p>
                <w:pPr>
                  <w:overflowPunct w:val="0"/>
                  <w:spacing w:line="276" w:lineRule="auto"/>
                  <w:jc w:val="center"/>
                  <w:textAlignment w:val="baseline"/>
                  <w:rPr>
                    <w:sz w:val="22"/>
                    <w:szCs w:val="22"/>
                  </w:rPr>
                </w:pPr>
              </w:p>
            </w:tc>
            <w:tc>
              <w:tcPr>
                <w:tcW w:w="461" w:type="pct"/>
                <w:vAlign w:val="center"/>
              </w:tcPr>
              <w:p>
                <w:pPr>
                  <w:overflowPunct w:val="0"/>
                  <w:spacing w:line="276" w:lineRule="auto"/>
                  <w:jc w:val="center"/>
                  <w:textAlignment w:val="baseline"/>
                  <w:rPr>
                    <w:sz w:val="22"/>
                    <w:szCs w:val="22"/>
                  </w:rPr>
                </w:pPr>
              </w:p>
            </w:tc>
            <w:tc>
              <w:tcPr>
                <w:tcW w:w="371" w:type="pct"/>
                <w:vAlign w:val="center"/>
              </w:tcPr>
              <w:p>
                <w:pPr>
                  <w:overflowPunct w:val="0"/>
                  <w:spacing w:line="276" w:lineRule="auto"/>
                  <w:jc w:val="center"/>
                  <w:textAlignment w:val="baseline"/>
                  <w:rPr>
                    <w:sz w:val="22"/>
                    <w:szCs w:val="22"/>
                  </w:rPr>
                </w:pPr>
              </w:p>
            </w:tc>
          </w:tr>
          <w:tr>
            <w:trPr>
              <w:trHeight w:val="247"/>
            </w:trPr>
            <w:tc>
              <w:tcPr>
                <w:tcW w:w="523" w:type="pct"/>
                <w:vAlign w:val="center"/>
              </w:tcPr>
              <w:p>
                <w:pPr>
                  <w:overflowPunct w:val="0"/>
                  <w:spacing w:line="276" w:lineRule="auto"/>
                  <w:jc w:val="center"/>
                  <w:textAlignment w:val="baseline"/>
                  <w:rPr>
                    <w:sz w:val="22"/>
                    <w:szCs w:val="22"/>
                  </w:rPr>
                </w:pPr>
              </w:p>
            </w:tc>
            <w:tc>
              <w:tcPr>
                <w:tcW w:w="461" w:type="pct"/>
                <w:vAlign w:val="center"/>
              </w:tcPr>
              <w:p>
                <w:pPr>
                  <w:overflowPunct w:val="0"/>
                  <w:spacing w:line="276" w:lineRule="auto"/>
                  <w:jc w:val="center"/>
                  <w:textAlignment w:val="baseline"/>
                  <w:rPr>
                    <w:sz w:val="22"/>
                    <w:szCs w:val="22"/>
                  </w:rPr>
                </w:pPr>
              </w:p>
            </w:tc>
            <w:tc>
              <w:tcPr>
                <w:tcW w:w="323" w:type="pct"/>
                <w:vAlign w:val="center"/>
              </w:tcPr>
              <w:p>
                <w:pPr>
                  <w:overflowPunct w:val="0"/>
                  <w:spacing w:line="276" w:lineRule="auto"/>
                  <w:jc w:val="center"/>
                  <w:textAlignment w:val="baseline"/>
                  <w:rPr>
                    <w:sz w:val="22"/>
                    <w:szCs w:val="22"/>
                  </w:rPr>
                </w:pPr>
              </w:p>
            </w:tc>
            <w:tc>
              <w:tcPr>
                <w:tcW w:w="402" w:type="pct"/>
                <w:vAlign w:val="center"/>
              </w:tcPr>
              <w:p>
                <w:pPr>
                  <w:overflowPunct w:val="0"/>
                  <w:spacing w:line="276" w:lineRule="auto"/>
                  <w:jc w:val="center"/>
                  <w:textAlignment w:val="baseline"/>
                  <w:rPr>
                    <w:sz w:val="22"/>
                    <w:szCs w:val="22"/>
                  </w:rPr>
                </w:pPr>
              </w:p>
            </w:tc>
            <w:tc>
              <w:tcPr>
                <w:tcW w:w="340" w:type="pct"/>
                <w:vAlign w:val="center"/>
              </w:tcPr>
              <w:p>
                <w:pPr>
                  <w:overflowPunct w:val="0"/>
                  <w:spacing w:line="276" w:lineRule="auto"/>
                  <w:jc w:val="center"/>
                  <w:textAlignment w:val="baseline"/>
                  <w:rPr>
                    <w:sz w:val="22"/>
                    <w:szCs w:val="22"/>
                  </w:rPr>
                </w:pPr>
              </w:p>
            </w:tc>
            <w:tc>
              <w:tcPr>
                <w:tcW w:w="353" w:type="pct"/>
                <w:vAlign w:val="center"/>
              </w:tcPr>
              <w:p>
                <w:pPr>
                  <w:overflowPunct w:val="0"/>
                  <w:spacing w:line="276" w:lineRule="auto"/>
                  <w:jc w:val="center"/>
                  <w:textAlignment w:val="baseline"/>
                  <w:rPr>
                    <w:sz w:val="22"/>
                    <w:szCs w:val="22"/>
                  </w:rPr>
                </w:pPr>
              </w:p>
            </w:tc>
            <w:tc>
              <w:tcPr>
                <w:tcW w:w="301" w:type="pct"/>
                <w:vAlign w:val="center"/>
              </w:tcPr>
              <w:p>
                <w:pPr>
                  <w:overflowPunct w:val="0"/>
                  <w:spacing w:line="276" w:lineRule="auto"/>
                  <w:jc w:val="center"/>
                  <w:textAlignment w:val="baseline"/>
                  <w:rPr>
                    <w:sz w:val="22"/>
                    <w:szCs w:val="22"/>
                  </w:rPr>
                </w:pPr>
              </w:p>
            </w:tc>
            <w:tc>
              <w:tcPr>
                <w:tcW w:w="372" w:type="pct"/>
                <w:vAlign w:val="center"/>
              </w:tcPr>
              <w:p>
                <w:pPr>
                  <w:overflowPunct w:val="0"/>
                  <w:spacing w:line="276" w:lineRule="auto"/>
                  <w:jc w:val="center"/>
                  <w:textAlignment w:val="baseline"/>
                  <w:rPr>
                    <w:sz w:val="22"/>
                    <w:szCs w:val="22"/>
                  </w:rPr>
                </w:pPr>
              </w:p>
            </w:tc>
            <w:tc>
              <w:tcPr>
                <w:tcW w:w="291" w:type="pct"/>
                <w:vAlign w:val="center"/>
              </w:tcPr>
              <w:p>
                <w:pPr>
                  <w:overflowPunct w:val="0"/>
                  <w:spacing w:line="276" w:lineRule="auto"/>
                  <w:jc w:val="center"/>
                  <w:textAlignment w:val="baseline"/>
                  <w:rPr>
                    <w:sz w:val="22"/>
                    <w:szCs w:val="22"/>
                  </w:rPr>
                </w:pPr>
              </w:p>
            </w:tc>
            <w:tc>
              <w:tcPr>
                <w:tcW w:w="431" w:type="pct"/>
                <w:vAlign w:val="center"/>
              </w:tcPr>
              <w:p>
                <w:pPr>
                  <w:overflowPunct w:val="0"/>
                  <w:spacing w:line="276" w:lineRule="auto"/>
                  <w:jc w:val="center"/>
                  <w:textAlignment w:val="baseline"/>
                  <w:rPr>
                    <w:sz w:val="22"/>
                    <w:szCs w:val="22"/>
                  </w:rPr>
                </w:pPr>
              </w:p>
            </w:tc>
            <w:tc>
              <w:tcPr>
                <w:tcW w:w="371" w:type="pct"/>
                <w:vAlign w:val="center"/>
              </w:tcPr>
              <w:p>
                <w:pPr>
                  <w:overflowPunct w:val="0"/>
                  <w:spacing w:line="276" w:lineRule="auto"/>
                  <w:jc w:val="center"/>
                  <w:textAlignment w:val="baseline"/>
                  <w:rPr>
                    <w:sz w:val="22"/>
                    <w:szCs w:val="22"/>
                  </w:rPr>
                </w:pPr>
              </w:p>
            </w:tc>
            <w:tc>
              <w:tcPr>
                <w:tcW w:w="461" w:type="pct"/>
                <w:vAlign w:val="center"/>
              </w:tcPr>
              <w:p>
                <w:pPr>
                  <w:overflowPunct w:val="0"/>
                  <w:spacing w:line="276" w:lineRule="auto"/>
                  <w:jc w:val="center"/>
                  <w:textAlignment w:val="baseline"/>
                  <w:rPr>
                    <w:sz w:val="22"/>
                    <w:szCs w:val="22"/>
                  </w:rPr>
                </w:pPr>
              </w:p>
            </w:tc>
            <w:tc>
              <w:tcPr>
                <w:tcW w:w="371" w:type="pct"/>
                <w:vAlign w:val="center"/>
              </w:tcPr>
              <w:p>
                <w:pPr>
                  <w:overflowPunct w:val="0"/>
                  <w:spacing w:line="276" w:lineRule="auto"/>
                  <w:jc w:val="center"/>
                  <w:textAlignment w:val="baseline"/>
                  <w:rPr>
                    <w:sz w:val="22"/>
                    <w:szCs w:val="22"/>
                  </w:rPr>
                </w:pPr>
              </w:p>
            </w:tc>
          </w:tr>
          <w:tr>
            <w:trPr>
              <w:trHeight w:val="247"/>
            </w:trPr>
            <w:tc>
              <w:tcPr>
                <w:tcW w:w="523" w:type="pct"/>
                <w:vAlign w:val="center"/>
              </w:tcPr>
              <w:p>
                <w:pPr>
                  <w:overflowPunct w:val="0"/>
                  <w:spacing w:line="276" w:lineRule="auto"/>
                  <w:jc w:val="center"/>
                  <w:textAlignment w:val="baseline"/>
                  <w:rPr>
                    <w:sz w:val="22"/>
                    <w:szCs w:val="22"/>
                  </w:rPr>
                </w:pPr>
              </w:p>
            </w:tc>
            <w:tc>
              <w:tcPr>
                <w:tcW w:w="461" w:type="pct"/>
                <w:vAlign w:val="center"/>
              </w:tcPr>
              <w:p>
                <w:pPr>
                  <w:overflowPunct w:val="0"/>
                  <w:spacing w:line="276" w:lineRule="auto"/>
                  <w:jc w:val="center"/>
                  <w:textAlignment w:val="baseline"/>
                  <w:rPr>
                    <w:sz w:val="22"/>
                    <w:szCs w:val="22"/>
                  </w:rPr>
                </w:pPr>
                <w:r>
                  <w:rPr>
                    <w:sz w:val="22"/>
                    <w:szCs w:val="22"/>
                  </w:rPr>
                  <w:t>Likutis 12 31</w:t>
                </w:r>
              </w:p>
            </w:tc>
            <w:tc>
              <w:tcPr>
                <w:tcW w:w="323" w:type="pct"/>
                <w:vAlign w:val="center"/>
              </w:tcPr>
              <w:p>
                <w:pPr>
                  <w:overflowPunct w:val="0"/>
                  <w:spacing w:line="276" w:lineRule="auto"/>
                  <w:jc w:val="center"/>
                  <w:textAlignment w:val="baseline"/>
                  <w:rPr>
                    <w:sz w:val="22"/>
                    <w:szCs w:val="22"/>
                  </w:rPr>
                </w:pPr>
              </w:p>
            </w:tc>
            <w:tc>
              <w:tcPr>
                <w:tcW w:w="402" w:type="pct"/>
                <w:vAlign w:val="center"/>
              </w:tcPr>
              <w:p>
                <w:pPr>
                  <w:overflowPunct w:val="0"/>
                  <w:spacing w:line="276" w:lineRule="auto"/>
                  <w:jc w:val="center"/>
                  <w:textAlignment w:val="baseline"/>
                  <w:rPr>
                    <w:sz w:val="22"/>
                    <w:szCs w:val="22"/>
                  </w:rPr>
                </w:pPr>
              </w:p>
            </w:tc>
            <w:tc>
              <w:tcPr>
                <w:tcW w:w="340" w:type="pct"/>
                <w:vAlign w:val="center"/>
              </w:tcPr>
              <w:p>
                <w:pPr>
                  <w:overflowPunct w:val="0"/>
                  <w:spacing w:line="276" w:lineRule="auto"/>
                  <w:jc w:val="center"/>
                  <w:textAlignment w:val="baseline"/>
                  <w:rPr>
                    <w:sz w:val="22"/>
                    <w:szCs w:val="22"/>
                  </w:rPr>
                </w:pPr>
              </w:p>
            </w:tc>
            <w:tc>
              <w:tcPr>
                <w:tcW w:w="353" w:type="pct"/>
                <w:vAlign w:val="center"/>
              </w:tcPr>
              <w:p>
                <w:pPr>
                  <w:overflowPunct w:val="0"/>
                  <w:spacing w:line="276" w:lineRule="auto"/>
                  <w:jc w:val="center"/>
                  <w:textAlignment w:val="baseline"/>
                  <w:rPr>
                    <w:sz w:val="22"/>
                    <w:szCs w:val="22"/>
                  </w:rPr>
                </w:pPr>
              </w:p>
            </w:tc>
            <w:tc>
              <w:tcPr>
                <w:tcW w:w="301" w:type="pct"/>
                <w:vAlign w:val="center"/>
              </w:tcPr>
              <w:p>
                <w:pPr>
                  <w:overflowPunct w:val="0"/>
                  <w:spacing w:line="276" w:lineRule="auto"/>
                  <w:jc w:val="center"/>
                  <w:textAlignment w:val="baseline"/>
                  <w:rPr>
                    <w:sz w:val="22"/>
                    <w:szCs w:val="22"/>
                  </w:rPr>
                </w:pPr>
              </w:p>
            </w:tc>
            <w:tc>
              <w:tcPr>
                <w:tcW w:w="372" w:type="pct"/>
                <w:vAlign w:val="center"/>
              </w:tcPr>
              <w:p>
                <w:pPr>
                  <w:overflowPunct w:val="0"/>
                  <w:spacing w:line="276" w:lineRule="auto"/>
                  <w:jc w:val="center"/>
                  <w:textAlignment w:val="baseline"/>
                  <w:rPr>
                    <w:sz w:val="22"/>
                    <w:szCs w:val="22"/>
                  </w:rPr>
                </w:pPr>
              </w:p>
            </w:tc>
            <w:tc>
              <w:tcPr>
                <w:tcW w:w="291" w:type="pct"/>
                <w:vAlign w:val="center"/>
              </w:tcPr>
              <w:p>
                <w:pPr>
                  <w:overflowPunct w:val="0"/>
                  <w:spacing w:line="276" w:lineRule="auto"/>
                  <w:jc w:val="center"/>
                  <w:textAlignment w:val="baseline"/>
                  <w:rPr>
                    <w:sz w:val="22"/>
                    <w:szCs w:val="22"/>
                  </w:rPr>
                </w:pPr>
              </w:p>
            </w:tc>
            <w:tc>
              <w:tcPr>
                <w:tcW w:w="431" w:type="pct"/>
                <w:vAlign w:val="center"/>
              </w:tcPr>
              <w:p>
                <w:pPr>
                  <w:overflowPunct w:val="0"/>
                  <w:spacing w:line="276" w:lineRule="auto"/>
                  <w:jc w:val="center"/>
                  <w:textAlignment w:val="baseline"/>
                  <w:rPr>
                    <w:sz w:val="22"/>
                    <w:szCs w:val="22"/>
                  </w:rPr>
                </w:pPr>
              </w:p>
            </w:tc>
            <w:tc>
              <w:tcPr>
                <w:tcW w:w="371" w:type="pct"/>
                <w:vAlign w:val="center"/>
              </w:tcPr>
              <w:p>
                <w:pPr>
                  <w:overflowPunct w:val="0"/>
                  <w:spacing w:line="276" w:lineRule="auto"/>
                  <w:jc w:val="center"/>
                  <w:textAlignment w:val="baseline"/>
                  <w:rPr>
                    <w:sz w:val="22"/>
                    <w:szCs w:val="22"/>
                  </w:rPr>
                </w:pPr>
              </w:p>
            </w:tc>
            <w:tc>
              <w:tcPr>
                <w:tcW w:w="461" w:type="pct"/>
                <w:vAlign w:val="center"/>
              </w:tcPr>
              <w:p>
                <w:pPr>
                  <w:overflowPunct w:val="0"/>
                  <w:spacing w:line="276" w:lineRule="auto"/>
                  <w:jc w:val="center"/>
                  <w:textAlignment w:val="baseline"/>
                  <w:rPr>
                    <w:sz w:val="22"/>
                    <w:szCs w:val="22"/>
                  </w:rPr>
                </w:pPr>
              </w:p>
            </w:tc>
            <w:tc>
              <w:tcPr>
                <w:tcW w:w="371" w:type="pct"/>
                <w:vAlign w:val="center"/>
              </w:tcPr>
              <w:p>
                <w:pPr>
                  <w:overflowPunct w:val="0"/>
                  <w:spacing w:line="276" w:lineRule="auto"/>
                  <w:jc w:val="center"/>
                  <w:textAlignment w:val="baseline"/>
                  <w:rPr>
                    <w:sz w:val="22"/>
                    <w:szCs w:val="22"/>
                  </w:rPr>
                </w:pPr>
              </w:p>
            </w:tc>
          </w:tr>
          <w:tr>
            <w:trPr>
              <w:cantSplit/>
              <w:trHeight w:val="247"/>
            </w:trPr>
            <w:tc>
              <w:tcPr>
                <w:tcW w:w="5000" w:type="pct"/>
                <w:gridSpan w:val="13"/>
                <w:vAlign w:val="center"/>
              </w:tcPr>
              <w:p>
                <w:pPr>
                  <w:overflowPunct w:val="0"/>
                  <w:spacing w:line="276" w:lineRule="auto"/>
                  <w:jc w:val="center"/>
                  <w:textAlignment w:val="baseline"/>
                  <w:rPr>
                    <w:sz w:val="22"/>
                    <w:szCs w:val="22"/>
                  </w:rPr>
                </w:pPr>
                <w:r>
                  <w:rPr>
                    <w:sz w:val="22"/>
                    <w:szCs w:val="22"/>
                  </w:rPr>
                  <w:t>Ilgalaikis finansinis turtas</w:t>
                </w:r>
              </w:p>
            </w:tc>
          </w:tr>
          <w:tr>
            <w:trPr>
              <w:trHeight w:val="247"/>
            </w:trPr>
            <w:tc>
              <w:tcPr>
                <w:tcW w:w="523" w:type="pct"/>
                <w:vAlign w:val="center"/>
              </w:tcPr>
              <w:p>
                <w:pPr>
                  <w:overflowPunct w:val="0"/>
                  <w:spacing w:line="276" w:lineRule="auto"/>
                  <w:jc w:val="center"/>
                  <w:textAlignment w:val="baseline"/>
                  <w:rPr>
                    <w:sz w:val="22"/>
                    <w:szCs w:val="22"/>
                  </w:rPr>
                </w:pPr>
              </w:p>
            </w:tc>
            <w:tc>
              <w:tcPr>
                <w:tcW w:w="461" w:type="pct"/>
                <w:vAlign w:val="center"/>
              </w:tcPr>
              <w:p>
                <w:pPr>
                  <w:overflowPunct w:val="0"/>
                  <w:spacing w:line="276" w:lineRule="auto"/>
                  <w:jc w:val="center"/>
                  <w:textAlignment w:val="baseline"/>
                  <w:rPr>
                    <w:sz w:val="22"/>
                    <w:szCs w:val="22"/>
                  </w:rPr>
                </w:pPr>
              </w:p>
            </w:tc>
            <w:tc>
              <w:tcPr>
                <w:tcW w:w="323" w:type="pct"/>
                <w:vAlign w:val="center"/>
              </w:tcPr>
              <w:p>
                <w:pPr>
                  <w:overflowPunct w:val="0"/>
                  <w:spacing w:line="276" w:lineRule="auto"/>
                  <w:jc w:val="center"/>
                  <w:textAlignment w:val="baseline"/>
                  <w:rPr>
                    <w:sz w:val="22"/>
                    <w:szCs w:val="22"/>
                  </w:rPr>
                </w:pPr>
              </w:p>
            </w:tc>
            <w:tc>
              <w:tcPr>
                <w:tcW w:w="402" w:type="pct"/>
                <w:vAlign w:val="center"/>
              </w:tcPr>
              <w:p>
                <w:pPr>
                  <w:overflowPunct w:val="0"/>
                  <w:spacing w:line="276" w:lineRule="auto"/>
                  <w:jc w:val="center"/>
                  <w:textAlignment w:val="baseline"/>
                  <w:rPr>
                    <w:sz w:val="22"/>
                    <w:szCs w:val="22"/>
                  </w:rPr>
                </w:pPr>
              </w:p>
            </w:tc>
            <w:tc>
              <w:tcPr>
                <w:tcW w:w="340" w:type="pct"/>
                <w:vAlign w:val="center"/>
              </w:tcPr>
              <w:p>
                <w:pPr>
                  <w:overflowPunct w:val="0"/>
                  <w:spacing w:line="276" w:lineRule="auto"/>
                  <w:jc w:val="center"/>
                  <w:textAlignment w:val="baseline"/>
                  <w:rPr>
                    <w:sz w:val="22"/>
                    <w:szCs w:val="22"/>
                  </w:rPr>
                </w:pPr>
              </w:p>
            </w:tc>
            <w:tc>
              <w:tcPr>
                <w:tcW w:w="353" w:type="pct"/>
                <w:vAlign w:val="center"/>
              </w:tcPr>
              <w:p>
                <w:pPr>
                  <w:overflowPunct w:val="0"/>
                  <w:spacing w:line="276" w:lineRule="auto"/>
                  <w:jc w:val="center"/>
                  <w:textAlignment w:val="baseline"/>
                  <w:rPr>
                    <w:sz w:val="22"/>
                    <w:szCs w:val="22"/>
                  </w:rPr>
                </w:pPr>
              </w:p>
            </w:tc>
            <w:tc>
              <w:tcPr>
                <w:tcW w:w="301" w:type="pct"/>
                <w:vAlign w:val="center"/>
              </w:tcPr>
              <w:p>
                <w:pPr>
                  <w:overflowPunct w:val="0"/>
                  <w:spacing w:line="276" w:lineRule="auto"/>
                  <w:jc w:val="center"/>
                  <w:textAlignment w:val="baseline"/>
                  <w:rPr>
                    <w:sz w:val="22"/>
                    <w:szCs w:val="22"/>
                  </w:rPr>
                </w:pPr>
              </w:p>
            </w:tc>
            <w:tc>
              <w:tcPr>
                <w:tcW w:w="372" w:type="pct"/>
                <w:vAlign w:val="center"/>
              </w:tcPr>
              <w:p>
                <w:pPr>
                  <w:overflowPunct w:val="0"/>
                  <w:spacing w:line="276" w:lineRule="auto"/>
                  <w:jc w:val="center"/>
                  <w:textAlignment w:val="baseline"/>
                  <w:rPr>
                    <w:sz w:val="22"/>
                    <w:szCs w:val="22"/>
                  </w:rPr>
                </w:pPr>
              </w:p>
            </w:tc>
            <w:tc>
              <w:tcPr>
                <w:tcW w:w="291" w:type="pct"/>
                <w:vAlign w:val="center"/>
              </w:tcPr>
              <w:p>
                <w:pPr>
                  <w:overflowPunct w:val="0"/>
                  <w:spacing w:line="276" w:lineRule="auto"/>
                  <w:jc w:val="center"/>
                  <w:textAlignment w:val="baseline"/>
                  <w:rPr>
                    <w:sz w:val="22"/>
                    <w:szCs w:val="22"/>
                  </w:rPr>
                </w:pPr>
              </w:p>
            </w:tc>
            <w:tc>
              <w:tcPr>
                <w:tcW w:w="431" w:type="pct"/>
                <w:vAlign w:val="center"/>
              </w:tcPr>
              <w:p>
                <w:pPr>
                  <w:overflowPunct w:val="0"/>
                  <w:spacing w:line="276" w:lineRule="auto"/>
                  <w:jc w:val="center"/>
                  <w:textAlignment w:val="baseline"/>
                  <w:rPr>
                    <w:sz w:val="22"/>
                    <w:szCs w:val="22"/>
                  </w:rPr>
                </w:pPr>
              </w:p>
            </w:tc>
            <w:tc>
              <w:tcPr>
                <w:tcW w:w="371" w:type="pct"/>
                <w:vAlign w:val="center"/>
              </w:tcPr>
              <w:p>
                <w:pPr>
                  <w:overflowPunct w:val="0"/>
                  <w:spacing w:line="276" w:lineRule="auto"/>
                  <w:jc w:val="center"/>
                  <w:textAlignment w:val="baseline"/>
                  <w:rPr>
                    <w:sz w:val="22"/>
                    <w:szCs w:val="22"/>
                  </w:rPr>
                </w:pPr>
              </w:p>
            </w:tc>
            <w:tc>
              <w:tcPr>
                <w:tcW w:w="461" w:type="pct"/>
                <w:vAlign w:val="center"/>
              </w:tcPr>
              <w:p>
                <w:pPr>
                  <w:overflowPunct w:val="0"/>
                  <w:spacing w:line="276" w:lineRule="auto"/>
                  <w:jc w:val="center"/>
                  <w:textAlignment w:val="baseline"/>
                  <w:rPr>
                    <w:sz w:val="22"/>
                    <w:szCs w:val="22"/>
                  </w:rPr>
                </w:pPr>
              </w:p>
            </w:tc>
            <w:tc>
              <w:tcPr>
                <w:tcW w:w="371" w:type="pct"/>
                <w:vAlign w:val="center"/>
              </w:tcPr>
              <w:p>
                <w:pPr>
                  <w:overflowPunct w:val="0"/>
                  <w:spacing w:line="276" w:lineRule="auto"/>
                  <w:jc w:val="center"/>
                  <w:textAlignment w:val="baseline"/>
                  <w:rPr>
                    <w:sz w:val="22"/>
                    <w:szCs w:val="22"/>
                  </w:rPr>
                </w:pPr>
              </w:p>
            </w:tc>
          </w:tr>
          <w:tr>
            <w:trPr>
              <w:trHeight w:val="247"/>
            </w:trPr>
            <w:tc>
              <w:tcPr>
                <w:tcW w:w="523" w:type="pct"/>
                <w:vAlign w:val="center"/>
              </w:tcPr>
              <w:p>
                <w:pPr>
                  <w:overflowPunct w:val="0"/>
                  <w:spacing w:line="276" w:lineRule="auto"/>
                  <w:jc w:val="center"/>
                  <w:textAlignment w:val="baseline"/>
                  <w:rPr>
                    <w:sz w:val="22"/>
                    <w:szCs w:val="22"/>
                  </w:rPr>
                </w:pPr>
              </w:p>
            </w:tc>
            <w:tc>
              <w:tcPr>
                <w:tcW w:w="461" w:type="pct"/>
                <w:vAlign w:val="center"/>
              </w:tcPr>
              <w:p>
                <w:pPr>
                  <w:overflowPunct w:val="0"/>
                  <w:spacing w:line="276" w:lineRule="auto"/>
                  <w:jc w:val="center"/>
                  <w:textAlignment w:val="baseline"/>
                  <w:rPr>
                    <w:sz w:val="22"/>
                    <w:szCs w:val="22"/>
                  </w:rPr>
                </w:pPr>
              </w:p>
            </w:tc>
            <w:tc>
              <w:tcPr>
                <w:tcW w:w="323" w:type="pct"/>
                <w:vAlign w:val="center"/>
              </w:tcPr>
              <w:p>
                <w:pPr>
                  <w:overflowPunct w:val="0"/>
                  <w:spacing w:line="276" w:lineRule="auto"/>
                  <w:jc w:val="center"/>
                  <w:textAlignment w:val="baseline"/>
                  <w:rPr>
                    <w:sz w:val="22"/>
                    <w:szCs w:val="22"/>
                  </w:rPr>
                </w:pPr>
              </w:p>
            </w:tc>
            <w:tc>
              <w:tcPr>
                <w:tcW w:w="402" w:type="pct"/>
                <w:vAlign w:val="center"/>
              </w:tcPr>
              <w:p>
                <w:pPr>
                  <w:overflowPunct w:val="0"/>
                  <w:spacing w:line="276" w:lineRule="auto"/>
                  <w:jc w:val="center"/>
                  <w:textAlignment w:val="baseline"/>
                  <w:rPr>
                    <w:sz w:val="22"/>
                    <w:szCs w:val="22"/>
                  </w:rPr>
                </w:pPr>
              </w:p>
            </w:tc>
            <w:tc>
              <w:tcPr>
                <w:tcW w:w="340" w:type="pct"/>
                <w:vAlign w:val="center"/>
              </w:tcPr>
              <w:p>
                <w:pPr>
                  <w:overflowPunct w:val="0"/>
                  <w:spacing w:line="276" w:lineRule="auto"/>
                  <w:jc w:val="center"/>
                  <w:textAlignment w:val="baseline"/>
                  <w:rPr>
                    <w:sz w:val="22"/>
                    <w:szCs w:val="22"/>
                  </w:rPr>
                </w:pPr>
              </w:p>
            </w:tc>
            <w:tc>
              <w:tcPr>
                <w:tcW w:w="353" w:type="pct"/>
                <w:vAlign w:val="center"/>
              </w:tcPr>
              <w:p>
                <w:pPr>
                  <w:overflowPunct w:val="0"/>
                  <w:spacing w:line="276" w:lineRule="auto"/>
                  <w:jc w:val="center"/>
                  <w:textAlignment w:val="baseline"/>
                  <w:rPr>
                    <w:sz w:val="22"/>
                    <w:szCs w:val="22"/>
                  </w:rPr>
                </w:pPr>
              </w:p>
            </w:tc>
            <w:tc>
              <w:tcPr>
                <w:tcW w:w="301" w:type="pct"/>
                <w:vAlign w:val="center"/>
              </w:tcPr>
              <w:p>
                <w:pPr>
                  <w:overflowPunct w:val="0"/>
                  <w:spacing w:line="276" w:lineRule="auto"/>
                  <w:jc w:val="center"/>
                  <w:textAlignment w:val="baseline"/>
                  <w:rPr>
                    <w:sz w:val="22"/>
                    <w:szCs w:val="22"/>
                  </w:rPr>
                </w:pPr>
              </w:p>
            </w:tc>
            <w:tc>
              <w:tcPr>
                <w:tcW w:w="372" w:type="pct"/>
                <w:vAlign w:val="center"/>
              </w:tcPr>
              <w:p>
                <w:pPr>
                  <w:overflowPunct w:val="0"/>
                  <w:spacing w:line="276" w:lineRule="auto"/>
                  <w:jc w:val="center"/>
                  <w:textAlignment w:val="baseline"/>
                  <w:rPr>
                    <w:sz w:val="22"/>
                    <w:szCs w:val="22"/>
                  </w:rPr>
                </w:pPr>
              </w:p>
            </w:tc>
            <w:tc>
              <w:tcPr>
                <w:tcW w:w="291" w:type="pct"/>
                <w:vAlign w:val="center"/>
              </w:tcPr>
              <w:p>
                <w:pPr>
                  <w:overflowPunct w:val="0"/>
                  <w:spacing w:line="276" w:lineRule="auto"/>
                  <w:jc w:val="center"/>
                  <w:textAlignment w:val="baseline"/>
                  <w:rPr>
                    <w:sz w:val="22"/>
                    <w:szCs w:val="22"/>
                  </w:rPr>
                </w:pPr>
              </w:p>
            </w:tc>
            <w:tc>
              <w:tcPr>
                <w:tcW w:w="431" w:type="pct"/>
                <w:vAlign w:val="center"/>
              </w:tcPr>
              <w:p>
                <w:pPr>
                  <w:overflowPunct w:val="0"/>
                  <w:spacing w:line="276" w:lineRule="auto"/>
                  <w:jc w:val="center"/>
                  <w:textAlignment w:val="baseline"/>
                  <w:rPr>
                    <w:sz w:val="22"/>
                    <w:szCs w:val="22"/>
                  </w:rPr>
                </w:pPr>
              </w:p>
            </w:tc>
            <w:tc>
              <w:tcPr>
                <w:tcW w:w="371" w:type="pct"/>
                <w:vAlign w:val="center"/>
              </w:tcPr>
              <w:p>
                <w:pPr>
                  <w:overflowPunct w:val="0"/>
                  <w:spacing w:line="276" w:lineRule="auto"/>
                  <w:jc w:val="center"/>
                  <w:textAlignment w:val="baseline"/>
                  <w:rPr>
                    <w:sz w:val="22"/>
                    <w:szCs w:val="22"/>
                  </w:rPr>
                </w:pPr>
              </w:p>
            </w:tc>
            <w:tc>
              <w:tcPr>
                <w:tcW w:w="461" w:type="pct"/>
                <w:vAlign w:val="center"/>
              </w:tcPr>
              <w:p>
                <w:pPr>
                  <w:overflowPunct w:val="0"/>
                  <w:spacing w:line="276" w:lineRule="auto"/>
                  <w:jc w:val="center"/>
                  <w:textAlignment w:val="baseline"/>
                  <w:rPr>
                    <w:sz w:val="22"/>
                    <w:szCs w:val="22"/>
                  </w:rPr>
                </w:pPr>
              </w:p>
            </w:tc>
            <w:tc>
              <w:tcPr>
                <w:tcW w:w="371" w:type="pct"/>
                <w:vAlign w:val="center"/>
              </w:tcPr>
              <w:p>
                <w:pPr>
                  <w:overflowPunct w:val="0"/>
                  <w:spacing w:line="276" w:lineRule="auto"/>
                  <w:jc w:val="center"/>
                  <w:textAlignment w:val="baseline"/>
                  <w:rPr>
                    <w:sz w:val="22"/>
                    <w:szCs w:val="22"/>
                  </w:rPr>
                </w:pPr>
              </w:p>
            </w:tc>
          </w:tr>
          <w:tr>
            <w:trPr>
              <w:trHeight w:val="247"/>
            </w:trPr>
            <w:tc>
              <w:tcPr>
                <w:tcW w:w="523" w:type="pct"/>
                <w:vAlign w:val="center"/>
              </w:tcPr>
              <w:p>
                <w:pPr>
                  <w:overflowPunct w:val="0"/>
                  <w:spacing w:line="276" w:lineRule="auto"/>
                  <w:jc w:val="center"/>
                  <w:textAlignment w:val="baseline"/>
                  <w:rPr>
                    <w:sz w:val="22"/>
                    <w:szCs w:val="22"/>
                  </w:rPr>
                </w:pPr>
              </w:p>
            </w:tc>
            <w:tc>
              <w:tcPr>
                <w:tcW w:w="461" w:type="pct"/>
                <w:vAlign w:val="center"/>
              </w:tcPr>
              <w:p>
                <w:pPr>
                  <w:overflowPunct w:val="0"/>
                  <w:spacing w:line="276" w:lineRule="auto"/>
                  <w:jc w:val="center"/>
                  <w:textAlignment w:val="baseline"/>
                  <w:rPr>
                    <w:sz w:val="22"/>
                    <w:szCs w:val="22"/>
                  </w:rPr>
                </w:pPr>
              </w:p>
            </w:tc>
            <w:tc>
              <w:tcPr>
                <w:tcW w:w="323" w:type="pct"/>
                <w:vAlign w:val="center"/>
              </w:tcPr>
              <w:p>
                <w:pPr>
                  <w:overflowPunct w:val="0"/>
                  <w:spacing w:line="276" w:lineRule="auto"/>
                  <w:jc w:val="center"/>
                  <w:textAlignment w:val="baseline"/>
                  <w:rPr>
                    <w:sz w:val="22"/>
                    <w:szCs w:val="22"/>
                  </w:rPr>
                </w:pPr>
              </w:p>
            </w:tc>
            <w:tc>
              <w:tcPr>
                <w:tcW w:w="402" w:type="pct"/>
                <w:vAlign w:val="center"/>
              </w:tcPr>
              <w:p>
                <w:pPr>
                  <w:overflowPunct w:val="0"/>
                  <w:spacing w:line="276" w:lineRule="auto"/>
                  <w:jc w:val="center"/>
                  <w:textAlignment w:val="baseline"/>
                  <w:rPr>
                    <w:sz w:val="22"/>
                    <w:szCs w:val="22"/>
                  </w:rPr>
                </w:pPr>
              </w:p>
            </w:tc>
            <w:tc>
              <w:tcPr>
                <w:tcW w:w="340" w:type="pct"/>
                <w:vAlign w:val="center"/>
              </w:tcPr>
              <w:p>
                <w:pPr>
                  <w:overflowPunct w:val="0"/>
                  <w:spacing w:line="276" w:lineRule="auto"/>
                  <w:jc w:val="center"/>
                  <w:textAlignment w:val="baseline"/>
                  <w:rPr>
                    <w:sz w:val="22"/>
                    <w:szCs w:val="22"/>
                  </w:rPr>
                </w:pPr>
              </w:p>
            </w:tc>
            <w:tc>
              <w:tcPr>
                <w:tcW w:w="353" w:type="pct"/>
                <w:vAlign w:val="center"/>
              </w:tcPr>
              <w:p>
                <w:pPr>
                  <w:overflowPunct w:val="0"/>
                  <w:spacing w:line="276" w:lineRule="auto"/>
                  <w:jc w:val="center"/>
                  <w:textAlignment w:val="baseline"/>
                  <w:rPr>
                    <w:sz w:val="22"/>
                    <w:szCs w:val="22"/>
                  </w:rPr>
                </w:pPr>
              </w:p>
            </w:tc>
            <w:tc>
              <w:tcPr>
                <w:tcW w:w="301" w:type="pct"/>
                <w:vAlign w:val="center"/>
              </w:tcPr>
              <w:p>
                <w:pPr>
                  <w:overflowPunct w:val="0"/>
                  <w:spacing w:line="276" w:lineRule="auto"/>
                  <w:jc w:val="center"/>
                  <w:textAlignment w:val="baseline"/>
                  <w:rPr>
                    <w:sz w:val="22"/>
                    <w:szCs w:val="22"/>
                  </w:rPr>
                </w:pPr>
              </w:p>
            </w:tc>
            <w:tc>
              <w:tcPr>
                <w:tcW w:w="372" w:type="pct"/>
                <w:vAlign w:val="center"/>
              </w:tcPr>
              <w:p>
                <w:pPr>
                  <w:overflowPunct w:val="0"/>
                  <w:spacing w:line="276" w:lineRule="auto"/>
                  <w:jc w:val="center"/>
                  <w:textAlignment w:val="baseline"/>
                  <w:rPr>
                    <w:sz w:val="22"/>
                    <w:szCs w:val="22"/>
                  </w:rPr>
                </w:pPr>
              </w:p>
            </w:tc>
            <w:tc>
              <w:tcPr>
                <w:tcW w:w="291" w:type="pct"/>
                <w:vAlign w:val="center"/>
              </w:tcPr>
              <w:p>
                <w:pPr>
                  <w:overflowPunct w:val="0"/>
                  <w:spacing w:line="276" w:lineRule="auto"/>
                  <w:jc w:val="center"/>
                  <w:textAlignment w:val="baseline"/>
                  <w:rPr>
                    <w:sz w:val="22"/>
                    <w:szCs w:val="22"/>
                  </w:rPr>
                </w:pPr>
              </w:p>
            </w:tc>
            <w:tc>
              <w:tcPr>
                <w:tcW w:w="431" w:type="pct"/>
                <w:vAlign w:val="center"/>
              </w:tcPr>
              <w:p>
                <w:pPr>
                  <w:overflowPunct w:val="0"/>
                  <w:spacing w:line="276" w:lineRule="auto"/>
                  <w:jc w:val="center"/>
                  <w:textAlignment w:val="baseline"/>
                  <w:rPr>
                    <w:sz w:val="22"/>
                    <w:szCs w:val="22"/>
                  </w:rPr>
                </w:pPr>
              </w:p>
            </w:tc>
            <w:tc>
              <w:tcPr>
                <w:tcW w:w="371" w:type="pct"/>
                <w:vAlign w:val="center"/>
              </w:tcPr>
              <w:p>
                <w:pPr>
                  <w:overflowPunct w:val="0"/>
                  <w:spacing w:line="276" w:lineRule="auto"/>
                  <w:jc w:val="center"/>
                  <w:textAlignment w:val="baseline"/>
                  <w:rPr>
                    <w:sz w:val="22"/>
                    <w:szCs w:val="22"/>
                  </w:rPr>
                </w:pPr>
              </w:p>
            </w:tc>
            <w:tc>
              <w:tcPr>
                <w:tcW w:w="461" w:type="pct"/>
                <w:vAlign w:val="center"/>
              </w:tcPr>
              <w:p>
                <w:pPr>
                  <w:overflowPunct w:val="0"/>
                  <w:spacing w:line="276" w:lineRule="auto"/>
                  <w:jc w:val="center"/>
                  <w:textAlignment w:val="baseline"/>
                  <w:rPr>
                    <w:sz w:val="22"/>
                    <w:szCs w:val="22"/>
                  </w:rPr>
                </w:pPr>
              </w:p>
            </w:tc>
            <w:tc>
              <w:tcPr>
                <w:tcW w:w="371" w:type="pct"/>
                <w:vAlign w:val="center"/>
              </w:tcPr>
              <w:p>
                <w:pPr>
                  <w:overflowPunct w:val="0"/>
                  <w:spacing w:line="276" w:lineRule="auto"/>
                  <w:jc w:val="center"/>
                  <w:textAlignment w:val="baseline"/>
                  <w:rPr>
                    <w:sz w:val="22"/>
                    <w:szCs w:val="22"/>
                  </w:rPr>
                </w:pPr>
              </w:p>
            </w:tc>
          </w:tr>
          <w:tr>
            <w:trPr>
              <w:trHeight w:val="247"/>
            </w:trPr>
            <w:tc>
              <w:tcPr>
                <w:tcW w:w="523" w:type="pct"/>
                <w:vAlign w:val="center"/>
              </w:tcPr>
              <w:p>
                <w:pPr>
                  <w:overflowPunct w:val="0"/>
                  <w:spacing w:line="276" w:lineRule="auto"/>
                  <w:jc w:val="center"/>
                  <w:textAlignment w:val="baseline"/>
                  <w:rPr>
                    <w:sz w:val="22"/>
                    <w:szCs w:val="22"/>
                  </w:rPr>
                </w:pPr>
              </w:p>
            </w:tc>
            <w:tc>
              <w:tcPr>
                <w:tcW w:w="461" w:type="pct"/>
                <w:vAlign w:val="center"/>
              </w:tcPr>
              <w:p>
                <w:pPr>
                  <w:overflowPunct w:val="0"/>
                  <w:spacing w:line="276" w:lineRule="auto"/>
                  <w:jc w:val="center"/>
                  <w:textAlignment w:val="baseline"/>
                  <w:rPr>
                    <w:sz w:val="22"/>
                    <w:szCs w:val="22"/>
                  </w:rPr>
                </w:pPr>
                <w:r>
                  <w:rPr>
                    <w:sz w:val="22"/>
                    <w:szCs w:val="22"/>
                  </w:rPr>
                  <w:t>Likutis 12 31</w:t>
                </w:r>
              </w:p>
            </w:tc>
            <w:tc>
              <w:tcPr>
                <w:tcW w:w="323" w:type="pct"/>
                <w:vAlign w:val="center"/>
              </w:tcPr>
              <w:p>
                <w:pPr>
                  <w:overflowPunct w:val="0"/>
                  <w:spacing w:line="276" w:lineRule="auto"/>
                  <w:jc w:val="center"/>
                  <w:textAlignment w:val="baseline"/>
                  <w:rPr>
                    <w:sz w:val="22"/>
                    <w:szCs w:val="22"/>
                  </w:rPr>
                </w:pPr>
              </w:p>
            </w:tc>
            <w:tc>
              <w:tcPr>
                <w:tcW w:w="402" w:type="pct"/>
                <w:vAlign w:val="center"/>
              </w:tcPr>
              <w:p>
                <w:pPr>
                  <w:overflowPunct w:val="0"/>
                  <w:spacing w:line="276" w:lineRule="auto"/>
                  <w:jc w:val="center"/>
                  <w:textAlignment w:val="baseline"/>
                  <w:rPr>
                    <w:sz w:val="22"/>
                    <w:szCs w:val="22"/>
                  </w:rPr>
                </w:pPr>
              </w:p>
            </w:tc>
            <w:tc>
              <w:tcPr>
                <w:tcW w:w="340" w:type="pct"/>
                <w:vAlign w:val="center"/>
              </w:tcPr>
              <w:p>
                <w:pPr>
                  <w:overflowPunct w:val="0"/>
                  <w:spacing w:line="276" w:lineRule="auto"/>
                  <w:jc w:val="center"/>
                  <w:textAlignment w:val="baseline"/>
                  <w:rPr>
                    <w:sz w:val="22"/>
                    <w:szCs w:val="22"/>
                  </w:rPr>
                </w:pPr>
              </w:p>
            </w:tc>
            <w:tc>
              <w:tcPr>
                <w:tcW w:w="353" w:type="pct"/>
                <w:vAlign w:val="center"/>
              </w:tcPr>
              <w:p>
                <w:pPr>
                  <w:overflowPunct w:val="0"/>
                  <w:spacing w:line="276" w:lineRule="auto"/>
                  <w:jc w:val="center"/>
                  <w:textAlignment w:val="baseline"/>
                  <w:rPr>
                    <w:sz w:val="22"/>
                    <w:szCs w:val="22"/>
                  </w:rPr>
                </w:pPr>
              </w:p>
            </w:tc>
            <w:tc>
              <w:tcPr>
                <w:tcW w:w="301" w:type="pct"/>
                <w:vAlign w:val="center"/>
              </w:tcPr>
              <w:p>
                <w:pPr>
                  <w:overflowPunct w:val="0"/>
                  <w:spacing w:line="276" w:lineRule="auto"/>
                  <w:jc w:val="center"/>
                  <w:textAlignment w:val="baseline"/>
                  <w:rPr>
                    <w:sz w:val="22"/>
                    <w:szCs w:val="22"/>
                  </w:rPr>
                </w:pPr>
              </w:p>
            </w:tc>
            <w:tc>
              <w:tcPr>
                <w:tcW w:w="372" w:type="pct"/>
                <w:vAlign w:val="center"/>
              </w:tcPr>
              <w:p>
                <w:pPr>
                  <w:overflowPunct w:val="0"/>
                  <w:spacing w:line="276" w:lineRule="auto"/>
                  <w:jc w:val="center"/>
                  <w:textAlignment w:val="baseline"/>
                  <w:rPr>
                    <w:sz w:val="22"/>
                    <w:szCs w:val="22"/>
                  </w:rPr>
                </w:pPr>
              </w:p>
            </w:tc>
            <w:tc>
              <w:tcPr>
                <w:tcW w:w="291" w:type="pct"/>
                <w:vAlign w:val="center"/>
              </w:tcPr>
              <w:p>
                <w:pPr>
                  <w:overflowPunct w:val="0"/>
                  <w:spacing w:line="276" w:lineRule="auto"/>
                  <w:jc w:val="center"/>
                  <w:textAlignment w:val="baseline"/>
                  <w:rPr>
                    <w:sz w:val="22"/>
                    <w:szCs w:val="22"/>
                  </w:rPr>
                </w:pPr>
              </w:p>
            </w:tc>
            <w:tc>
              <w:tcPr>
                <w:tcW w:w="431" w:type="pct"/>
                <w:vAlign w:val="center"/>
              </w:tcPr>
              <w:p>
                <w:pPr>
                  <w:overflowPunct w:val="0"/>
                  <w:spacing w:line="276" w:lineRule="auto"/>
                  <w:jc w:val="center"/>
                  <w:textAlignment w:val="baseline"/>
                  <w:rPr>
                    <w:sz w:val="22"/>
                    <w:szCs w:val="22"/>
                  </w:rPr>
                </w:pPr>
              </w:p>
            </w:tc>
            <w:tc>
              <w:tcPr>
                <w:tcW w:w="371" w:type="pct"/>
                <w:vAlign w:val="center"/>
              </w:tcPr>
              <w:p>
                <w:pPr>
                  <w:overflowPunct w:val="0"/>
                  <w:spacing w:line="276" w:lineRule="auto"/>
                  <w:jc w:val="center"/>
                  <w:textAlignment w:val="baseline"/>
                  <w:rPr>
                    <w:sz w:val="22"/>
                    <w:szCs w:val="22"/>
                  </w:rPr>
                </w:pPr>
              </w:p>
            </w:tc>
            <w:tc>
              <w:tcPr>
                <w:tcW w:w="461" w:type="pct"/>
                <w:vAlign w:val="center"/>
              </w:tcPr>
              <w:p>
                <w:pPr>
                  <w:overflowPunct w:val="0"/>
                  <w:spacing w:line="276" w:lineRule="auto"/>
                  <w:jc w:val="center"/>
                  <w:textAlignment w:val="baseline"/>
                  <w:rPr>
                    <w:sz w:val="22"/>
                    <w:szCs w:val="22"/>
                  </w:rPr>
                </w:pPr>
              </w:p>
            </w:tc>
            <w:tc>
              <w:tcPr>
                <w:tcW w:w="371" w:type="pct"/>
                <w:vAlign w:val="center"/>
              </w:tcPr>
              <w:p>
                <w:pPr>
                  <w:overflowPunct w:val="0"/>
                  <w:spacing w:line="276" w:lineRule="auto"/>
                  <w:jc w:val="center"/>
                  <w:textAlignment w:val="baseline"/>
                  <w:rPr>
                    <w:sz w:val="22"/>
                    <w:szCs w:val="22"/>
                  </w:rPr>
                </w:pPr>
              </w:p>
            </w:tc>
          </w:tr>
          <w:tr>
            <w:trPr>
              <w:trHeight w:val="262"/>
            </w:trPr>
            <w:tc>
              <w:tcPr>
                <w:tcW w:w="523" w:type="pct"/>
                <w:vAlign w:val="center"/>
              </w:tcPr>
              <w:p>
                <w:pPr>
                  <w:overflowPunct w:val="0"/>
                  <w:spacing w:line="276" w:lineRule="auto"/>
                  <w:jc w:val="center"/>
                  <w:textAlignment w:val="baseline"/>
                  <w:rPr>
                    <w:sz w:val="22"/>
                    <w:szCs w:val="22"/>
                  </w:rPr>
                </w:pPr>
                <w:r>
                  <w:rPr>
                    <w:sz w:val="22"/>
                    <w:szCs w:val="22"/>
                  </w:rPr>
                  <w:t xml:space="preserve">Iš viso </w:t>
                </w:r>
              </w:p>
            </w:tc>
            <w:tc>
              <w:tcPr>
                <w:tcW w:w="461" w:type="pct"/>
                <w:vAlign w:val="center"/>
              </w:tcPr>
              <w:p>
                <w:pPr>
                  <w:overflowPunct w:val="0"/>
                  <w:spacing w:line="276" w:lineRule="auto"/>
                  <w:jc w:val="center"/>
                  <w:textAlignment w:val="baseline"/>
                  <w:rPr>
                    <w:sz w:val="22"/>
                    <w:szCs w:val="22"/>
                  </w:rPr>
                </w:pPr>
                <w:r>
                  <w:rPr>
                    <w:sz w:val="22"/>
                    <w:szCs w:val="22"/>
                  </w:rPr>
                  <w:t>Likutis 12 31</w:t>
                </w:r>
              </w:p>
            </w:tc>
            <w:tc>
              <w:tcPr>
                <w:tcW w:w="323" w:type="pct"/>
                <w:vAlign w:val="center"/>
              </w:tcPr>
              <w:p>
                <w:pPr>
                  <w:overflowPunct w:val="0"/>
                  <w:spacing w:line="276" w:lineRule="auto"/>
                  <w:jc w:val="center"/>
                  <w:textAlignment w:val="baseline"/>
                  <w:rPr>
                    <w:sz w:val="22"/>
                    <w:szCs w:val="22"/>
                  </w:rPr>
                </w:pPr>
              </w:p>
            </w:tc>
            <w:tc>
              <w:tcPr>
                <w:tcW w:w="402" w:type="pct"/>
                <w:vAlign w:val="center"/>
              </w:tcPr>
              <w:p>
                <w:pPr>
                  <w:overflowPunct w:val="0"/>
                  <w:spacing w:line="276" w:lineRule="auto"/>
                  <w:jc w:val="center"/>
                  <w:textAlignment w:val="baseline"/>
                  <w:rPr>
                    <w:sz w:val="22"/>
                    <w:szCs w:val="22"/>
                  </w:rPr>
                </w:pPr>
              </w:p>
            </w:tc>
            <w:tc>
              <w:tcPr>
                <w:tcW w:w="340" w:type="pct"/>
                <w:vAlign w:val="center"/>
              </w:tcPr>
              <w:p>
                <w:pPr>
                  <w:overflowPunct w:val="0"/>
                  <w:spacing w:line="276" w:lineRule="auto"/>
                  <w:jc w:val="center"/>
                  <w:textAlignment w:val="baseline"/>
                  <w:rPr>
                    <w:sz w:val="22"/>
                    <w:szCs w:val="22"/>
                  </w:rPr>
                </w:pPr>
              </w:p>
            </w:tc>
            <w:tc>
              <w:tcPr>
                <w:tcW w:w="353" w:type="pct"/>
                <w:vAlign w:val="center"/>
              </w:tcPr>
              <w:p>
                <w:pPr>
                  <w:overflowPunct w:val="0"/>
                  <w:spacing w:line="276" w:lineRule="auto"/>
                  <w:jc w:val="center"/>
                  <w:textAlignment w:val="baseline"/>
                  <w:rPr>
                    <w:sz w:val="22"/>
                    <w:szCs w:val="22"/>
                  </w:rPr>
                </w:pPr>
              </w:p>
            </w:tc>
            <w:tc>
              <w:tcPr>
                <w:tcW w:w="301" w:type="pct"/>
                <w:vAlign w:val="center"/>
              </w:tcPr>
              <w:p>
                <w:pPr>
                  <w:overflowPunct w:val="0"/>
                  <w:spacing w:line="276" w:lineRule="auto"/>
                  <w:jc w:val="center"/>
                  <w:textAlignment w:val="baseline"/>
                  <w:rPr>
                    <w:sz w:val="22"/>
                    <w:szCs w:val="22"/>
                  </w:rPr>
                </w:pPr>
              </w:p>
            </w:tc>
            <w:tc>
              <w:tcPr>
                <w:tcW w:w="372" w:type="pct"/>
                <w:vAlign w:val="center"/>
              </w:tcPr>
              <w:p>
                <w:pPr>
                  <w:overflowPunct w:val="0"/>
                  <w:spacing w:line="276" w:lineRule="auto"/>
                  <w:jc w:val="center"/>
                  <w:textAlignment w:val="baseline"/>
                  <w:rPr>
                    <w:sz w:val="22"/>
                    <w:szCs w:val="22"/>
                  </w:rPr>
                </w:pPr>
              </w:p>
            </w:tc>
            <w:tc>
              <w:tcPr>
                <w:tcW w:w="291" w:type="pct"/>
                <w:vAlign w:val="center"/>
              </w:tcPr>
              <w:p>
                <w:pPr>
                  <w:overflowPunct w:val="0"/>
                  <w:spacing w:line="276" w:lineRule="auto"/>
                  <w:jc w:val="center"/>
                  <w:textAlignment w:val="baseline"/>
                  <w:rPr>
                    <w:sz w:val="22"/>
                    <w:szCs w:val="22"/>
                  </w:rPr>
                </w:pPr>
              </w:p>
            </w:tc>
            <w:tc>
              <w:tcPr>
                <w:tcW w:w="431" w:type="pct"/>
                <w:vAlign w:val="center"/>
              </w:tcPr>
              <w:p>
                <w:pPr>
                  <w:overflowPunct w:val="0"/>
                  <w:spacing w:line="276" w:lineRule="auto"/>
                  <w:jc w:val="center"/>
                  <w:textAlignment w:val="baseline"/>
                  <w:rPr>
                    <w:sz w:val="22"/>
                    <w:szCs w:val="22"/>
                  </w:rPr>
                </w:pPr>
              </w:p>
            </w:tc>
            <w:tc>
              <w:tcPr>
                <w:tcW w:w="371" w:type="pct"/>
                <w:vAlign w:val="center"/>
              </w:tcPr>
              <w:p>
                <w:pPr>
                  <w:overflowPunct w:val="0"/>
                  <w:spacing w:line="276" w:lineRule="auto"/>
                  <w:jc w:val="center"/>
                  <w:textAlignment w:val="baseline"/>
                  <w:rPr>
                    <w:sz w:val="22"/>
                    <w:szCs w:val="22"/>
                  </w:rPr>
                </w:pPr>
              </w:p>
            </w:tc>
            <w:tc>
              <w:tcPr>
                <w:tcW w:w="461" w:type="pct"/>
                <w:vAlign w:val="center"/>
              </w:tcPr>
              <w:p>
                <w:pPr>
                  <w:overflowPunct w:val="0"/>
                  <w:spacing w:line="276" w:lineRule="auto"/>
                  <w:jc w:val="center"/>
                  <w:textAlignment w:val="baseline"/>
                  <w:rPr>
                    <w:sz w:val="22"/>
                    <w:szCs w:val="22"/>
                  </w:rPr>
                </w:pPr>
              </w:p>
            </w:tc>
            <w:tc>
              <w:tcPr>
                <w:tcW w:w="371" w:type="pct"/>
                <w:vAlign w:val="center"/>
              </w:tcPr>
              <w:p>
                <w:pPr>
                  <w:overflowPunct w:val="0"/>
                  <w:spacing w:line="276" w:lineRule="auto"/>
                  <w:jc w:val="center"/>
                  <w:textAlignment w:val="baseline"/>
                  <w:rPr>
                    <w:sz w:val="22"/>
                    <w:szCs w:val="22"/>
                  </w:rPr>
                </w:pPr>
              </w:p>
            </w:tc>
          </w:tr>
        </w:tbl>
        <w:p>
          <w:pPr>
            <w:overflowPunct w:val="0"/>
            <w:spacing w:line="276" w:lineRule="auto"/>
            <w:jc w:val="both"/>
            <w:textAlignment w:val="baseline"/>
            <w:rPr>
              <w:sz w:val="10"/>
              <w:szCs w:val="10"/>
            </w:rPr>
          </w:pPr>
        </w:p>
        <w:p>
          <w:pPr>
            <w:overflowPunct w:val="0"/>
            <w:spacing w:line="276" w:lineRule="auto"/>
            <w:jc w:val="both"/>
            <w:textAlignment w:val="baseline"/>
          </w:pPr>
          <w:r>
            <w:t>Ūkininkas</w:t>
            <w:tab/>
            <w:tab/>
            <w:tab/>
            <w:t>_________________</w:t>
            <w:tab/>
            <w:tab/>
            <w:tab/>
            <w:t>_________________________</w:t>
          </w:r>
        </w:p>
        <w:p>
          <w:pPr>
            <w:overflowPunct w:val="0"/>
            <w:spacing w:line="276" w:lineRule="auto"/>
            <w:ind w:left="2596" w:firstLine="1298"/>
            <w:jc w:val="both"/>
            <w:textAlignment w:val="baseline"/>
          </w:pPr>
          <w:r>
            <w:rPr>
              <w:sz w:val="20"/>
            </w:rPr>
            <w:t>(parašas)</w:t>
            <w:tab/>
          </w:r>
          <w:r>
            <w:tab/>
            <w:tab/>
            <w:tab/>
          </w:r>
          <w:r>
            <w:rPr>
              <w:sz w:val="20"/>
            </w:rPr>
            <w:t>(vardas, pavardė)</w:t>
          </w:r>
        </w:p>
        <w:sdt>
          <w:sdtPr>
            <w:alias w:val="pabaiga"/>
            <w:tag w:val="part_a4730b3a03db42519e36207306d5c685"/>
            <w:lock w:val="sdtLocked"/>
            <w:richText/>
          </w:sdtPr>
          <w:sdtContent>
            <w:p>
              <w:pPr>
                <w:overflowPunct w:val="0"/>
                <w:spacing w:line="276" w:lineRule="auto"/>
                <w:jc w:val="center"/>
                <w:textAlignment w:val="baseline"/>
              </w:pPr>
              <w:r>
                <w:t>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ba5c0506f11e4a698d921e3e46801">
            <w:r w:rsidRPr="00532B9F">
              <w:rPr>
                <w:rFonts w:ascii="Times New Roman" w:eastAsia="MS Mincho" w:hAnsi="Times New Roman"/>
                <w:sz w:val="20"/>
                <w:i/>
                <w:iCs/>
                <w:color w:val="0000FF" w:themeColor="hyperlink"/>
                <w:u w:val="single"/>
              </w:rPr>
              <w:t>3D-725</w:t>
            </w:r>
          </w:fldSimple>
          <w:r>
            <w:rPr>
              <w:rFonts w:ascii="Times New Roman" w:eastAsia="MS Mincho" w:hAnsi="Times New Roman"/>
              <w:sz w:val="20"/>
              <w:i/>
              <w:iCs/>
            </w:rPr>
            <w:t>,
2014-10-10,
paskelbta TAR 2014-10-10, i. k. 2014-13951            </w:t>
          </w:r>
        </w:p>
        <w:p/>
      </w:sdtContent>
    </w:sdt>
    <w:sdt>
      <w:sdtPr>
        <w:alias w:val="6 pr."/>
        <w:tag w:val="part_8463422ed32548ef948ad91a3ed0bfe7"/>
        <w:lock w:val="sdtLocked"/>
        <w:richText/>
      </w:sdtPr>
      <w:sdtContent>
        <w:p>
          <w:pPr>
            <w:overflowPunct w:val="0"/>
            <w:jc w:val="both"/>
            <w:textAlignment w:val="baseline"/>
            <w:rPr>
              <w:sz w:val="20"/>
            </w:rPr>
          </w:pPr>
          <w:r>
            <w:rPr>
              <w:sz w:val="20"/>
            </w:rPr>
            <w:br w:type="page"/>
          </w:r>
        </w:p>
        <w:p>
          <w:pPr>
            <w:overflowPunct w:val="0"/>
            <w:ind w:left="4820" w:firstLine="4819"/>
            <w:jc w:val="both"/>
            <w:textAlignment w:val="baseline"/>
            <w:rPr>
              <w:szCs w:val="24"/>
            </w:rPr>
          </w:pPr>
          <w:r>
            <w:rPr>
              <w:szCs w:val="24"/>
            </w:rPr>
            <w:t>Ūkininko ūkio veiklos</w:t>
          </w:r>
        </w:p>
        <w:p>
          <w:pPr>
            <w:overflowPunct w:val="0"/>
            <w:ind w:left="9639"/>
            <w:jc w:val="both"/>
            <w:textAlignment w:val="baseline"/>
            <w:rPr>
              <w:szCs w:val="24"/>
            </w:rPr>
          </w:pPr>
          <w:r>
            <w:rPr>
              <w:szCs w:val="24"/>
            </w:rPr>
            <w:t>buhalterinės apskaitos tvarkymo</w:t>
          </w:r>
        </w:p>
        <w:p>
          <w:pPr>
            <w:overflowPunct w:val="0"/>
            <w:ind w:left="9639"/>
            <w:jc w:val="both"/>
            <w:textAlignment w:val="baseline"/>
            <w:rPr>
              <w:szCs w:val="24"/>
            </w:rPr>
          </w:pPr>
          <w:r>
            <w:rPr>
              <w:szCs w:val="24"/>
            </w:rPr>
            <w:t xml:space="preserve">supaprastintąja apskaitos sistema rekomendacijų </w:t>
          </w:r>
        </w:p>
        <w:p>
          <w:pPr>
            <w:overflowPunct w:val="0"/>
            <w:ind w:left="9639"/>
            <w:jc w:val="both"/>
            <w:textAlignment w:val="baseline"/>
            <w:rPr>
              <w:szCs w:val="24"/>
            </w:rPr>
          </w:pPr>
          <w:sdt>
            <w:sdtPr>
              <w:alias w:val="Numeris"/>
              <w:tag w:val="nr_8463422ed32548ef948ad91a3ed0bfe7"/>
              <w:lock w:val="sdtLocked"/>
              <w:richText/>
            </w:sdtPr>
            <w:sdtContent>
              <w:r>
                <w:rPr>
                  <w:szCs w:val="24"/>
                </w:rPr>
                <w:t>6</w:t>
              </w:r>
            </w:sdtContent>
          </w:sdt>
          <w:r>
            <w:rPr>
              <w:szCs w:val="24"/>
            </w:rPr>
            <w:t xml:space="preserve">  priedas</w:t>
          </w:r>
        </w:p>
        <w:p>
          <w:pPr>
            <w:keepNext/>
            <w:overflowPunct w:val="0"/>
            <w:jc w:val="center"/>
            <w:textAlignment w:val="baseline"/>
            <w:rPr>
              <w:b/>
            </w:rPr>
          </w:pPr>
        </w:p>
        <w:p>
          <w:pPr>
            <w:overflowPunct w:val="0"/>
            <w:jc w:val="center"/>
            <w:textAlignment w:val="baseline"/>
          </w:pPr>
          <w:r>
            <w:t>Ūkininko________________________________ ūkis</w:t>
          </w:r>
        </w:p>
        <w:p>
          <w:pPr>
            <w:keepNext/>
            <w:overflowPunct w:val="0"/>
            <w:jc w:val="center"/>
            <w:textAlignment w:val="baseline"/>
            <w:rPr>
              <w:b/>
              <w:szCs w:val="22"/>
            </w:rPr>
          </w:pPr>
          <w:r>
            <w:rPr>
              <w:b/>
              <w:szCs w:val="22"/>
            </w:rPr>
            <w:t>MEDŽIAGŲ IR PRODUKCIJOS ŽINIARAŠTIS</w:t>
          </w:r>
        </w:p>
        <w:p>
          <w:pPr>
            <w:overflowPunct w:val="0"/>
            <w:jc w:val="center"/>
            <w:textAlignment w:val="baseline"/>
          </w:pPr>
          <w:r>
            <w:t>_____________ Nr. _____________</w:t>
          </w:r>
        </w:p>
        <w:p>
          <w:pPr>
            <w:overflowPunct w:val="0"/>
            <w:ind w:left="5812"/>
            <w:jc w:val="both"/>
            <w:textAlignment w:val="baseline"/>
            <w:rPr>
              <w:sz w:val="20"/>
            </w:rPr>
          </w:pPr>
          <w:r>
            <w:rPr>
              <w:sz w:val="20"/>
            </w:rPr>
            <w:t>(data)</w:t>
          </w:r>
        </w:p>
        <w:p>
          <w:pPr>
            <w:overflowPunct w:val="0"/>
            <w:ind w:left="5812"/>
            <w:jc w:val="both"/>
            <w:textAlignment w:val="baseline"/>
            <w:rPr>
              <w:sz w:val="20"/>
            </w:rPr>
          </w:pPr>
        </w:p>
        <w:p>
          <w:pPr>
            <w:overflowPunct w:val="0"/>
            <w:jc w:val="both"/>
            <w:textAlignment w:val="baseline"/>
          </w:pPr>
          <w:r>
            <w:t>Medžiagų, produkcijos pavadinimas</w:t>
            <w:tab/>
            <w:t>______________</w:t>
          </w:r>
          <w:r>
            <w:rPr>
              <w:sz w:val="22"/>
            </w:rPr>
            <w:tab/>
          </w:r>
          <w:r>
            <w:t>Matavimo vienetas ______________</w:t>
          </w:r>
        </w:p>
        <w:p>
          <w:pPr>
            <w:overflowPunct w:val="0"/>
            <w:jc w:val="both"/>
            <w:textAlignment w:val="baseline"/>
            <w:rPr>
              <w:sz w:val="16"/>
            </w:rPr>
          </w:pPr>
        </w:p>
        <w:tbl>
          <w:tblPr>
            <w:tblW w:w="152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7"/>
            <w:gridCol w:w="931"/>
            <w:gridCol w:w="952"/>
            <w:gridCol w:w="953"/>
            <w:gridCol w:w="953"/>
            <w:gridCol w:w="953"/>
            <w:gridCol w:w="952"/>
            <w:gridCol w:w="953"/>
            <w:gridCol w:w="953"/>
            <w:gridCol w:w="953"/>
            <w:gridCol w:w="952"/>
            <w:gridCol w:w="953"/>
            <w:gridCol w:w="953"/>
            <w:gridCol w:w="953"/>
            <w:gridCol w:w="992"/>
            <w:gridCol w:w="993"/>
          </w:tblGrid>
          <w:tr>
            <w:trPr>
              <w:cantSplit/>
              <w:trHeight w:val="249"/>
            </w:trPr>
            <w:tc>
              <w:tcPr>
                <w:tcW w:w="927" w:type="dxa"/>
                <w:vMerge w:val="restart"/>
                <w:vAlign w:val="center"/>
              </w:tcPr>
              <w:p>
                <w:pPr>
                  <w:overflowPunct w:val="0"/>
                  <w:jc w:val="center"/>
                  <w:textAlignment w:val="baseline"/>
                  <w:rPr>
                    <w:szCs w:val="24"/>
                  </w:rPr>
                </w:pPr>
                <w:r>
                  <w:rPr>
                    <w:szCs w:val="24"/>
                  </w:rPr>
                  <w:t>Data</w:t>
                </w:r>
              </w:p>
            </w:tc>
            <w:tc>
              <w:tcPr>
                <w:tcW w:w="931" w:type="dxa"/>
                <w:vMerge w:val="restart"/>
                <w:vAlign w:val="center"/>
              </w:tcPr>
              <w:p>
                <w:pPr>
                  <w:overflowPunct w:val="0"/>
                  <w:jc w:val="center"/>
                  <w:textAlignment w:val="baseline"/>
                  <w:rPr>
                    <w:szCs w:val="24"/>
                  </w:rPr>
                </w:pPr>
                <w:r>
                  <w:rPr>
                    <w:szCs w:val="24"/>
                  </w:rPr>
                  <w:t>Doku-mento Nr.</w:t>
                </w:r>
              </w:p>
            </w:tc>
            <w:tc>
              <w:tcPr>
                <w:tcW w:w="5716" w:type="dxa"/>
                <w:gridSpan w:val="6"/>
                <w:vAlign w:val="center"/>
              </w:tcPr>
              <w:p>
                <w:pPr>
                  <w:overflowPunct w:val="0"/>
                  <w:jc w:val="center"/>
                  <w:textAlignment w:val="baseline"/>
                  <w:rPr>
                    <w:szCs w:val="24"/>
                  </w:rPr>
                </w:pPr>
                <w:r>
                  <w:rPr>
                    <w:szCs w:val="24"/>
                  </w:rPr>
                  <w:t>Iš kur gauta</w:t>
                </w:r>
              </w:p>
            </w:tc>
            <w:tc>
              <w:tcPr>
                <w:tcW w:w="5717" w:type="dxa"/>
                <w:gridSpan w:val="6"/>
                <w:vAlign w:val="center"/>
              </w:tcPr>
              <w:p>
                <w:pPr>
                  <w:overflowPunct w:val="0"/>
                  <w:jc w:val="center"/>
                  <w:textAlignment w:val="baseline"/>
                  <w:rPr>
                    <w:szCs w:val="24"/>
                  </w:rPr>
                </w:pPr>
                <w:r>
                  <w:rPr>
                    <w:szCs w:val="24"/>
                  </w:rPr>
                  <w:t>Kur sunaudota</w:t>
                </w:r>
              </w:p>
            </w:tc>
            <w:tc>
              <w:tcPr>
                <w:tcW w:w="1985" w:type="dxa"/>
                <w:gridSpan w:val="2"/>
                <w:vAlign w:val="center"/>
              </w:tcPr>
              <w:p>
                <w:pPr>
                  <w:overflowPunct w:val="0"/>
                  <w:jc w:val="center"/>
                  <w:textAlignment w:val="baseline"/>
                  <w:rPr>
                    <w:szCs w:val="24"/>
                  </w:rPr>
                </w:pPr>
                <w:r>
                  <w:rPr>
                    <w:szCs w:val="24"/>
                  </w:rPr>
                  <w:t>Likutis</w:t>
                </w:r>
              </w:p>
            </w:tc>
          </w:tr>
          <w:tr>
            <w:trPr>
              <w:cantSplit/>
              <w:trHeight w:val="285"/>
            </w:trPr>
            <w:tc>
              <w:tcPr>
                <w:tcW w:w="927" w:type="dxa"/>
                <w:vMerge/>
                <w:vAlign w:val="center"/>
              </w:tcPr>
              <w:p>
                <w:pPr>
                  <w:overflowPunct w:val="0"/>
                  <w:jc w:val="center"/>
                  <w:textAlignment w:val="baseline"/>
                  <w:rPr>
                    <w:szCs w:val="24"/>
                  </w:rPr>
                </w:pPr>
              </w:p>
            </w:tc>
            <w:tc>
              <w:tcPr>
                <w:tcW w:w="931" w:type="dxa"/>
                <w:vMerge/>
                <w:vAlign w:val="center"/>
              </w:tcPr>
              <w:p>
                <w:pPr>
                  <w:overflowPunct w:val="0"/>
                  <w:jc w:val="center"/>
                  <w:textAlignment w:val="baseline"/>
                  <w:rPr>
                    <w:szCs w:val="24"/>
                  </w:rPr>
                </w:pPr>
              </w:p>
            </w:tc>
            <w:tc>
              <w:tcPr>
                <w:tcW w:w="1905" w:type="dxa"/>
                <w:gridSpan w:val="2"/>
                <w:vMerge w:val="restart"/>
                <w:vAlign w:val="center"/>
              </w:tcPr>
              <w:p>
                <w:pPr>
                  <w:overflowPunct w:val="0"/>
                  <w:jc w:val="center"/>
                  <w:textAlignment w:val="baseline"/>
                  <w:rPr>
                    <w:szCs w:val="24"/>
                  </w:rPr>
                </w:pPr>
              </w:p>
            </w:tc>
            <w:tc>
              <w:tcPr>
                <w:tcW w:w="1906" w:type="dxa"/>
                <w:gridSpan w:val="2"/>
                <w:vMerge w:val="restart"/>
                <w:vAlign w:val="center"/>
              </w:tcPr>
              <w:p>
                <w:pPr>
                  <w:overflowPunct w:val="0"/>
                  <w:jc w:val="center"/>
                  <w:textAlignment w:val="baseline"/>
                  <w:rPr>
                    <w:szCs w:val="24"/>
                  </w:rPr>
                </w:pPr>
              </w:p>
            </w:tc>
            <w:tc>
              <w:tcPr>
                <w:tcW w:w="1905" w:type="dxa"/>
                <w:gridSpan w:val="2"/>
                <w:vMerge w:val="restart"/>
                <w:vAlign w:val="center"/>
              </w:tcPr>
              <w:p>
                <w:pPr>
                  <w:overflowPunct w:val="0"/>
                  <w:jc w:val="center"/>
                  <w:textAlignment w:val="baseline"/>
                  <w:rPr>
                    <w:szCs w:val="24"/>
                  </w:rPr>
                </w:pPr>
                <w:r>
                  <w:rPr>
                    <w:szCs w:val="24"/>
                  </w:rPr>
                  <w:t>Iš viso gauta</w:t>
                </w:r>
              </w:p>
            </w:tc>
            <w:tc>
              <w:tcPr>
                <w:tcW w:w="1906" w:type="dxa"/>
                <w:gridSpan w:val="2"/>
                <w:vMerge w:val="restart"/>
                <w:vAlign w:val="center"/>
              </w:tcPr>
              <w:p>
                <w:pPr>
                  <w:overflowPunct w:val="0"/>
                  <w:jc w:val="center"/>
                  <w:textAlignment w:val="baseline"/>
                  <w:rPr>
                    <w:szCs w:val="24"/>
                  </w:rPr>
                </w:pPr>
              </w:p>
            </w:tc>
            <w:tc>
              <w:tcPr>
                <w:tcW w:w="1905" w:type="dxa"/>
                <w:gridSpan w:val="2"/>
                <w:vMerge w:val="restart"/>
                <w:vAlign w:val="center"/>
              </w:tcPr>
              <w:p>
                <w:pPr>
                  <w:overflowPunct w:val="0"/>
                  <w:jc w:val="center"/>
                  <w:textAlignment w:val="baseline"/>
                  <w:rPr>
                    <w:szCs w:val="24"/>
                  </w:rPr>
                </w:pPr>
              </w:p>
            </w:tc>
            <w:tc>
              <w:tcPr>
                <w:tcW w:w="1906" w:type="dxa"/>
                <w:gridSpan w:val="2"/>
                <w:vMerge w:val="restart"/>
                <w:vAlign w:val="center"/>
              </w:tcPr>
              <w:p>
                <w:pPr>
                  <w:overflowPunct w:val="0"/>
                  <w:jc w:val="center"/>
                  <w:textAlignment w:val="baseline"/>
                  <w:rPr>
                    <w:szCs w:val="24"/>
                  </w:rPr>
                </w:pPr>
                <w:r>
                  <w:rPr>
                    <w:szCs w:val="24"/>
                  </w:rPr>
                  <w:t>Iš viso sunaudota</w:t>
                </w:r>
              </w:p>
            </w:tc>
            <w:tc>
              <w:tcPr>
                <w:tcW w:w="992" w:type="dxa"/>
                <w:vMerge w:val="restart"/>
                <w:vAlign w:val="center"/>
              </w:tcPr>
              <w:p>
                <w:pPr>
                  <w:overflowPunct w:val="0"/>
                  <w:jc w:val="center"/>
                  <w:textAlignment w:val="baseline"/>
                  <w:rPr>
                    <w:szCs w:val="24"/>
                  </w:rPr>
                </w:pPr>
                <w:r>
                  <w:rPr>
                    <w:szCs w:val="24"/>
                  </w:rPr>
                  <w:t>Kiekis</w:t>
                </w:r>
              </w:p>
            </w:tc>
            <w:tc>
              <w:tcPr>
                <w:tcW w:w="993" w:type="dxa"/>
                <w:vMerge w:val="restart"/>
                <w:vAlign w:val="center"/>
              </w:tcPr>
              <w:p>
                <w:pPr>
                  <w:overflowPunct w:val="0"/>
                  <w:jc w:val="center"/>
                  <w:textAlignment w:val="baseline"/>
                  <w:rPr>
                    <w:szCs w:val="24"/>
                  </w:rPr>
                </w:pPr>
                <w:r>
                  <w:rPr>
                    <w:szCs w:val="24"/>
                  </w:rPr>
                  <w:t>Suma, Eur</w:t>
                </w:r>
              </w:p>
            </w:tc>
          </w:tr>
          <w:tr>
            <w:trPr>
              <w:cantSplit/>
              <w:trHeight w:val="285"/>
            </w:trPr>
            <w:tc>
              <w:tcPr>
                <w:tcW w:w="927" w:type="dxa"/>
                <w:vMerge/>
                <w:vAlign w:val="center"/>
              </w:tcPr>
              <w:p>
                <w:pPr>
                  <w:overflowPunct w:val="0"/>
                  <w:jc w:val="both"/>
                  <w:textAlignment w:val="baseline"/>
                  <w:rPr>
                    <w:szCs w:val="24"/>
                  </w:rPr>
                </w:pPr>
              </w:p>
            </w:tc>
            <w:tc>
              <w:tcPr>
                <w:tcW w:w="931" w:type="dxa"/>
                <w:vMerge/>
                <w:vAlign w:val="center"/>
              </w:tcPr>
              <w:p>
                <w:pPr>
                  <w:overflowPunct w:val="0"/>
                  <w:jc w:val="both"/>
                  <w:textAlignment w:val="baseline"/>
                  <w:rPr>
                    <w:szCs w:val="24"/>
                  </w:rPr>
                </w:pPr>
              </w:p>
            </w:tc>
            <w:tc>
              <w:tcPr>
                <w:tcW w:w="1905" w:type="dxa"/>
                <w:gridSpan w:val="2"/>
                <w:vMerge/>
                <w:vAlign w:val="center"/>
              </w:tcPr>
              <w:p>
                <w:pPr>
                  <w:overflowPunct w:val="0"/>
                  <w:jc w:val="both"/>
                  <w:textAlignment w:val="baseline"/>
                  <w:rPr>
                    <w:szCs w:val="24"/>
                  </w:rPr>
                </w:pPr>
              </w:p>
            </w:tc>
            <w:tc>
              <w:tcPr>
                <w:tcW w:w="1906" w:type="dxa"/>
                <w:gridSpan w:val="2"/>
                <w:vMerge/>
                <w:vAlign w:val="center"/>
              </w:tcPr>
              <w:p>
                <w:pPr>
                  <w:overflowPunct w:val="0"/>
                  <w:jc w:val="both"/>
                  <w:textAlignment w:val="baseline"/>
                  <w:rPr>
                    <w:szCs w:val="24"/>
                  </w:rPr>
                </w:pPr>
              </w:p>
            </w:tc>
            <w:tc>
              <w:tcPr>
                <w:tcW w:w="1905" w:type="dxa"/>
                <w:gridSpan w:val="2"/>
                <w:vMerge/>
                <w:vAlign w:val="center"/>
              </w:tcPr>
              <w:p>
                <w:pPr>
                  <w:overflowPunct w:val="0"/>
                  <w:jc w:val="both"/>
                  <w:textAlignment w:val="baseline"/>
                  <w:rPr>
                    <w:szCs w:val="24"/>
                  </w:rPr>
                </w:pPr>
              </w:p>
            </w:tc>
            <w:tc>
              <w:tcPr>
                <w:tcW w:w="1906" w:type="dxa"/>
                <w:gridSpan w:val="2"/>
                <w:vMerge/>
                <w:vAlign w:val="center"/>
              </w:tcPr>
              <w:p>
                <w:pPr>
                  <w:overflowPunct w:val="0"/>
                  <w:jc w:val="both"/>
                  <w:textAlignment w:val="baseline"/>
                  <w:rPr>
                    <w:szCs w:val="24"/>
                  </w:rPr>
                </w:pPr>
              </w:p>
            </w:tc>
            <w:tc>
              <w:tcPr>
                <w:tcW w:w="1905" w:type="dxa"/>
                <w:gridSpan w:val="2"/>
                <w:vMerge/>
                <w:vAlign w:val="center"/>
              </w:tcPr>
              <w:p>
                <w:pPr>
                  <w:overflowPunct w:val="0"/>
                  <w:jc w:val="both"/>
                  <w:textAlignment w:val="baseline"/>
                  <w:rPr>
                    <w:szCs w:val="24"/>
                  </w:rPr>
                </w:pPr>
              </w:p>
            </w:tc>
            <w:tc>
              <w:tcPr>
                <w:tcW w:w="1906" w:type="dxa"/>
                <w:gridSpan w:val="2"/>
                <w:vMerge/>
                <w:vAlign w:val="center"/>
              </w:tcPr>
              <w:p>
                <w:pPr>
                  <w:overflowPunct w:val="0"/>
                  <w:jc w:val="both"/>
                  <w:textAlignment w:val="baseline"/>
                  <w:rPr>
                    <w:szCs w:val="24"/>
                  </w:rPr>
                </w:pPr>
              </w:p>
            </w:tc>
            <w:tc>
              <w:tcPr>
                <w:tcW w:w="992" w:type="dxa"/>
                <w:vMerge/>
                <w:vAlign w:val="center"/>
              </w:tcPr>
              <w:p>
                <w:pPr>
                  <w:overflowPunct w:val="0"/>
                  <w:jc w:val="both"/>
                  <w:textAlignment w:val="baseline"/>
                  <w:rPr>
                    <w:szCs w:val="24"/>
                  </w:rPr>
                </w:pPr>
              </w:p>
            </w:tc>
            <w:tc>
              <w:tcPr>
                <w:tcW w:w="993" w:type="dxa"/>
                <w:vMerge/>
                <w:vAlign w:val="center"/>
              </w:tcPr>
              <w:p>
                <w:pPr>
                  <w:overflowPunct w:val="0"/>
                  <w:jc w:val="both"/>
                  <w:textAlignment w:val="baseline"/>
                  <w:rPr>
                    <w:szCs w:val="24"/>
                  </w:rPr>
                </w:pPr>
              </w:p>
            </w:tc>
          </w:tr>
          <w:tr>
            <w:trPr>
              <w:cantSplit/>
              <w:trHeight w:val="249"/>
            </w:trPr>
            <w:tc>
              <w:tcPr>
                <w:tcW w:w="927" w:type="dxa"/>
                <w:vMerge/>
                <w:vAlign w:val="center"/>
              </w:tcPr>
              <w:p>
                <w:pPr>
                  <w:overflowPunct w:val="0"/>
                  <w:jc w:val="both"/>
                  <w:textAlignment w:val="baseline"/>
                  <w:rPr>
                    <w:szCs w:val="24"/>
                  </w:rPr>
                </w:pPr>
              </w:p>
            </w:tc>
            <w:tc>
              <w:tcPr>
                <w:tcW w:w="931" w:type="dxa"/>
                <w:vMerge/>
                <w:vAlign w:val="center"/>
              </w:tcPr>
              <w:p>
                <w:pPr>
                  <w:overflowPunct w:val="0"/>
                  <w:jc w:val="both"/>
                  <w:textAlignment w:val="baseline"/>
                  <w:rPr>
                    <w:szCs w:val="24"/>
                  </w:rPr>
                </w:pPr>
              </w:p>
            </w:tc>
            <w:tc>
              <w:tcPr>
                <w:tcW w:w="952" w:type="dxa"/>
                <w:vAlign w:val="center"/>
              </w:tcPr>
              <w:p>
                <w:pPr>
                  <w:overflowPunct w:val="0"/>
                  <w:jc w:val="center"/>
                  <w:textAlignment w:val="baseline"/>
                  <w:rPr>
                    <w:szCs w:val="24"/>
                  </w:rPr>
                </w:pPr>
                <w:r>
                  <w:rPr>
                    <w:szCs w:val="24"/>
                  </w:rPr>
                  <w:t>Kiekis</w:t>
                </w:r>
              </w:p>
            </w:tc>
            <w:tc>
              <w:tcPr>
                <w:tcW w:w="953" w:type="dxa"/>
                <w:vAlign w:val="center"/>
              </w:tcPr>
              <w:p>
                <w:pPr>
                  <w:overflowPunct w:val="0"/>
                  <w:jc w:val="center"/>
                  <w:textAlignment w:val="baseline"/>
                  <w:rPr>
                    <w:szCs w:val="24"/>
                  </w:rPr>
                </w:pPr>
                <w:r>
                  <w:rPr>
                    <w:szCs w:val="24"/>
                  </w:rPr>
                  <w:t>Suma, Eur</w:t>
                </w:r>
              </w:p>
            </w:tc>
            <w:tc>
              <w:tcPr>
                <w:tcW w:w="953" w:type="dxa"/>
                <w:vAlign w:val="center"/>
              </w:tcPr>
              <w:p>
                <w:pPr>
                  <w:overflowPunct w:val="0"/>
                  <w:jc w:val="center"/>
                  <w:textAlignment w:val="baseline"/>
                  <w:rPr>
                    <w:szCs w:val="24"/>
                  </w:rPr>
                </w:pPr>
                <w:r>
                  <w:rPr>
                    <w:szCs w:val="24"/>
                  </w:rPr>
                  <w:t>Kiekis</w:t>
                </w:r>
              </w:p>
            </w:tc>
            <w:tc>
              <w:tcPr>
                <w:tcW w:w="953" w:type="dxa"/>
                <w:vAlign w:val="center"/>
              </w:tcPr>
              <w:p>
                <w:pPr>
                  <w:overflowPunct w:val="0"/>
                  <w:jc w:val="center"/>
                  <w:textAlignment w:val="baseline"/>
                  <w:rPr>
                    <w:szCs w:val="24"/>
                  </w:rPr>
                </w:pPr>
                <w:r>
                  <w:rPr>
                    <w:szCs w:val="24"/>
                  </w:rPr>
                  <w:t>Suma, Eur</w:t>
                </w:r>
              </w:p>
            </w:tc>
            <w:tc>
              <w:tcPr>
                <w:tcW w:w="952" w:type="dxa"/>
                <w:vAlign w:val="center"/>
              </w:tcPr>
              <w:p>
                <w:pPr>
                  <w:overflowPunct w:val="0"/>
                  <w:jc w:val="center"/>
                  <w:textAlignment w:val="baseline"/>
                  <w:rPr>
                    <w:szCs w:val="24"/>
                  </w:rPr>
                </w:pPr>
                <w:r>
                  <w:rPr>
                    <w:szCs w:val="24"/>
                  </w:rPr>
                  <w:t>Kiekis</w:t>
                </w:r>
              </w:p>
            </w:tc>
            <w:tc>
              <w:tcPr>
                <w:tcW w:w="953" w:type="dxa"/>
                <w:vAlign w:val="center"/>
              </w:tcPr>
              <w:p>
                <w:pPr>
                  <w:overflowPunct w:val="0"/>
                  <w:jc w:val="center"/>
                  <w:textAlignment w:val="baseline"/>
                  <w:rPr>
                    <w:szCs w:val="24"/>
                  </w:rPr>
                </w:pPr>
                <w:r>
                  <w:rPr>
                    <w:szCs w:val="24"/>
                  </w:rPr>
                  <w:t>Suma, Eur</w:t>
                </w:r>
              </w:p>
            </w:tc>
            <w:tc>
              <w:tcPr>
                <w:tcW w:w="953" w:type="dxa"/>
                <w:vAlign w:val="center"/>
              </w:tcPr>
              <w:p>
                <w:pPr>
                  <w:overflowPunct w:val="0"/>
                  <w:jc w:val="center"/>
                  <w:textAlignment w:val="baseline"/>
                  <w:rPr>
                    <w:szCs w:val="24"/>
                  </w:rPr>
                </w:pPr>
                <w:r>
                  <w:rPr>
                    <w:szCs w:val="24"/>
                  </w:rPr>
                  <w:t>Kiekis</w:t>
                </w:r>
              </w:p>
            </w:tc>
            <w:tc>
              <w:tcPr>
                <w:tcW w:w="953" w:type="dxa"/>
                <w:vAlign w:val="center"/>
              </w:tcPr>
              <w:p>
                <w:pPr>
                  <w:overflowPunct w:val="0"/>
                  <w:jc w:val="center"/>
                  <w:textAlignment w:val="baseline"/>
                  <w:rPr>
                    <w:szCs w:val="24"/>
                  </w:rPr>
                </w:pPr>
                <w:r>
                  <w:rPr>
                    <w:szCs w:val="24"/>
                  </w:rPr>
                  <w:t>Suma, Eur</w:t>
                </w:r>
              </w:p>
            </w:tc>
            <w:tc>
              <w:tcPr>
                <w:tcW w:w="952" w:type="dxa"/>
                <w:vAlign w:val="center"/>
              </w:tcPr>
              <w:p>
                <w:pPr>
                  <w:overflowPunct w:val="0"/>
                  <w:jc w:val="center"/>
                  <w:textAlignment w:val="baseline"/>
                  <w:rPr>
                    <w:szCs w:val="24"/>
                  </w:rPr>
                </w:pPr>
                <w:r>
                  <w:rPr>
                    <w:szCs w:val="24"/>
                  </w:rPr>
                  <w:t>Kiekis</w:t>
                </w:r>
              </w:p>
            </w:tc>
            <w:tc>
              <w:tcPr>
                <w:tcW w:w="953" w:type="dxa"/>
                <w:vAlign w:val="center"/>
              </w:tcPr>
              <w:p>
                <w:pPr>
                  <w:overflowPunct w:val="0"/>
                  <w:jc w:val="center"/>
                  <w:textAlignment w:val="baseline"/>
                  <w:rPr>
                    <w:szCs w:val="24"/>
                  </w:rPr>
                </w:pPr>
                <w:r>
                  <w:rPr>
                    <w:szCs w:val="24"/>
                  </w:rPr>
                  <w:t>Suma, Eur</w:t>
                </w:r>
              </w:p>
            </w:tc>
            <w:tc>
              <w:tcPr>
                <w:tcW w:w="953" w:type="dxa"/>
                <w:vAlign w:val="center"/>
              </w:tcPr>
              <w:p>
                <w:pPr>
                  <w:overflowPunct w:val="0"/>
                  <w:jc w:val="center"/>
                  <w:textAlignment w:val="baseline"/>
                  <w:rPr>
                    <w:szCs w:val="24"/>
                  </w:rPr>
                </w:pPr>
                <w:r>
                  <w:rPr>
                    <w:szCs w:val="24"/>
                  </w:rPr>
                  <w:t>Kiekis</w:t>
                </w:r>
              </w:p>
            </w:tc>
            <w:tc>
              <w:tcPr>
                <w:tcW w:w="953" w:type="dxa"/>
                <w:vAlign w:val="center"/>
              </w:tcPr>
              <w:p>
                <w:pPr>
                  <w:overflowPunct w:val="0"/>
                  <w:jc w:val="center"/>
                  <w:textAlignment w:val="baseline"/>
                  <w:rPr>
                    <w:szCs w:val="24"/>
                  </w:rPr>
                </w:pPr>
                <w:r>
                  <w:rPr>
                    <w:szCs w:val="24"/>
                  </w:rPr>
                  <w:t>Suma, Eur</w:t>
                </w:r>
              </w:p>
            </w:tc>
            <w:tc>
              <w:tcPr>
                <w:tcW w:w="992" w:type="dxa"/>
                <w:vMerge/>
                <w:vAlign w:val="center"/>
              </w:tcPr>
              <w:p>
                <w:pPr>
                  <w:overflowPunct w:val="0"/>
                  <w:jc w:val="both"/>
                  <w:textAlignment w:val="baseline"/>
                  <w:rPr>
                    <w:szCs w:val="24"/>
                  </w:rPr>
                </w:pPr>
              </w:p>
            </w:tc>
            <w:tc>
              <w:tcPr>
                <w:tcW w:w="993" w:type="dxa"/>
                <w:vMerge/>
                <w:vAlign w:val="center"/>
              </w:tcPr>
              <w:p>
                <w:pPr>
                  <w:overflowPunct w:val="0"/>
                  <w:jc w:val="both"/>
                  <w:textAlignment w:val="baseline"/>
                  <w:rPr>
                    <w:szCs w:val="24"/>
                  </w:rPr>
                </w:pPr>
              </w:p>
            </w:tc>
          </w:tr>
          <w:tr>
            <w:trPr>
              <w:cantSplit/>
              <w:trHeight w:val="249"/>
            </w:trPr>
            <w:tc>
              <w:tcPr>
                <w:tcW w:w="927" w:type="dxa"/>
                <w:vAlign w:val="center"/>
              </w:tcPr>
              <w:p>
                <w:pPr>
                  <w:overflowPunct w:val="0"/>
                  <w:spacing w:line="220" w:lineRule="exact"/>
                  <w:jc w:val="center"/>
                  <w:textAlignment w:val="baseline"/>
                  <w:rPr>
                    <w:szCs w:val="24"/>
                  </w:rPr>
                </w:pPr>
              </w:p>
            </w:tc>
            <w:tc>
              <w:tcPr>
                <w:tcW w:w="931" w:type="dxa"/>
                <w:vAlign w:val="center"/>
              </w:tcPr>
              <w:p>
                <w:pPr>
                  <w:overflowPunct w:val="0"/>
                  <w:spacing w:line="220" w:lineRule="exact"/>
                  <w:jc w:val="center"/>
                  <w:textAlignment w:val="baseline"/>
                  <w:rPr>
                    <w:szCs w:val="24"/>
                  </w:rPr>
                </w:pPr>
              </w:p>
            </w:tc>
            <w:tc>
              <w:tcPr>
                <w:tcW w:w="952"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2"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2"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92" w:type="dxa"/>
                <w:vAlign w:val="center"/>
              </w:tcPr>
              <w:p>
                <w:pPr>
                  <w:overflowPunct w:val="0"/>
                  <w:spacing w:line="220" w:lineRule="exact"/>
                  <w:jc w:val="center"/>
                  <w:textAlignment w:val="baseline"/>
                  <w:rPr>
                    <w:szCs w:val="24"/>
                  </w:rPr>
                </w:pPr>
              </w:p>
            </w:tc>
            <w:tc>
              <w:tcPr>
                <w:tcW w:w="993" w:type="dxa"/>
                <w:vAlign w:val="center"/>
              </w:tcPr>
              <w:p>
                <w:pPr>
                  <w:overflowPunct w:val="0"/>
                  <w:spacing w:line="220" w:lineRule="exact"/>
                  <w:jc w:val="center"/>
                  <w:textAlignment w:val="baseline"/>
                  <w:rPr>
                    <w:szCs w:val="24"/>
                  </w:rPr>
                </w:pPr>
              </w:p>
            </w:tc>
          </w:tr>
          <w:tr>
            <w:trPr>
              <w:cantSplit/>
              <w:trHeight w:val="249"/>
            </w:trPr>
            <w:tc>
              <w:tcPr>
                <w:tcW w:w="927" w:type="dxa"/>
                <w:vAlign w:val="center"/>
              </w:tcPr>
              <w:p>
                <w:pPr>
                  <w:overflowPunct w:val="0"/>
                  <w:spacing w:line="220" w:lineRule="exact"/>
                  <w:jc w:val="center"/>
                  <w:textAlignment w:val="baseline"/>
                  <w:rPr>
                    <w:szCs w:val="24"/>
                  </w:rPr>
                </w:pPr>
              </w:p>
            </w:tc>
            <w:tc>
              <w:tcPr>
                <w:tcW w:w="931" w:type="dxa"/>
                <w:vAlign w:val="center"/>
              </w:tcPr>
              <w:p>
                <w:pPr>
                  <w:overflowPunct w:val="0"/>
                  <w:spacing w:line="220" w:lineRule="exact"/>
                  <w:jc w:val="center"/>
                  <w:textAlignment w:val="baseline"/>
                  <w:rPr>
                    <w:szCs w:val="24"/>
                  </w:rPr>
                </w:pPr>
              </w:p>
            </w:tc>
            <w:tc>
              <w:tcPr>
                <w:tcW w:w="952"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2"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2"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92" w:type="dxa"/>
                <w:vAlign w:val="center"/>
              </w:tcPr>
              <w:p>
                <w:pPr>
                  <w:overflowPunct w:val="0"/>
                  <w:spacing w:line="220" w:lineRule="exact"/>
                  <w:jc w:val="center"/>
                  <w:textAlignment w:val="baseline"/>
                  <w:rPr>
                    <w:szCs w:val="24"/>
                  </w:rPr>
                </w:pPr>
              </w:p>
            </w:tc>
            <w:tc>
              <w:tcPr>
                <w:tcW w:w="993" w:type="dxa"/>
                <w:vAlign w:val="center"/>
              </w:tcPr>
              <w:p>
                <w:pPr>
                  <w:overflowPunct w:val="0"/>
                  <w:spacing w:line="220" w:lineRule="exact"/>
                  <w:jc w:val="center"/>
                  <w:textAlignment w:val="baseline"/>
                  <w:rPr>
                    <w:szCs w:val="24"/>
                  </w:rPr>
                </w:pPr>
              </w:p>
            </w:tc>
          </w:tr>
          <w:tr>
            <w:trPr>
              <w:cantSplit/>
              <w:trHeight w:val="249"/>
            </w:trPr>
            <w:tc>
              <w:tcPr>
                <w:tcW w:w="927" w:type="dxa"/>
                <w:vAlign w:val="center"/>
              </w:tcPr>
              <w:p>
                <w:pPr>
                  <w:overflowPunct w:val="0"/>
                  <w:spacing w:line="220" w:lineRule="exact"/>
                  <w:jc w:val="center"/>
                  <w:textAlignment w:val="baseline"/>
                  <w:rPr>
                    <w:szCs w:val="24"/>
                  </w:rPr>
                </w:pPr>
              </w:p>
            </w:tc>
            <w:tc>
              <w:tcPr>
                <w:tcW w:w="931" w:type="dxa"/>
                <w:vAlign w:val="center"/>
              </w:tcPr>
              <w:p>
                <w:pPr>
                  <w:overflowPunct w:val="0"/>
                  <w:spacing w:line="220" w:lineRule="exact"/>
                  <w:jc w:val="center"/>
                  <w:textAlignment w:val="baseline"/>
                  <w:rPr>
                    <w:szCs w:val="24"/>
                  </w:rPr>
                </w:pPr>
              </w:p>
            </w:tc>
            <w:tc>
              <w:tcPr>
                <w:tcW w:w="952"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2" w:type="dxa"/>
                <w:vAlign w:val="center"/>
              </w:tcPr>
              <w:p>
                <w:pPr>
                  <w:tabs>
                    <w:tab w:val="center" w:pos="4153"/>
                    <w:tab w:val="right" w:pos="8306"/>
                  </w:tabs>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2"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92" w:type="dxa"/>
                <w:vAlign w:val="center"/>
              </w:tcPr>
              <w:p>
                <w:pPr>
                  <w:overflowPunct w:val="0"/>
                  <w:spacing w:line="220" w:lineRule="exact"/>
                  <w:jc w:val="center"/>
                  <w:textAlignment w:val="baseline"/>
                  <w:rPr>
                    <w:szCs w:val="24"/>
                  </w:rPr>
                </w:pPr>
              </w:p>
            </w:tc>
            <w:tc>
              <w:tcPr>
                <w:tcW w:w="993" w:type="dxa"/>
                <w:vAlign w:val="center"/>
              </w:tcPr>
              <w:p>
                <w:pPr>
                  <w:overflowPunct w:val="0"/>
                  <w:spacing w:line="220" w:lineRule="exact"/>
                  <w:jc w:val="center"/>
                  <w:textAlignment w:val="baseline"/>
                  <w:rPr>
                    <w:szCs w:val="24"/>
                  </w:rPr>
                </w:pPr>
              </w:p>
            </w:tc>
          </w:tr>
          <w:tr>
            <w:trPr>
              <w:cantSplit/>
              <w:trHeight w:val="249"/>
            </w:trPr>
            <w:tc>
              <w:tcPr>
                <w:tcW w:w="927" w:type="dxa"/>
                <w:vAlign w:val="center"/>
              </w:tcPr>
              <w:p>
                <w:pPr>
                  <w:overflowPunct w:val="0"/>
                  <w:spacing w:line="220" w:lineRule="exact"/>
                  <w:jc w:val="center"/>
                  <w:textAlignment w:val="baseline"/>
                  <w:rPr>
                    <w:szCs w:val="24"/>
                  </w:rPr>
                </w:pPr>
              </w:p>
            </w:tc>
            <w:tc>
              <w:tcPr>
                <w:tcW w:w="931" w:type="dxa"/>
                <w:vAlign w:val="center"/>
              </w:tcPr>
              <w:p>
                <w:pPr>
                  <w:overflowPunct w:val="0"/>
                  <w:spacing w:line="220" w:lineRule="exact"/>
                  <w:jc w:val="center"/>
                  <w:textAlignment w:val="baseline"/>
                  <w:rPr>
                    <w:szCs w:val="24"/>
                  </w:rPr>
                </w:pPr>
              </w:p>
            </w:tc>
            <w:tc>
              <w:tcPr>
                <w:tcW w:w="952"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2"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2"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92" w:type="dxa"/>
                <w:vAlign w:val="center"/>
              </w:tcPr>
              <w:p>
                <w:pPr>
                  <w:overflowPunct w:val="0"/>
                  <w:spacing w:line="220" w:lineRule="exact"/>
                  <w:jc w:val="center"/>
                  <w:textAlignment w:val="baseline"/>
                  <w:rPr>
                    <w:szCs w:val="24"/>
                  </w:rPr>
                </w:pPr>
              </w:p>
            </w:tc>
            <w:tc>
              <w:tcPr>
                <w:tcW w:w="993" w:type="dxa"/>
                <w:vAlign w:val="center"/>
              </w:tcPr>
              <w:p>
                <w:pPr>
                  <w:overflowPunct w:val="0"/>
                  <w:spacing w:line="220" w:lineRule="exact"/>
                  <w:jc w:val="center"/>
                  <w:textAlignment w:val="baseline"/>
                  <w:rPr>
                    <w:szCs w:val="24"/>
                  </w:rPr>
                </w:pPr>
              </w:p>
            </w:tc>
          </w:tr>
          <w:tr>
            <w:trPr>
              <w:cantSplit/>
              <w:trHeight w:val="249"/>
            </w:trPr>
            <w:tc>
              <w:tcPr>
                <w:tcW w:w="927" w:type="dxa"/>
                <w:vAlign w:val="center"/>
              </w:tcPr>
              <w:p>
                <w:pPr>
                  <w:overflowPunct w:val="0"/>
                  <w:spacing w:line="220" w:lineRule="exact"/>
                  <w:jc w:val="center"/>
                  <w:textAlignment w:val="baseline"/>
                  <w:rPr>
                    <w:szCs w:val="24"/>
                  </w:rPr>
                </w:pPr>
              </w:p>
            </w:tc>
            <w:tc>
              <w:tcPr>
                <w:tcW w:w="931" w:type="dxa"/>
                <w:vAlign w:val="center"/>
              </w:tcPr>
              <w:p>
                <w:pPr>
                  <w:overflowPunct w:val="0"/>
                  <w:spacing w:line="220" w:lineRule="exact"/>
                  <w:jc w:val="center"/>
                  <w:textAlignment w:val="baseline"/>
                  <w:rPr>
                    <w:szCs w:val="24"/>
                  </w:rPr>
                </w:pPr>
              </w:p>
            </w:tc>
            <w:tc>
              <w:tcPr>
                <w:tcW w:w="952"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2"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2"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92" w:type="dxa"/>
                <w:vAlign w:val="center"/>
              </w:tcPr>
              <w:p>
                <w:pPr>
                  <w:overflowPunct w:val="0"/>
                  <w:spacing w:line="220" w:lineRule="exact"/>
                  <w:jc w:val="center"/>
                  <w:textAlignment w:val="baseline"/>
                  <w:rPr>
                    <w:szCs w:val="24"/>
                  </w:rPr>
                </w:pPr>
              </w:p>
            </w:tc>
            <w:tc>
              <w:tcPr>
                <w:tcW w:w="993" w:type="dxa"/>
                <w:vAlign w:val="center"/>
              </w:tcPr>
              <w:p>
                <w:pPr>
                  <w:overflowPunct w:val="0"/>
                  <w:spacing w:line="220" w:lineRule="exact"/>
                  <w:jc w:val="center"/>
                  <w:textAlignment w:val="baseline"/>
                  <w:rPr>
                    <w:szCs w:val="24"/>
                  </w:rPr>
                </w:pPr>
              </w:p>
            </w:tc>
          </w:tr>
          <w:tr>
            <w:trPr>
              <w:cantSplit/>
              <w:trHeight w:val="249"/>
            </w:trPr>
            <w:tc>
              <w:tcPr>
                <w:tcW w:w="927" w:type="dxa"/>
                <w:vAlign w:val="center"/>
              </w:tcPr>
              <w:p>
                <w:pPr>
                  <w:overflowPunct w:val="0"/>
                  <w:spacing w:line="220" w:lineRule="exact"/>
                  <w:jc w:val="center"/>
                  <w:textAlignment w:val="baseline"/>
                  <w:rPr>
                    <w:szCs w:val="24"/>
                  </w:rPr>
                </w:pPr>
              </w:p>
            </w:tc>
            <w:tc>
              <w:tcPr>
                <w:tcW w:w="931" w:type="dxa"/>
                <w:vAlign w:val="center"/>
              </w:tcPr>
              <w:p>
                <w:pPr>
                  <w:overflowPunct w:val="0"/>
                  <w:spacing w:line="220" w:lineRule="exact"/>
                  <w:jc w:val="center"/>
                  <w:textAlignment w:val="baseline"/>
                  <w:rPr>
                    <w:szCs w:val="24"/>
                  </w:rPr>
                </w:pPr>
              </w:p>
            </w:tc>
            <w:tc>
              <w:tcPr>
                <w:tcW w:w="952"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2"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2"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92" w:type="dxa"/>
                <w:vAlign w:val="center"/>
              </w:tcPr>
              <w:p>
                <w:pPr>
                  <w:overflowPunct w:val="0"/>
                  <w:spacing w:line="220" w:lineRule="exact"/>
                  <w:jc w:val="center"/>
                  <w:textAlignment w:val="baseline"/>
                  <w:rPr>
                    <w:szCs w:val="24"/>
                  </w:rPr>
                </w:pPr>
              </w:p>
            </w:tc>
            <w:tc>
              <w:tcPr>
                <w:tcW w:w="993" w:type="dxa"/>
                <w:vAlign w:val="center"/>
              </w:tcPr>
              <w:p>
                <w:pPr>
                  <w:overflowPunct w:val="0"/>
                  <w:spacing w:line="220" w:lineRule="exact"/>
                  <w:jc w:val="center"/>
                  <w:textAlignment w:val="baseline"/>
                  <w:rPr>
                    <w:szCs w:val="24"/>
                  </w:rPr>
                </w:pPr>
              </w:p>
            </w:tc>
          </w:tr>
          <w:tr>
            <w:trPr>
              <w:cantSplit/>
              <w:trHeight w:val="249"/>
            </w:trPr>
            <w:tc>
              <w:tcPr>
                <w:tcW w:w="927" w:type="dxa"/>
                <w:vAlign w:val="center"/>
              </w:tcPr>
              <w:p>
                <w:pPr>
                  <w:overflowPunct w:val="0"/>
                  <w:spacing w:line="220" w:lineRule="exact"/>
                  <w:jc w:val="center"/>
                  <w:textAlignment w:val="baseline"/>
                  <w:rPr>
                    <w:szCs w:val="24"/>
                  </w:rPr>
                </w:pPr>
              </w:p>
            </w:tc>
            <w:tc>
              <w:tcPr>
                <w:tcW w:w="931" w:type="dxa"/>
                <w:vAlign w:val="center"/>
              </w:tcPr>
              <w:p>
                <w:pPr>
                  <w:overflowPunct w:val="0"/>
                  <w:spacing w:line="220" w:lineRule="exact"/>
                  <w:jc w:val="center"/>
                  <w:textAlignment w:val="baseline"/>
                  <w:rPr>
                    <w:szCs w:val="24"/>
                  </w:rPr>
                </w:pPr>
              </w:p>
            </w:tc>
            <w:tc>
              <w:tcPr>
                <w:tcW w:w="952"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2"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2"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92" w:type="dxa"/>
                <w:vAlign w:val="center"/>
              </w:tcPr>
              <w:p>
                <w:pPr>
                  <w:overflowPunct w:val="0"/>
                  <w:spacing w:line="220" w:lineRule="exact"/>
                  <w:jc w:val="center"/>
                  <w:textAlignment w:val="baseline"/>
                  <w:rPr>
                    <w:szCs w:val="24"/>
                  </w:rPr>
                </w:pPr>
              </w:p>
            </w:tc>
            <w:tc>
              <w:tcPr>
                <w:tcW w:w="993" w:type="dxa"/>
                <w:vAlign w:val="center"/>
              </w:tcPr>
              <w:p>
                <w:pPr>
                  <w:overflowPunct w:val="0"/>
                  <w:spacing w:line="220" w:lineRule="exact"/>
                  <w:jc w:val="center"/>
                  <w:textAlignment w:val="baseline"/>
                  <w:rPr>
                    <w:szCs w:val="24"/>
                  </w:rPr>
                </w:pPr>
              </w:p>
            </w:tc>
          </w:tr>
          <w:tr>
            <w:trPr>
              <w:cantSplit/>
              <w:trHeight w:val="249"/>
            </w:trPr>
            <w:tc>
              <w:tcPr>
                <w:tcW w:w="927" w:type="dxa"/>
                <w:vAlign w:val="center"/>
              </w:tcPr>
              <w:p>
                <w:pPr>
                  <w:overflowPunct w:val="0"/>
                  <w:spacing w:line="220" w:lineRule="exact"/>
                  <w:jc w:val="center"/>
                  <w:textAlignment w:val="baseline"/>
                  <w:rPr>
                    <w:szCs w:val="24"/>
                  </w:rPr>
                </w:pPr>
              </w:p>
            </w:tc>
            <w:tc>
              <w:tcPr>
                <w:tcW w:w="931" w:type="dxa"/>
                <w:vAlign w:val="center"/>
              </w:tcPr>
              <w:p>
                <w:pPr>
                  <w:overflowPunct w:val="0"/>
                  <w:spacing w:line="220" w:lineRule="exact"/>
                  <w:jc w:val="center"/>
                  <w:textAlignment w:val="baseline"/>
                  <w:rPr>
                    <w:szCs w:val="24"/>
                  </w:rPr>
                </w:pPr>
              </w:p>
            </w:tc>
            <w:tc>
              <w:tcPr>
                <w:tcW w:w="952"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2"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2"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92" w:type="dxa"/>
                <w:vAlign w:val="center"/>
              </w:tcPr>
              <w:p>
                <w:pPr>
                  <w:overflowPunct w:val="0"/>
                  <w:spacing w:line="220" w:lineRule="exact"/>
                  <w:jc w:val="center"/>
                  <w:textAlignment w:val="baseline"/>
                  <w:rPr>
                    <w:szCs w:val="24"/>
                  </w:rPr>
                </w:pPr>
              </w:p>
            </w:tc>
            <w:tc>
              <w:tcPr>
                <w:tcW w:w="993" w:type="dxa"/>
                <w:vAlign w:val="center"/>
              </w:tcPr>
              <w:p>
                <w:pPr>
                  <w:overflowPunct w:val="0"/>
                  <w:spacing w:line="220" w:lineRule="exact"/>
                  <w:jc w:val="center"/>
                  <w:textAlignment w:val="baseline"/>
                  <w:rPr>
                    <w:szCs w:val="24"/>
                  </w:rPr>
                </w:pPr>
              </w:p>
            </w:tc>
          </w:tr>
          <w:tr>
            <w:trPr>
              <w:cantSplit/>
              <w:trHeight w:val="249"/>
            </w:trPr>
            <w:tc>
              <w:tcPr>
                <w:tcW w:w="927" w:type="dxa"/>
                <w:vAlign w:val="center"/>
              </w:tcPr>
              <w:p>
                <w:pPr>
                  <w:overflowPunct w:val="0"/>
                  <w:spacing w:line="220" w:lineRule="exact"/>
                  <w:jc w:val="center"/>
                  <w:textAlignment w:val="baseline"/>
                  <w:rPr>
                    <w:szCs w:val="24"/>
                  </w:rPr>
                </w:pPr>
              </w:p>
            </w:tc>
            <w:tc>
              <w:tcPr>
                <w:tcW w:w="931" w:type="dxa"/>
                <w:vAlign w:val="center"/>
              </w:tcPr>
              <w:p>
                <w:pPr>
                  <w:overflowPunct w:val="0"/>
                  <w:spacing w:line="220" w:lineRule="exact"/>
                  <w:jc w:val="center"/>
                  <w:textAlignment w:val="baseline"/>
                  <w:rPr>
                    <w:szCs w:val="24"/>
                  </w:rPr>
                </w:pPr>
              </w:p>
            </w:tc>
            <w:tc>
              <w:tcPr>
                <w:tcW w:w="952"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2"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2"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92" w:type="dxa"/>
                <w:vAlign w:val="center"/>
              </w:tcPr>
              <w:p>
                <w:pPr>
                  <w:overflowPunct w:val="0"/>
                  <w:spacing w:line="220" w:lineRule="exact"/>
                  <w:jc w:val="center"/>
                  <w:textAlignment w:val="baseline"/>
                  <w:rPr>
                    <w:szCs w:val="24"/>
                  </w:rPr>
                </w:pPr>
              </w:p>
            </w:tc>
            <w:tc>
              <w:tcPr>
                <w:tcW w:w="993" w:type="dxa"/>
                <w:vAlign w:val="center"/>
              </w:tcPr>
              <w:p>
                <w:pPr>
                  <w:overflowPunct w:val="0"/>
                  <w:spacing w:line="220" w:lineRule="exact"/>
                  <w:jc w:val="center"/>
                  <w:textAlignment w:val="baseline"/>
                  <w:rPr>
                    <w:szCs w:val="24"/>
                  </w:rPr>
                </w:pPr>
              </w:p>
            </w:tc>
          </w:tr>
          <w:tr>
            <w:trPr>
              <w:cantSplit/>
              <w:trHeight w:val="249"/>
            </w:trPr>
            <w:tc>
              <w:tcPr>
                <w:tcW w:w="927" w:type="dxa"/>
                <w:vAlign w:val="center"/>
              </w:tcPr>
              <w:p>
                <w:pPr>
                  <w:overflowPunct w:val="0"/>
                  <w:spacing w:line="220" w:lineRule="exact"/>
                  <w:jc w:val="center"/>
                  <w:textAlignment w:val="baseline"/>
                  <w:rPr>
                    <w:szCs w:val="24"/>
                  </w:rPr>
                </w:pPr>
              </w:p>
            </w:tc>
            <w:tc>
              <w:tcPr>
                <w:tcW w:w="931" w:type="dxa"/>
                <w:vAlign w:val="center"/>
              </w:tcPr>
              <w:p>
                <w:pPr>
                  <w:overflowPunct w:val="0"/>
                  <w:spacing w:line="220" w:lineRule="exact"/>
                  <w:jc w:val="center"/>
                  <w:textAlignment w:val="baseline"/>
                  <w:rPr>
                    <w:szCs w:val="24"/>
                  </w:rPr>
                </w:pPr>
              </w:p>
            </w:tc>
            <w:tc>
              <w:tcPr>
                <w:tcW w:w="952"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2"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2"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92" w:type="dxa"/>
                <w:vAlign w:val="center"/>
              </w:tcPr>
              <w:p>
                <w:pPr>
                  <w:overflowPunct w:val="0"/>
                  <w:spacing w:line="220" w:lineRule="exact"/>
                  <w:jc w:val="center"/>
                  <w:textAlignment w:val="baseline"/>
                  <w:rPr>
                    <w:szCs w:val="24"/>
                  </w:rPr>
                </w:pPr>
              </w:p>
            </w:tc>
            <w:tc>
              <w:tcPr>
                <w:tcW w:w="993" w:type="dxa"/>
                <w:vAlign w:val="center"/>
              </w:tcPr>
              <w:p>
                <w:pPr>
                  <w:overflowPunct w:val="0"/>
                  <w:spacing w:line="220" w:lineRule="exact"/>
                  <w:jc w:val="center"/>
                  <w:textAlignment w:val="baseline"/>
                  <w:rPr>
                    <w:szCs w:val="24"/>
                  </w:rPr>
                </w:pPr>
              </w:p>
            </w:tc>
          </w:tr>
          <w:tr>
            <w:trPr>
              <w:cantSplit/>
              <w:trHeight w:val="249"/>
            </w:trPr>
            <w:tc>
              <w:tcPr>
                <w:tcW w:w="927" w:type="dxa"/>
                <w:vAlign w:val="center"/>
              </w:tcPr>
              <w:p>
                <w:pPr>
                  <w:overflowPunct w:val="0"/>
                  <w:spacing w:line="220" w:lineRule="exact"/>
                  <w:jc w:val="center"/>
                  <w:textAlignment w:val="baseline"/>
                  <w:rPr>
                    <w:szCs w:val="24"/>
                  </w:rPr>
                </w:pPr>
              </w:p>
            </w:tc>
            <w:tc>
              <w:tcPr>
                <w:tcW w:w="931" w:type="dxa"/>
                <w:vAlign w:val="center"/>
              </w:tcPr>
              <w:p>
                <w:pPr>
                  <w:overflowPunct w:val="0"/>
                  <w:spacing w:line="220" w:lineRule="exact"/>
                  <w:jc w:val="center"/>
                  <w:textAlignment w:val="baseline"/>
                  <w:rPr>
                    <w:szCs w:val="24"/>
                  </w:rPr>
                </w:pPr>
              </w:p>
            </w:tc>
            <w:tc>
              <w:tcPr>
                <w:tcW w:w="952"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2"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2"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92" w:type="dxa"/>
                <w:vAlign w:val="center"/>
              </w:tcPr>
              <w:p>
                <w:pPr>
                  <w:overflowPunct w:val="0"/>
                  <w:spacing w:line="220" w:lineRule="exact"/>
                  <w:jc w:val="center"/>
                  <w:textAlignment w:val="baseline"/>
                  <w:rPr>
                    <w:szCs w:val="24"/>
                  </w:rPr>
                </w:pPr>
              </w:p>
            </w:tc>
            <w:tc>
              <w:tcPr>
                <w:tcW w:w="993" w:type="dxa"/>
                <w:vAlign w:val="center"/>
              </w:tcPr>
              <w:p>
                <w:pPr>
                  <w:overflowPunct w:val="0"/>
                  <w:spacing w:line="220" w:lineRule="exact"/>
                  <w:jc w:val="center"/>
                  <w:textAlignment w:val="baseline"/>
                  <w:rPr>
                    <w:szCs w:val="24"/>
                  </w:rPr>
                </w:pPr>
              </w:p>
            </w:tc>
          </w:tr>
          <w:tr>
            <w:trPr>
              <w:cantSplit/>
              <w:trHeight w:val="249"/>
            </w:trPr>
            <w:tc>
              <w:tcPr>
                <w:tcW w:w="1858" w:type="dxa"/>
                <w:gridSpan w:val="2"/>
                <w:vAlign w:val="center"/>
              </w:tcPr>
              <w:p>
                <w:pPr>
                  <w:overflowPunct w:val="0"/>
                  <w:spacing w:line="220" w:lineRule="exact"/>
                  <w:jc w:val="both"/>
                  <w:textAlignment w:val="baseline"/>
                  <w:rPr>
                    <w:szCs w:val="24"/>
                  </w:rPr>
                </w:pPr>
                <w:r>
                  <w:rPr>
                    <w:szCs w:val="24"/>
                  </w:rPr>
                  <w:t>Iš viso</w:t>
                </w:r>
              </w:p>
            </w:tc>
            <w:tc>
              <w:tcPr>
                <w:tcW w:w="952"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2"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2"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53" w:type="dxa"/>
                <w:vAlign w:val="center"/>
              </w:tcPr>
              <w:p>
                <w:pPr>
                  <w:overflowPunct w:val="0"/>
                  <w:spacing w:line="220" w:lineRule="exact"/>
                  <w:jc w:val="center"/>
                  <w:textAlignment w:val="baseline"/>
                  <w:rPr>
                    <w:szCs w:val="24"/>
                  </w:rPr>
                </w:pPr>
              </w:p>
            </w:tc>
            <w:tc>
              <w:tcPr>
                <w:tcW w:w="992" w:type="dxa"/>
                <w:vAlign w:val="center"/>
              </w:tcPr>
              <w:p>
                <w:pPr>
                  <w:overflowPunct w:val="0"/>
                  <w:spacing w:line="220" w:lineRule="exact"/>
                  <w:jc w:val="center"/>
                  <w:textAlignment w:val="baseline"/>
                  <w:rPr>
                    <w:szCs w:val="24"/>
                  </w:rPr>
                </w:pPr>
              </w:p>
            </w:tc>
            <w:tc>
              <w:tcPr>
                <w:tcW w:w="993" w:type="dxa"/>
                <w:vAlign w:val="center"/>
              </w:tcPr>
              <w:p>
                <w:pPr>
                  <w:overflowPunct w:val="0"/>
                  <w:spacing w:line="220" w:lineRule="exact"/>
                  <w:jc w:val="center"/>
                  <w:textAlignment w:val="baseline"/>
                  <w:rPr>
                    <w:szCs w:val="24"/>
                  </w:rPr>
                </w:pPr>
              </w:p>
            </w:tc>
          </w:tr>
          <w:tr>
            <w:trPr>
              <w:cantSplit/>
              <w:trHeight w:val="249"/>
            </w:trPr>
            <w:tc>
              <w:tcPr>
                <w:tcW w:w="14283" w:type="dxa"/>
                <w:gridSpan w:val="15"/>
                <w:vAlign w:val="center"/>
              </w:tcPr>
              <w:p>
                <w:pPr>
                  <w:overflowPunct w:val="0"/>
                  <w:spacing w:line="220" w:lineRule="exact"/>
                  <w:jc w:val="both"/>
                  <w:textAlignment w:val="baseline"/>
                  <w:rPr>
                    <w:szCs w:val="24"/>
                  </w:rPr>
                </w:pPr>
                <w:r>
                  <w:rPr>
                    <w:szCs w:val="24"/>
                  </w:rPr>
                  <w:t>Likučio įkainojimo koregavimas</w:t>
                </w:r>
              </w:p>
            </w:tc>
            <w:tc>
              <w:tcPr>
                <w:tcW w:w="993" w:type="dxa"/>
                <w:vAlign w:val="center"/>
              </w:tcPr>
              <w:p>
                <w:pPr>
                  <w:overflowPunct w:val="0"/>
                  <w:spacing w:line="220" w:lineRule="exact"/>
                  <w:jc w:val="center"/>
                  <w:textAlignment w:val="baseline"/>
                  <w:rPr>
                    <w:szCs w:val="24"/>
                  </w:rPr>
                </w:pPr>
              </w:p>
            </w:tc>
          </w:tr>
          <w:tr>
            <w:trPr>
              <w:cantSplit/>
              <w:trHeight w:val="249"/>
            </w:trPr>
            <w:tc>
              <w:tcPr>
                <w:tcW w:w="14283" w:type="dxa"/>
                <w:gridSpan w:val="15"/>
                <w:vAlign w:val="center"/>
              </w:tcPr>
              <w:p>
                <w:pPr>
                  <w:overflowPunct w:val="0"/>
                  <w:spacing w:line="220" w:lineRule="exact"/>
                  <w:jc w:val="both"/>
                  <w:textAlignment w:val="baseline"/>
                  <w:rPr>
                    <w:szCs w:val="24"/>
                  </w:rPr>
                </w:pPr>
                <w:r>
                  <w:rPr>
                    <w:szCs w:val="24"/>
                  </w:rPr>
                  <w:t>Likučio perkainojimas / įkainojimas</w:t>
                </w:r>
              </w:p>
            </w:tc>
            <w:tc>
              <w:tcPr>
                <w:tcW w:w="993" w:type="dxa"/>
                <w:vAlign w:val="center"/>
              </w:tcPr>
              <w:p>
                <w:pPr>
                  <w:overflowPunct w:val="0"/>
                  <w:spacing w:line="220" w:lineRule="exact"/>
                  <w:jc w:val="center"/>
                  <w:textAlignment w:val="baseline"/>
                  <w:rPr>
                    <w:szCs w:val="24"/>
                  </w:rPr>
                </w:pPr>
              </w:p>
            </w:tc>
          </w:tr>
        </w:tbl>
        <w:p>
          <w:pPr>
            <w:overflowPunct w:val="0"/>
            <w:jc w:val="both"/>
            <w:textAlignment w:val="baseline"/>
          </w:pPr>
        </w:p>
        <w:p>
          <w:pPr>
            <w:overflowPunct w:val="0"/>
            <w:jc w:val="both"/>
            <w:textAlignment w:val="baseline"/>
          </w:pPr>
          <w:r>
            <w:t>Ūkininkas</w:t>
            <w:tab/>
            <w:tab/>
            <w:tab/>
            <w:t>_________________</w:t>
            <w:tab/>
            <w:tab/>
            <w:tab/>
            <w:t>_________________________</w:t>
          </w:r>
        </w:p>
        <w:p>
          <w:pPr>
            <w:overflowPunct w:val="0"/>
            <w:ind w:left="2596" w:firstLine="1298"/>
            <w:jc w:val="both"/>
            <w:textAlignment w:val="baseline"/>
          </w:pPr>
          <w:r>
            <w:rPr>
              <w:sz w:val="20"/>
            </w:rPr>
            <w:t>(parašas)</w:t>
            <w:tab/>
          </w:r>
          <w:r>
            <w:tab/>
            <w:tab/>
            <w:tab/>
          </w:r>
          <w:r>
            <w:rPr>
              <w:sz w:val="20"/>
            </w:rPr>
            <w:t>(vardas, pavardė)</w:t>
          </w:r>
        </w:p>
        <w:sdt>
          <w:sdtPr>
            <w:alias w:val="pabaiga"/>
            <w:tag w:val="part_4f97685546d04767b767326254775718"/>
            <w:lock w:val="sdtLocked"/>
            <w:richText/>
          </w:sdtPr>
          <w:sdtContent>
            <w:p>
              <w:pPr>
                <w:overflowPunct w:val="0"/>
                <w:jc w:val="center"/>
                <w:textAlignment w:val="baseline"/>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ba5c0506f11e4a698d921e3e46801">
            <w:r w:rsidRPr="00532B9F">
              <w:rPr>
                <w:rFonts w:ascii="Times New Roman" w:eastAsia="MS Mincho" w:hAnsi="Times New Roman"/>
                <w:sz w:val="20"/>
                <w:i/>
                <w:iCs/>
                <w:color w:val="0000FF" w:themeColor="hyperlink"/>
                <w:u w:val="single"/>
              </w:rPr>
              <w:t>3D-725</w:t>
            </w:r>
          </w:fldSimple>
          <w:r>
            <w:rPr>
              <w:rFonts w:ascii="Times New Roman" w:eastAsia="MS Mincho" w:hAnsi="Times New Roman"/>
              <w:sz w:val="20"/>
              <w:i/>
              <w:iCs/>
            </w:rPr>
            <w:t>,
2014-10-10,
paskelbta TAR 2014-10-10, i. k. 2014-13951            </w:t>
          </w:r>
        </w:p>
        <w:p/>
      </w:sdtContent>
    </w:sdt>
    <w:sdt>
      <w:sdtPr>
        <w:alias w:val="7 pr."/>
        <w:tag w:val="part_f5c5888f9d404157af7b941512064cc4"/>
        <w:lock w:val="sdtLocked"/>
        <w:richText/>
      </w:sdtPr>
      <w:sdtContent>
        <w:p>
          <w:pPr>
            <w:overflowPunct w:val="0"/>
            <w:jc w:val="both"/>
            <w:textAlignment w:val="baseline"/>
          </w:pPr>
          <w:r>
            <w:br w:type="page"/>
          </w:r>
        </w:p>
        <w:p>
          <w:pPr>
            <w:overflowPunct w:val="0"/>
            <w:ind w:firstLine="9639"/>
            <w:jc w:val="both"/>
            <w:textAlignment w:val="baseline"/>
            <w:rPr>
              <w:szCs w:val="24"/>
            </w:rPr>
          </w:pPr>
          <w:r>
            <w:rPr>
              <w:szCs w:val="24"/>
            </w:rPr>
            <w:t>Ūkininko ūkio veiklos</w:t>
          </w:r>
        </w:p>
        <w:p>
          <w:pPr>
            <w:overflowPunct w:val="0"/>
            <w:ind w:left="9639"/>
            <w:jc w:val="both"/>
            <w:textAlignment w:val="baseline"/>
            <w:rPr>
              <w:szCs w:val="24"/>
            </w:rPr>
          </w:pPr>
          <w:r>
            <w:rPr>
              <w:szCs w:val="24"/>
            </w:rPr>
            <w:t>buhalterinės apskaitos tvarkymo</w:t>
          </w:r>
        </w:p>
        <w:p>
          <w:pPr>
            <w:overflowPunct w:val="0"/>
            <w:ind w:left="9639"/>
            <w:jc w:val="both"/>
            <w:textAlignment w:val="baseline"/>
            <w:rPr>
              <w:szCs w:val="24"/>
            </w:rPr>
          </w:pPr>
          <w:r>
            <w:rPr>
              <w:szCs w:val="24"/>
            </w:rPr>
            <w:t xml:space="preserve">supaprastintąja apskaitos sistema rekomendacijų </w:t>
          </w:r>
        </w:p>
        <w:p>
          <w:pPr>
            <w:overflowPunct w:val="0"/>
            <w:ind w:left="9639"/>
            <w:jc w:val="both"/>
            <w:textAlignment w:val="baseline"/>
            <w:rPr>
              <w:szCs w:val="24"/>
            </w:rPr>
          </w:pPr>
          <w:sdt>
            <w:sdtPr>
              <w:alias w:val="Numeris"/>
              <w:tag w:val="nr_f5c5888f9d404157af7b941512064cc4"/>
              <w:lock w:val="sdtLocked"/>
              <w:richText/>
            </w:sdtPr>
            <w:sdtContent>
              <w:r>
                <w:rPr>
                  <w:szCs w:val="24"/>
                </w:rPr>
                <w:t>7</w:t>
              </w:r>
            </w:sdtContent>
          </w:sdt>
          <w:r>
            <w:rPr>
              <w:szCs w:val="24"/>
            </w:rPr>
            <w:t xml:space="preserve">  priedas</w:t>
          </w:r>
        </w:p>
        <w:p>
          <w:pPr>
            <w:keepNext/>
            <w:overflowPunct w:val="0"/>
            <w:jc w:val="center"/>
            <w:textAlignment w:val="baseline"/>
            <w:rPr>
              <w:b/>
            </w:rPr>
          </w:pPr>
        </w:p>
        <w:p>
          <w:pPr>
            <w:overflowPunct w:val="0"/>
            <w:jc w:val="center"/>
            <w:textAlignment w:val="baseline"/>
          </w:pPr>
          <w:r>
            <w:t>Ūkininko ________________________________ ūkis</w:t>
          </w:r>
        </w:p>
        <w:p>
          <w:pPr>
            <w:overflowPunct w:val="0"/>
            <w:jc w:val="center"/>
            <w:textAlignment w:val="baseline"/>
            <w:rPr>
              <w:sz w:val="10"/>
              <w:szCs w:val="10"/>
            </w:rPr>
          </w:pPr>
        </w:p>
        <w:p>
          <w:pPr>
            <w:rPr>
              <w:sz w:val="6"/>
              <w:szCs w:val="6"/>
            </w:rPr>
          </w:pPr>
        </w:p>
        <w:p>
          <w:pPr>
            <w:keepNext/>
            <w:overflowPunct w:val="0"/>
            <w:spacing w:line="200" w:lineRule="exact"/>
            <w:jc w:val="center"/>
            <w:textAlignment w:val="baseline"/>
            <w:rPr>
              <w:b/>
              <w:szCs w:val="22"/>
            </w:rPr>
          </w:pPr>
          <w:r>
            <w:rPr>
              <w:b/>
              <w:szCs w:val="22"/>
            </w:rPr>
            <w:t>GYVULIŲ ŽINIARAŠTIS</w:t>
          </w:r>
        </w:p>
        <w:p>
          <w:pPr>
            <w:rPr>
              <w:sz w:val="6"/>
              <w:szCs w:val="6"/>
            </w:rPr>
          </w:pPr>
        </w:p>
        <w:p>
          <w:pPr>
            <w:overflowPunct w:val="0"/>
            <w:jc w:val="center"/>
            <w:textAlignment w:val="baseline"/>
          </w:pPr>
          <w:r>
            <w:t>_____________ Nr. _____________</w:t>
          </w:r>
        </w:p>
        <w:p>
          <w:pPr>
            <w:overflowPunct w:val="0"/>
            <w:ind w:left="5812"/>
            <w:jc w:val="both"/>
            <w:textAlignment w:val="baseline"/>
            <w:rPr>
              <w:sz w:val="20"/>
            </w:rPr>
          </w:pPr>
          <w:r>
            <w:rPr>
              <w:sz w:val="20"/>
            </w:rPr>
            <w:t>(data)</w:t>
          </w:r>
        </w:p>
        <w:p>
          <w:pPr>
            <w:overflowPunct w:val="0"/>
            <w:ind w:left="5812"/>
            <w:jc w:val="both"/>
            <w:textAlignment w:val="baseline"/>
            <w:rPr>
              <w:sz w:val="20"/>
            </w:rPr>
          </w:pPr>
        </w:p>
        <w:tbl>
          <w:tblPr>
            <w:tblW w:w="5188" w:type="pct"/>
            <w:tblLook w:val="0000" w:firstRow="0" w:lastRow="0" w:firstColumn="0" w:lastColumn="0" w:noHBand="0" w:noVBand="0"/>
          </w:tblPr>
          <w:tblGrid>
            <w:gridCol w:w="2798"/>
            <w:gridCol w:w="992"/>
            <w:gridCol w:w="995"/>
            <w:gridCol w:w="993"/>
            <w:gridCol w:w="990"/>
            <w:gridCol w:w="1054"/>
            <w:gridCol w:w="1066"/>
            <w:gridCol w:w="1054"/>
            <w:gridCol w:w="1054"/>
            <w:gridCol w:w="1066"/>
            <w:gridCol w:w="1054"/>
            <w:gridCol w:w="1054"/>
            <w:gridCol w:w="1057"/>
          </w:tblGrid>
          <w:tr>
            <w:trPr>
              <w:trHeight w:hRule="exact" w:val="255"/>
            </w:trPr>
            <w:tc>
              <w:tcPr>
                <w:tcW w:w="919" w:type="pct"/>
                <w:vMerge w:val="restart"/>
                <w:tcBorders>
                  <w:top w:val="single" w:sz="4" w:space="0" w:color="auto"/>
                  <w:left w:val="single" w:sz="4" w:space="0" w:color="auto"/>
                  <w:right w:val="single" w:sz="4" w:space="0" w:color="auto"/>
                </w:tcBorders>
                <w:vAlign w:val="center"/>
              </w:tcPr>
              <w:p>
                <w:pPr>
                  <w:overflowPunct w:val="0"/>
                  <w:jc w:val="center"/>
                  <w:textAlignment w:val="baseline"/>
                  <w:rPr>
                    <w:sz w:val="22"/>
                    <w:szCs w:val="22"/>
                  </w:rPr>
                </w:pPr>
                <w:r>
                  <w:rPr>
                    <w:sz w:val="22"/>
                    <w:szCs w:val="22"/>
                  </w:rPr>
                  <w:t>Gyvulių grupė</w:t>
                </w:r>
              </w:p>
            </w:tc>
            <w:tc>
              <w:tcPr>
                <w:tcW w:w="2000" w:type="pct"/>
                <w:gridSpan w:val="6"/>
                <w:tcBorders>
                  <w:top w:val="single" w:sz="4" w:space="0" w:color="auto"/>
                  <w:left w:val="single" w:sz="4" w:space="0" w:color="auto"/>
                  <w:right w:val="single" w:sz="4" w:space="0" w:color="auto"/>
                </w:tcBorders>
                <w:vAlign w:val="center"/>
              </w:tcPr>
              <w:p>
                <w:pPr>
                  <w:overflowPunct w:val="0"/>
                  <w:jc w:val="center"/>
                  <w:textAlignment w:val="baseline"/>
                  <w:rPr>
                    <w:sz w:val="22"/>
                    <w:szCs w:val="22"/>
                  </w:rPr>
                </w:pPr>
              </w:p>
            </w:tc>
            <w:tc>
              <w:tcPr>
                <w:tcW w:w="2081" w:type="pct"/>
                <w:gridSpan w:val="6"/>
                <w:tcBorders>
                  <w:top w:val="single" w:sz="4" w:space="0" w:color="auto"/>
                  <w:left w:val="single" w:sz="4" w:space="0" w:color="auto"/>
                  <w:right w:val="single" w:sz="4" w:space="0" w:color="auto"/>
                </w:tcBorders>
                <w:vAlign w:val="center"/>
              </w:tcPr>
              <w:p>
                <w:pPr>
                  <w:overflowPunct w:val="0"/>
                  <w:jc w:val="center"/>
                  <w:textAlignment w:val="baseline"/>
                  <w:rPr>
                    <w:sz w:val="22"/>
                    <w:szCs w:val="22"/>
                  </w:rPr>
                </w:pPr>
              </w:p>
            </w:tc>
          </w:tr>
          <w:tr>
            <w:trPr>
              <w:trHeight w:hRule="exact" w:val="255"/>
            </w:trPr>
            <w:tc>
              <w:tcPr>
                <w:tcW w:w="919" w:type="pct"/>
                <w:vMerge/>
                <w:tcBorders>
                  <w:left w:val="single" w:sz="4" w:space="0" w:color="auto"/>
                  <w:right w:val="single" w:sz="4" w:space="0" w:color="auto"/>
                </w:tcBorders>
                <w:vAlign w:val="center"/>
              </w:tcPr>
              <w:p>
                <w:pPr>
                  <w:overflowPunct w:val="0"/>
                  <w:jc w:val="both"/>
                  <w:textAlignment w:val="baseline"/>
                  <w:rPr>
                    <w:sz w:val="22"/>
                    <w:szCs w:val="22"/>
                  </w:rPr>
                </w:pPr>
              </w:p>
            </w:tc>
            <w:tc>
              <w:tcPr>
                <w:tcW w:w="979" w:type="pct"/>
                <w:gridSpan w:val="3"/>
                <w:tcBorders>
                  <w:top w:val="single" w:sz="4" w:space="0" w:color="auto"/>
                  <w:left w:val="nil"/>
                  <w:right w:val="single" w:sz="4" w:space="0" w:color="auto"/>
                </w:tcBorders>
                <w:vAlign w:val="center"/>
              </w:tcPr>
              <w:p>
                <w:pPr>
                  <w:overflowPunct w:val="0"/>
                  <w:jc w:val="center"/>
                  <w:textAlignment w:val="baseline"/>
                  <w:rPr>
                    <w:sz w:val="22"/>
                    <w:szCs w:val="22"/>
                  </w:rPr>
                </w:pPr>
              </w:p>
            </w:tc>
            <w:tc>
              <w:tcPr>
                <w:tcW w:w="1021" w:type="pct"/>
                <w:gridSpan w:val="3"/>
                <w:tcBorders>
                  <w:top w:val="single" w:sz="4" w:space="0" w:color="auto"/>
                  <w:left w:val="single" w:sz="4" w:space="0" w:color="auto"/>
                  <w:right w:val="single" w:sz="4" w:space="0" w:color="auto"/>
                </w:tcBorders>
                <w:vAlign w:val="center"/>
              </w:tcPr>
              <w:p>
                <w:pPr>
                  <w:overflowPunct w:val="0"/>
                  <w:jc w:val="center"/>
                  <w:textAlignment w:val="baseline"/>
                  <w:rPr>
                    <w:sz w:val="22"/>
                    <w:szCs w:val="22"/>
                  </w:rPr>
                </w:pPr>
              </w:p>
            </w:tc>
            <w:tc>
              <w:tcPr>
                <w:tcW w:w="1042" w:type="pct"/>
                <w:gridSpan w:val="3"/>
                <w:tcBorders>
                  <w:top w:val="single" w:sz="4" w:space="0" w:color="auto"/>
                  <w:left w:val="single" w:sz="4" w:space="0" w:color="auto"/>
                  <w:right w:val="single" w:sz="4" w:space="0" w:color="auto"/>
                </w:tcBorders>
                <w:vAlign w:val="center"/>
              </w:tcPr>
              <w:p>
                <w:pPr>
                  <w:overflowPunct w:val="0"/>
                  <w:jc w:val="center"/>
                  <w:textAlignment w:val="baseline"/>
                  <w:rPr>
                    <w:sz w:val="22"/>
                    <w:szCs w:val="22"/>
                  </w:rPr>
                </w:pPr>
              </w:p>
            </w:tc>
            <w:tc>
              <w:tcPr>
                <w:tcW w:w="1039" w:type="pct"/>
                <w:gridSpan w:val="3"/>
                <w:tcBorders>
                  <w:top w:val="single" w:sz="4" w:space="0" w:color="auto"/>
                  <w:left w:val="single" w:sz="4" w:space="0" w:color="auto"/>
                  <w:right w:val="single" w:sz="4" w:space="0" w:color="auto"/>
                </w:tcBorders>
                <w:vAlign w:val="center"/>
              </w:tcPr>
              <w:p>
                <w:pPr>
                  <w:overflowPunct w:val="0"/>
                  <w:jc w:val="center"/>
                  <w:textAlignment w:val="baseline"/>
                  <w:rPr>
                    <w:sz w:val="22"/>
                    <w:szCs w:val="22"/>
                  </w:rPr>
                </w:pPr>
              </w:p>
            </w:tc>
          </w:tr>
          <w:tr>
            <w:trPr>
              <w:trHeight w:hRule="exact" w:val="501"/>
            </w:trPr>
            <w:tc>
              <w:tcPr>
                <w:tcW w:w="919" w:type="pct"/>
                <w:vMerge/>
                <w:tcBorders>
                  <w:left w:val="single" w:sz="4" w:space="0" w:color="auto"/>
                  <w:right w:val="single" w:sz="4" w:space="0" w:color="auto"/>
                </w:tcBorders>
                <w:vAlign w:val="center"/>
              </w:tcPr>
              <w:p>
                <w:pPr>
                  <w:overflowPunct w:val="0"/>
                  <w:jc w:val="both"/>
                  <w:textAlignment w:val="baseline"/>
                  <w:rPr>
                    <w:sz w:val="22"/>
                    <w:szCs w:val="22"/>
                  </w:rPr>
                </w:pPr>
              </w:p>
            </w:tc>
            <w:tc>
              <w:tcPr>
                <w:tcW w:w="326" w:type="pct"/>
                <w:tcBorders>
                  <w:top w:val="single" w:sz="4" w:space="0" w:color="auto"/>
                  <w:left w:val="nil"/>
                  <w:right w:val="single" w:sz="4" w:space="0" w:color="auto"/>
                </w:tcBorders>
                <w:vAlign w:val="center"/>
              </w:tcPr>
              <w:p>
                <w:pPr>
                  <w:overflowPunct w:val="0"/>
                  <w:jc w:val="center"/>
                  <w:textAlignment w:val="baseline"/>
                  <w:rPr>
                    <w:sz w:val="22"/>
                    <w:szCs w:val="22"/>
                  </w:rPr>
                </w:pPr>
                <w:r>
                  <w:rPr>
                    <w:sz w:val="22"/>
                    <w:szCs w:val="22"/>
                  </w:rPr>
                  <w:t>Skaičius</w:t>
                </w:r>
              </w:p>
            </w:tc>
            <w:tc>
              <w:tcPr>
                <w:tcW w:w="327" w:type="pct"/>
                <w:tcBorders>
                  <w:top w:val="single" w:sz="4" w:space="0" w:color="auto"/>
                  <w:left w:val="single" w:sz="4" w:space="0" w:color="auto"/>
                  <w:right w:val="single" w:sz="4" w:space="0" w:color="auto"/>
                </w:tcBorders>
                <w:vAlign w:val="center"/>
              </w:tcPr>
              <w:p>
                <w:pPr>
                  <w:overflowPunct w:val="0"/>
                  <w:jc w:val="center"/>
                  <w:textAlignment w:val="baseline"/>
                  <w:rPr>
                    <w:sz w:val="22"/>
                    <w:szCs w:val="22"/>
                  </w:rPr>
                </w:pPr>
                <w:r>
                  <w:rPr>
                    <w:sz w:val="22"/>
                    <w:szCs w:val="22"/>
                  </w:rPr>
                  <w:t>Svoris</w:t>
                </w:r>
              </w:p>
            </w:tc>
            <w:tc>
              <w:tcPr>
                <w:tcW w:w="326" w:type="pct"/>
                <w:tcBorders>
                  <w:top w:val="single" w:sz="4" w:space="0" w:color="auto"/>
                  <w:left w:val="single" w:sz="4" w:space="0" w:color="auto"/>
                  <w:right w:val="single" w:sz="4" w:space="0" w:color="auto"/>
                </w:tcBorders>
                <w:vAlign w:val="center"/>
              </w:tcPr>
              <w:p>
                <w:pPr>
                  <w:overflowPunct w:val="0"/>
                  <w:jc w:val="center"/>
                  <w:textAlignment w:val="baseline"/>
                  <w:rPr>
                    <w:sz w:val="22"/>
                    <w:szCs w:val="22"/>
                  </w:rPr>
                </w:pPr>
                <w:r>
                  <w:rPr>
                    <w:sz w:val="22"/>
                    <w:szCs w:val="22"/>
                  </w:rPr>
                  <w:t>Vertė, Eur</w:t>
                </w:r>
              </w:p>
            </w:tc>
            <w:tc>
              <w:tcPr>
                <w:tcW w:w="325" w:type="pct"/>
                <w:tcBorders>
                  <w:top w:val="single" w:sz="4" w:space="0" w:color="auto"/>
                  <w:left w:val="single" w:sz="4" w:space="0" w:color="auto"/>
                  <w:right w:val="single" w:sz="4" w:space="0" w:color="auto"/>
                </w:tcBorders>
                <w:vAlign w:val="center"/>
              </w:tcPr>
              <w:p>
                <w:pPr>
                  <w:overflowPunct w:val="0"/>
                  <w:jc w:val="center"/>
                  <w:textAlignment w:val="baseline"/>
                  <w:rPr>
                    <w:sz w:val="22"/>
                    <w:szCs w:val="22"/>
                  </w:rPr>
                </w:pPr>
                <w:r>
                  <w:rPr>
                    <w:sz w:val="22"/>
                    <w:szCs w:val="22"/>
                  </w:rPr>
                  <w:t>Skaičius</w:t>
                </w:r>
              </w:p>
            </w:tc>
            <w:tc>
              <w:tcPr>
                <w:tcW w:w="346" w:type="pct"/>
                <w:tcBorders>
                  <w:top w:val="single" w:sz="4" w:space="0" w:color="auto"/>
                  <w:left w:val="single" w:sz="4" w:space="0" w:color="auto"/>
                  <w:right w:val="single" w:sz="4" w:space="0" w:color="auto"/>
                </w:tcBorders>
                <w:vAlign w:val="center"/>
              </w:tcPr>
              <w:p>
                <w:pPr>
                  <w:overflowPunct w:val="0"/>
                  <w:jc w:val="center"/>
                  <w:textAlignment w:val="baseline"/>
                  <w:rPr>
                    <w:sz w:val="22"/>
                    <w:szCs w:val="22"/>
                  </w:rPr>
                </w:pPr>
                <w:r>
                  <w:rPr>
                    <w:sz w:val="22"/>
                    <w:szCs w:val="22"/>
                  </w:rPr>
                  <w:t>Svoris</w:t>
                </w:r>
              </w:p>
            </w:tc>
            <w:tc>
              <w:tcPr>
                <w:tcW w:w="350" w:type="pct"/>
                <w:tcBorders>
                  <w:top w:val="single" w:sz="4" w:space="0" w:color="auto"/>
                  <w:left w:val="single" w:sz="4" w:space="0" w:color="auto"/>
                  <w:right w:val="single" w:sz="4" w:space="0" w:color="auto"/>
                </w:tcBorders>
                <w:vAlign w:val="center"/>
              </w:tcPr>
              <w:p>
                <w:pPr>
                  <w:overflowPunct w:val="0"/>
                  <w:jc w:val="center"/>
                  <w:textAlignment w:val="baseline"/>
                  <w:rPr>
                    <w:sz w:val="22"/>
                    <w:szCs w:val="22"/>
                  </w:rPr>
                </w:pPr>
                <w:r>
                  <w:rPr>
                    <w:sz w:val="22"/>
                    <w:szCs w:val="22"/>
                  </w:rPr>
                  <w:t>Vertė, Eur</w:t>
                </w:r>
              </w:p>
            </w:tc>
            <w:tc>
              <w:tcPr>
                <w:tcW w:w="346" w:type="pct"/>
                <w:tcBorders>
                  <w:top w:val="single" w:sz="4" w:space="0" w:color="auto"/>
                  <w:left w:val="single" w:sz="4" w:space="0" w:color="auto"/>
                  <w:right w:val="single" w:sz="4" w:space="0" w:color="auto"/>
                </w:tcBorders>
                <w:vAlign w:val="center"/>
              </w:tcPr>
              <w:p>
                <w:pPr>
                  <w:overflowPunct w:val="0"/>
                  <w:jc w:val="center"/>
                  <w:textAlignment w:val="baseline"/>
                  <w:rPr>
                    <w:sz w:val="22"/>
                    <w:szCs w:val="22"/>
                  </w:rPr>
                </w:pPr>
                <w:r>
                  <w:rPr>
                    <w:sz w:val="22"/>
                    <w:szCs w:val="22"/>
                  </w:rPr>
                  <w:t>Skaičius</w:t>
                </w:r>
              </w:p>
            </w:tc>
            <w:tc>
              <w:tcPr>
                <w:tcW w:w="346" w:type="pct"/>
                <w:tcBorders>
                  <w:top w:val="single" w:sz="4" w:space="0" w:color="auto"/>
                  <w:left w:val="single" w:sz="4" w:space="0" w:color="auto"/>
                  <w:right w:val="single" w:sz="4" w:space="0" w:color="auto"/>
                </w:tcBorders>
                <w:vAlign w:val="center"/>
              </w:tcPr>
              <w:p>
                <w:pPr>
                  <w:overflowPunct w:val="0"/>
                  <w:jc w:val="center"/>
                  <w:textAlignment w:val="baseline"/>
                  <w:rPr>
                    <w:sz w:val="22"/>
                    <w:szCs w:val="22"/>
                  </w:rPr>
                </w:pPr>
                <w:r>
                  <w:rPr>
                    <w:sz w:val="22"/>
                    <w:szCs w:val="22"/>
                  </w:rPr>
                  <w:t>Svoris</w:t>
                </w:r>
              </w:p>
            </w:tc>
            <w:tc>
              <w:tcPr>
                <w:tcW w:w="350" w:type="pct"/>
                <w:tcBorders>
                  <w:top w:val="single" w:sz="4" w:space="0" w:color="auto"/>
                  <w:left w:val="single" w:sz="4" w:space="0" w:color="auto"/>
                  <w:right w:val="single" w:sz="4" w:space="0" w:color="auto"/>
                </w:tcBorders>
                <w:vAlign w:val="center"/>
              </w:tcPr>
              <w:p>
                <w:pPr>
                  <w:overflowPunct w:val="0"/>
                  <w:jc w:val="center"/>
                  <w:textAlignment w:val="baseline"/>
                  <w:rPr>
                    <w:sz w:val="22"/>
                    <w:szCs w:val="22"/>
                  </w:rPr>
                </w:pPr>
                <w:r>
                  <w:rPr>
                    <w:sz w:val="22"/>
                    <w:szCs w:val="22"/>
                  </w:rPr>
                  <w:t>Vertė, Eur</w:t>
                </w:r>
              </w:p>
            </w:tc>
            <w:tc>
              <w:tcPr>
                <w:tcW w:w="346" w:type="pct"/>
                <w:tcBorders>
                  <w:top w:val="single" w:sz="4" w:space="0" w:color="auto"/>
                  <w:left w:val="single" w:sz="4" w:space="0" w:color="auto"/>
                  <w:right w:val="single" w:sz="4" w:space="0" w:color="auto"/>
                </w:tcBorders>
                <w:vAlign w:val="center"/>
              </w:tcPr>
              <w:p>
                <w:pPr>
                  <w:overflowPunct w:val="0"/>
                  <w:jc w:val="center"/>
                  <w:textAlignment w:val="baseline"/>
                  <w:rPr>
                    <w:sz w:val="22"/>
                    <w:szCs w:val="22"/>
                  </w:rPr>
                </w:pPr>
                <w:r>
                  <w:rPr>
                    <w:sz w:val="22"/>
                    <w:szCs w:val="22"/>
                  </w:rPr>
                  <w:t>Skaičius</w:t>
                </w:r>
              </w:p>
            </w:tc>
            <w:tc>
              <w:tcPr>
                <w:tcW w:w="346" w:type="pct"/>
                <w:tcBorders>
                  <w:top w:val="single" w:sz="4" w:space="0" w:color="auto"/>
                  <w:left w:val="single" w:sz="4" w:space="0" w:color="auto"/>
                  <w:right w:val="single" w:sz="4" w:space="0" w:color="auto"/>
                </w:tcBorders>
                <w:vAlign w:val="center"/>
              </w:tcPr>
              <w:p>
                <w:pPr>
                  <w:overflowPunct w:val="0"/>
                  <w:jc w:val="center"/>
                  <w:textAlignment w:val="baseline"/>
                  <w:rPr>
                    <w:sz w:val="22"/>
                    <w:szCs w:val="22"/>
                  </w:rPr>
                </w:pPr>
                <w:r>
                  <w:rPr>
                    <w:sz w:val="22"/>
                    <w:szCs w:val="22"/>
                  </w:rPr>
                  <w:t>Svoris</w:t>
                </w:r>
              </w:p>
            </w:tc>
            <w:tc>
              <w:tcPr>
                <w:tcW w:w="347" w:type="pct"/>
                <w:tcBorders>
                  <w:top w:val="single" w:sz="4" w:space="0" w:color="auto"/>
                  <w:left w:val="single" w:sz="4" w:space="0" w:color="auto"/>
                  <w:right w:val="single" w:sz="4" w:space="0" w:color="auto"/>
                </w:tcBorders>
                <w:vAlign w:val="center"/>
              </w:tcPr>
              <w:p>
                <w:pPr>
                  <w:overflowPunct w:val="0"/>
                  <w:jc w:val="center"/>
                  <w:textAlignment w:val="baseline"/>
                  <w:rPr>
                    <w:sz w:val="22"/>
                    <w:szCs w:val="22"/>
                  </w:rPr>
                </w:pPr>
                <w:r>
                  <w:rPr>
                    <w:sz w:val="22"/>
                    <w:szCs w:val="22"/>
                  </w:rPr>
                  <w:t>Vertė, Eur</w:t>
                </w:r>
              </w:p>
            </w:tc>
          </w:tr>
          <w:tr>
            <w:trPr>
              <w:trHeight w:hRule="exact" w:val="255"/>
            </w:trPr>
            <w:tc>
              <w:tcPr>
                <w:tcW w:w="919" w:type="pct"/>
                <w:tcBorders>
                  <w:top w:val="single" w:sz="4" w:space="0" w:color="auto"/>
                  <w:left w:val="single" w:sz="4" w:space="0" w:color="auto"/>
                  <w:bottom w:val="single" w:sz="4" w:space="0" w:color="auto"/>
                  <w:right w:val="single" w:sz="4" w:space="0" w:color="auto"/>
                </w:tcBorders>
                <w:vAlign w:val="center"/>
              </w:tcPr>
              <w:p>
                <w:pPr>
                  <w:overflowPunct w:val="0"/>
                  <w:jc w:val="both"/>
                  <w:textAlignment w:val="baseline"/>
                  <w:rPr>
                    <w:sz w:val="22"/>
                    <w:szCs w:val="22"/>
                  </w:rPr>
                </w:pPr>
                <w:r>
                  <w:rPr>
                    <w:sz w:val="22"/>
                    <w:szCs w:val="22"/>
                  </w:rPr>
                  <w:t>Likutis laikotarpio pradžioje:</w:t>
                </w:r>
              </w:p>
            </w:tc>
            <w:tc>
              <w:tcPr>
                <w:tcW w:w="32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2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26" w:type="pct"/>
                <w:tcBorders>
                  <w:top w:val="single" w:sz="4" w:space="0" w:color="auto"/>
                  <w:left w:val="single" w:sz="4" w:space="0" w:color="auto"/>
                  <w:bottom w:val="single" w:sz="4" w:space="0" w:color="auto"/>
                  <w:right w:val="single" w:sz="4" w:space="0" w:color="auto"/>
                </w:tcBorders>
                <w:vAlign w:val="center"/>
              </w:tcPr>
              <w:p>
                <w:pPr>
                  <w:tabs>
                    <w:tab w:val="center" w:pos="4153"/>
                    <w:tab w:val="right" w:pos="8306"/>
                  </w:tabs>
                  <w:overflowPunct w:val="0"/>
                  <w:jc w:val="center"/>
                  <w:textAlignment w:val="baseline"/>
                  <w:rPr>
                    <w:sz w:val="22"/>
                    <w:szCs w:val="22"/>
                  </w:rPr>
                </w:pPr>
              </w:p>
            </w:tc>
            <w:tc>
              <w:tcPr>
                <w:tcW w:w="325"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50"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50"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r>
          <w:tr>
            <w:trPr>
              <w:trHeight w:hRule="exact" w:val="255"/>
            </w:trPr>
            <w:tc>
              <w:tcPr>
                <w:tcW w:w="919" w:type="pct"/>
                <w:tcBorders>
                  <w:top w:val="single" w:sz="4" w:space="0" w:color="auto"/>
                  <w:left w:val="single" w:sz="4" w:space="0" w:color="auto"/>
                  <w:bottom w:val="single" w:sz="4" w:space="0" w:color="auto"/>
                  <w:right w:val="single" w:sz="4" w:space="0" w:color="auto"/>
                </w:tcBorders>
                <w:vAlign w:val="center"/>
              </w:tcPr>
              <w:p>
                <w:pPr>
                  <w:overflowPunct w:val="0"/>
                  <w:jc w:val="both"/>
                  <w:textAlignment w:val="baseline"/>
                  <w:rPr>
                    <w:sz w:val="22"/>
                    <w:szCs w:val="22"/>
                  </w:rPr>
                </w:pPr>
                <w:r>
                  <w:rPr>
                    <w:sz w:val="22"/>
                    <w:szCs w:val="22"/>
                  </w:rPr>
                  <w:t>Gavimai</w:t>
                </w:r>
              </w:p>
            </w:tc>
            <w:tc>
              <w:tcPr>
                <w:tcW w:w="32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2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2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25"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50"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50"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r>
          <w:tr>
            <w:trPr>
              <w:trHeight w:hRule="exact" w:val="255"/>
            </w:trPr>
            <w:tc>
              <w:tcPr>
                <w:tcW w:w="919" w:type="pct"/>
                <w:tcBorders>
                  <w:top w:val="single" w:sz="4" w:space="0" w:color="auto"/>
                  <w:left w:val="single" w:sz="4" w:space="0" w:color="auto"/>
                  <w:bottom w:val="single" w:sz="4" w:space="0" w:color="auto"/>
                  <w:right w:val="single" w:sz="4" w:space="0" w:color="auto"/>
                </w:tcBorders>
                <w:vAlign w:val="center"/>
              </w:tcPr>
              <w:p>
                <w:pPr>
                  <w:overflowPunct w:val="0"/>
                  <w:jc w:val="both"/>
                  <w:textAlignment w:val="baseline"/>
                  <w:rPr>
                    <w:sz w:val="22"/>
                    <w:szCs w:val="22"/>
                  </w:rPr>
                </w:pPr>
              </w:p>
            </w:tc>
            <w:tc>
              <w:tcPr>
                <w:tcW w:w="32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2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2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25"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50"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50"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r>
          <w:tr>
            <w:trPr>
              <w:trHeight w:hRule="exact" w:val="255"/>
            </w:trPr>
            <w:tc>
              <w:tcPr>
                <w:tcW w:w="919" w:type="pct"/>
                <w:tcBorders>
                  <w:top w:val="single" w:sz="4" w:space="0" w:color="auto"/>
                  <w:left w:val="single" w:sz="4" w:space="0" w:color="auto"/>
                  <w:bottom w:val="single" w:sz="4" w:space="0" w:color="auto"/>
                  <w:right w:val="single" w:sz="4" w:space="0" w:color="auto"/>
                </w:tcBorders>
                <w:vAlign w:val="center"/>
              </w:tcPr>
              <w:p>
                <w:pPr>
                  <w:overflowPunct w:val="0"/>
                  <w:jc w:val="both"/>
                  <w:textAlignment w:val="baseline"/>
                  <w:rPr>
                    <w:sz w:val="22"/>
                    <w:szCs w:val="22"/>
                  </w:rPr>
                </w:pPr>
              </w:p>
            </w:tc>
            <w:tc>
              <w:tcPr>
                <w:tcW w:w="32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2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2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25"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50"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50"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r>
          <w:tr>
            <w:trPr>
              <w:trHeight w:hRule="exact" w:val="255"/>
            </w:trPr>
            <w:tc>
              <w:tcPr>
                <w:tcW w:w="919" w:type="pct"/>
                <w:tcBorders>
                  <w:top w:val="single" w:sz="4" w:space="0" w:color="auto"/>
                  <w:left w:val="single" w:sz="4" w:space="0" w:color="auto"/>
                  <w:bottom w:val="single" w:sz="4" w:space="0" w:color="auto"/>
                  <w:right w:val="single" w:sz="4" w:space="0" w:color="auto"/>
                </w:tcBorders>
                <w:vAlign w:val="center"/>
              </w:tcPr>
              <w:p>
                <w:pPr>
                  <w:overflowPunct w:val="0"/>
                  <w:jc w:val="both"/>
                  <w:textAlignment w:val="baseline"/>
                  <w:rPr>
                    <w:sz w:val="22"/>
                    <w:szCs w:val="22"/>
                  </w:rPr>
                </w:pPr>
              </w:p>
            </w:tc>
            <w:tc>
              <w:tcPr>
                <w:tcW w:w="32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2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2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25"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50"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50"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r>
          <w:tr>
            <w:trPr>
              <w:trHeight w:hRule="exact" w:val="255"/>
            </w:trPr>
            <w:tc>
              <w:tcPr>
                <w:tcW w:w="919" w:type="pct"/>
                <w:tcBorders>
                  <w:top w:val="single" w:sz="4" w:space="0" w:color="auto"/>
                  <w:left w:val="single" w:sz="4" w:space="0" w:color="auto"/>
                  <w:bottom w:val="single" w:sz="4" w:space="0" w:color="auto"/>
                  <w:right w:val="single" w:sz="4" w:space="0" w:color="auto"/>
                </w:tcBorders>
                <w:vAlign w:val="center"/>
              </w:tcPr>
              <w:p>
                <w:pPr>
                  <w:overflowPunct w:val="0"/>
                  <w:jc w:val="both"/>
                  <w:textAlignment w:val="baseline"/>
                  <w:rPr>
                    <w:sz w:val="22"/>
                    <w:szCs w:val="22"/>
                  </w:rPr>
                </w:pPr>
                <w:r>
                  <w:rPr>
                    <w:sz w:val="22"/>
                    <w:szCs w:val="22"/>
                  </w:rPr>
                  <w:t>Iš viso</w:t>
                </w:r>
              </w:p>
            </w:tc>
            <w:tc>
              <w:tcPr>
                <w:tcW w:w="32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2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2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25"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50"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50"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r>
          <w:tr>
            <w:trPr>
              <w:trHeight w:hRule="exact" w:val="255"/>
            </w:trPr>
            <w:tc>
              <w:tcPr>
                <w:tcW w:w="919" w:type="pct"/>
                <w:tcBorders>
                  <w:top w:val="single" w:sz="4" w:space="0" w:color="auto"/>
                  <w:left w:val="single" w:sz="4" w:space="0" w:color="auto"/>
                  <w:bottom w:val="single" w:sz="4" w:space="0" w:color="auto"/>
                  <w:right w:val="single" w:sz="4" w:space="0" w:color="auto"/>
                </w:tcBorders>
                <w:vAlign w:val="center"/>
              </w:tcPr>
              <w:p>
                <w:pPr>
                  <w:overflowPunct w:val="0"/>
                  <w:jc w:val="both"/>
                  <w:textAlignment w:val="baseline"/>
                  <w:rPr>
                    <w:sz w:val="22"/>
                    <w:szCs w:val="22"/>
                  </w:rPr>
                </w:pPr>
                <w:r>
                  <w:rPr>
                    <w:sz w:val="22"/>
                    <w:szCs w:val="22"/>
                  </w:rPr>
                  <w:t>Nurašymai:</w:t>
                </w:r>
              </w:p>
            </w:tc>
            <w:tc>
              <w:tcPr>
                <w:tcW w:w="32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2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2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25"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50"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50"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r>
          <w:tr>
            <w:trPr>
              <w:trHeight w:hRule="exact" w:val="255"/>
            </w:trPr>
            <w:tc>
              <w:tcPr>
                <w:tcW w:w="919" w:type="pct"/>
                <w:tcBorders>
                  <w:top w:val="single" w:sz="4" w:space="0" w:color="auto"/>
                  <w:left w:val="single" w:sz="4" w:space="0" w:color="auto"/>
                  <w:bottom w:val="single" w:sz="4" w:space="0" w:color="auto"/>
                  <w:right w:val="single" w:sz="4" w:space="0" w:color="auto"/>
                </w:tcBorders>
                <w:vAlign w:val="center"/>
              </w:tcPr>
              <w:p>
                <w:pPr>
                  <w:overflowPunct w:val="0"/>
                  <w:jc w:val="both"/>
                  <w:textAlignment w:val="baseline"/>
                  <w:rPr>
                    <w:sz w:val="22"/>
                    <w:szCs w:val="22"/>
                  </w:rPr>
                </w:pPr>
              </w:p>
            </w:tc>
            <w:tc>
              <w:tcPr>
                <w:tcW w:w="32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2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2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25"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50"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50"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r>
          <w:tr>
            <w:trPr>
              <w:trHeight w:hRule="exact" w:val="255"/>
            </w:trPr>
            <w:tc>
              <w:tcPr>
                <w:tcW w:w="919" w:type="pct"/>
                <w:tcBorders>
                  <w:top w:val="single" w:sz="4" w:space="0" w:color="auto"/>
                  <w:left w:val="single" w:sz="4" w:space="0" w:color="auto"/>
                  <w:bottom w:val="single" w:sz="4" w:space="0" w:color="auto"/>
                  <w:right w:val="single" w:sz="4" w:space="0" w:color="auto"/>
                </w:tcBorders>
                <w:vAlign w:val="center"/>
              </w:tcPr>
              <w:p>
                <w:pPr>
                  <w:overflowPunct w:val="0"/>
                  <w:jc w:val="both"/>
                  <w:textAlignment w:val="baseline"/>
                  <w:rPr>
                    <w:sz w:val="22"/>
                    <w:szCs w:val="22"/>
                  </w:rPr>
                </w:pPr>
              </w:p>
            </w:tc>
            <w:tc>
              <w:tcPr>
                <w:tcW w:w="32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2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2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25"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50"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50"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r>
          <w:tr>
            <w:trPr>
              <w:trHeight w:hRule="exact" w:val="255"/>
            </w:trPr>
            <w:tc>
              <w:tcPr>
                <w:tcW w:w="919" w:type="pct"/>
                <w:tcBorders>
                  <w:top w:val="single" w:sz="4" w:space="0" w:color="auto"/>
                  <w:left w:val="single" w:sz="4" w:space="0" w:color="auto"/>
                  <w:bottom w:val="single" w:sz="4" w:space="0" w:color="auto"/>
                  <w:right w:val="single" w:sz="4" w:space="0" w:color="auto"/>
                </w:tcBorders>
                <w:vAlign w:val="center"/>
              </w:tcPr>
              <w:p>
                <w:pPr>
                  <w:overflowPunct w:val="0"/>
                  <w:jc w:val="both"/>
                  <w:textAlignment w:val="baseline"/>
                  <w:rPr>
                    <w:sz w:val="22"/>
                    <w:szCs w:val="22"/>
                  </w:rPr>
                </w:pPr>
              </w:p>
            </w:tc>
            <w:tc>
              <w:tcPr>
                <w:tcW w:w="32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2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2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25"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50"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50"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r>
          <w:tr>
            <w:trPr>
              <w:trHeight w:hRule="exact" w:val="255"/>
            </w:trPr>
            <w:tc>
              <w:tcPr>
                <w:tcW w:w="919" w:type="pct"/>
                <w:tcBorders>
                  <w:top w:val="single" w:sz="4" w:space="0" w:color="auto"/>
                  <w:left w:val="single" w:sz="4" w:space="0" w:color="auto"/>
                  <w:bottom w:val="single" w:sz="4" w:space="0" w:color="auto"/>
                  <w:right w:val="single" w:sz="4" w:space="0" w:color="auto"/>
                </w:tcBorders>
                <w:vAlign w:val="center"/>
              </w:tcPr>
              <w:p>
                <w:pPr>
                  <w:overflowPunct w:val="0"/>
                  <w:jc w:val="both"/>
                  <w:textAlignment w:val="baseline"/>
                  <w:rPr>
                    <w:sz w:val="22"/>
                    <w:szCs w:val="22"/>
                  </w:rPr>
                </w:pPr>
                <w:r>
                  <w:rPr>
                    <w:sz w:val="22"/>
                    <w:szCs w:val="22"/>
                  </w:rPr>
                  <w:t>Iš viso</w:t>
                </w:r>
              </w:p>
            </w:tc>
            <w:tc>
              <w:tcPr>
                <w:tcW w:w="32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2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2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25"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50"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50"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r>
          <w:tr>
            <w:trPr>
              <w:trHeight w:hRule="exact" w:val="255"/>
            </w:trPr>
            <w:tc>
              <w:tcPr>
                <w:tcW w:w="919" w:type="pct"/>
                <w:tcBorders>
                  <w:top w:val="single" w:sz="4" w:space="0" w:color="auto"/>
                  <w:left w:val="single" w:sz="4" w:space="0" w:color="auto"/>
                  <w:bottom w:val="single" w:sz="4" w:space="0" w:color="auto"/>
                  <w:right w:val="single" w:sz="4" w:space="0" w:color="auto"/>
                </w:tcBorders>
                <w:vAlign w:val="center"/>
              </w:tcPr>
              <w:p>
                <w:pPr>
                  <w:overflowPunct w:val="0"/>
                  <w:jc w:val="both"/>
                  <w:textAlignment w:val="baseline"/>
                  <w:rPr>
                    <w:sz w:val="22"/>
                    <w:szCs w:val="22"/>
                  </w:rPr>
                </w:pPr>
                <w:r>
                  <w:rPr>
                    <w:sz w:val="22"/>
                    <w:szCs w:val="22"/>
                  </w:rPr>
                  <w:t>Likutis laikotarpio pabaigoje</w:t>
                </w:r>
              </w:p>
            </w:tc>
            <w:tc>
              <w:tcPr>
                <w:tcW w:w="32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2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2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25"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50"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50"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r>
          <w:tr>
            <w:trPr>
              <w:trHeight w:hRule="exact" w:val="513"/>
            </w:trPr>
            <w:tc>
              <w:tcPr>
                <w:tcW w:w="919" w:type="pct"/>
                <w:tcBorders>
                  <w:top w:val="single" w:sz="4" w:space="0" w:color="auto"/>
                  <w:left w:val="single" w:sz="4" w:space="0" w:color="auto"/>
                  <w:bottom w:val="single" w:sz="4" w:space="0" w:color="auto"/>
                  <w:right w:val="single" w:sz="4" w:space="0" w:color="auto"/>
                </w:tcBorders>
                <w:vAlign w:val="center"/>
              </w:tcPr>
              <w:p>
                <w:pPr>
                  <w:overflowPunct w:val="0"/>
                  <w:jc w:val="both"/>
                  <w:textAlignment w:val="baseline"/>
                  <w:rPr>
                    <w:sz w:val="22"/>
                    <w:szCs w:val="22"/>
                  </w:rPr>
                </w:pPr>
                <w:r>
                  <w:rPr>
                    <w:sz w:val="22"/>
                    <w:szCs w:val="22"/>
                  </w:rPr>
                  <w:t>Likučio įkainojimo koregavimas</w:t>
                </w:r>
              </w:p>
            </w:tc>
            <w:tc>
              <w:tcPr>
                <w:tcW w:w="32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2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2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25"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50"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50"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r>
          <w:tr>
            <w:trPr>
              <w:trHeight w:hRule="exact" w:val="577"/>
            </w:trPr>
            <w:tc>
              <w:tcPr>
                <w:tcW w:w="919" w:type="pct"/>
                <w:tcBorders>
                  <w:top w:val="single" w:sz="4" w:space="0" w:color="auto"/>
                  <w:left w:val="single" w:sz="4" w:space="0" w:color="auto"/>
                  <w:bottom w:val="single" w:sz="4" w:space="0" w:color="auto"/>
                  <w:right w:val="single" w:sz="4" w:space="0" w:color="auto"/>
                </w:tcBorders>
                <w:vAlign w:val="center"/>
              </w:tcPr>
              <w:p>
                <w:pPr>
                  <w:overflowPunct w:val="0"/>
                  <w:jc w:val="both"/>
                  <w:textAlignment w:val="baseline"/>
                  <w:rPr>
                    <w:sz w:val="22"/>
                    <w:szCs w:val="22"/>
                  </w:rPr>
                </w:pPr>
                <w:r>
                  <w:rPr>
                    <w:sz w:val="22"/>
                    <w:szCs w:val="22"/>
                  </w:rPr>
                  <w:t>Likučio perkainojimas (įkainojimas)</w:t>
                </w:r>
              </w:p>
            </w:tc>
            <w:tc>
              <w:tcPr>
                <w:tcW w:w="32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2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2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25"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50"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50"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c>
              <w:tcPr>
                <w:tcW w:w="34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rPr>
                </w:pPr>
              </w:p>
            </w:tc>
          </w:tr>
        </w:tbl>
        <w:p>
          <w:pPr>
            <w:overflowPunct w:val="0"/>
            <w:jc w:val="both"/>
            <w:textAlignment w:val="baseline"/>
          </w:pPr>
        </w:p>
        <w:p>
          <w:pPr>
            <w:overflowPunct w:val="0"/>
            <w:jc w:val="both"/>
            <w:textAlignment w:val="baseline"/>
          </w:pPr>
          <w:r>
            <w:t>Ūkininkas</w:t>
            <w:tab/>
            <w:tab/>
            <w:tab/>
            <w:t>_________________</w:t>
            <w:tab/>
            <w:tab/>
            <w:tab/>
            <w:t>_________________________</w:t>
          </w:r>
        </w:p>
        <w:p>
          <w:pPr>
            <w:overflowPunct w:val="0"/>
            <w:ind w:left="2596" w:firstLine="1298"/>
            <w:jc w:val="both"/>
            <w:textAlignment w:val="baseline"/>
          </w:pPr>
          <w:r>
            <w:rPr>
              <w:sz w:val="20"/>
            </w:rPr>
            <w:t>(parašas)</w:t>
            <w:tab/>
          </w:r>
          <w:r>
            <w:tab/>
            <w:tab/>
            <w:tab/>
          </w:r>
          <w:r>
            <w:rPr>
              <w:sz w:val="20"/>
            </w:rPr>
            <w:t>(vardas, pavardė)</w:t>
          </w:r>
        </w:p>
        <w:sdt>
          <w:sdtPr>
            <w:alias w:val="pabaiga"/>
            <w:tag w:val="part_9bf6c0167c1e4e4e8258dc2780302c3d"/>
            <w:lock w:val="sdtLocked"/>
            <w:richText/>
          </w:sdtPr>
          <w:sdtContent>
            <w:p>
              <w:pPr>
                <w:overflowPunct w:val="0"/>
                <w:jc w:val="center"/>
                <w:textAlignment w:val="baseline"/>
              </w:pPr>
              <w: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ba5c0506f11e4a698d921e3e46801">
            <w:r w:rsidRPr="00532B9F">
              <w:rPr>
                <w:rFonts w:ascii="Times New Roman" w:eastAsia="MS Mincho" w:hAnsi="Times New Roman"/>
                <w:sz w:val="20"/>
                <w:i/>
                <w:iCs/>
                <w:color w:val="0000FF" w:themeColor="hyperlink"/>
                <w:u w:val="single"/>
              </w:rPr>
              <w:t>3D-725</w:t>
            </w:r>
          </w:fldSimple>
          <w:r>
            <w:rPr>
              <w:rFonts w:ascii="Times New Roman" w:eastAsia="MS Mincho" w:hAnsi="Times New Roman"/>
              <w:sz w:val="20"/>
              <w:i/>
              <w:iCs/>
            </w:rPr>
            <w:t>,
2014-10-10,
paskelbta TAR 2014-10-10, i. k. 2014-13951            </w:t>
          </w:r>
        </w:p>
        <w:p/>
      </w:sdtContent>
    </w:sdt>
    <w:sdt>
      <w:sdtPr>
        <w:alias w:val="8 pr."/>
        <w:tag w:val="part_5ddde3ef58264d8c8fccce717a507c49"/>
        <w:lock w:val="sdtLocked"/>
        <w:richText/>
      </w:sdtPr>
      <w:sdtContent>
        <w:p>
          <w:pPr>
            <w:overflowPunct w:val="0"/>
            <w:jc w:val="both"/>
            <w:textAlignment w:val="baseline"/>
            <w:rPr>
              <w:szCs w:val="24"/>
            </w:rPr>
          </w:pPr>
          <w:r>
            <w:rPr>
              <w:szCs w:val="24"/>
            </w:rPr>
            <w:br w:type="page"/>
          </w:r>
        </w:p>
        <w:p>
          <w:pPr>
            <w:overflowPunct w:val="0"/>
            <w:ind w:left="9639"/>
            <w:jc w:val="both"/>
            <w:textAlignment w:val="baseline"/>
            <w:rPr>
              <w:szCs w:val="24"/>
            </w:rPr>
          </w:pPr>
          <w:r>
            <w:rPr>
              <w:szCs w:val="24"/>
            </w:rPr>
            <w:t>Ūkininko ūkio veiklos</w:t>
          </w:r>
        </w:p>
        <w:p>
          <w:pPr>
            <w:overflowPunct w:val="0"/>
            <w:ind w:left="9639"/>
            <w:jc w:val="both"/>
            <w:textAlignment w:val="baseline"/>
            <w:rPr>
              <w:szCs w:val="24"/>
            </w:rPr>
          </w:pPr>
          <w:r>
            <w:rPr>
              <w:szCs w:val="24"/>
            </w:rPr>
            <w:t>buhalterinės apskaitos tvarkymo</w:t>
          </w:r>
        </w:p>
        <w:p>
          <w:pPr>
            <w:overflowPunct w:val="0"/>
            <w:ind w:left="9639"/>
            <w:jc w:val="both"/>
            <w:textAlignment w:val="baseline"/>
            <w:rPr>
              <w:szCs w:val="24"/>
            </w:rPr>
          </w:pPr>
          <w:r>
            <w:rPr>
              <w:szCs w:val="24"/>
            </w:rPr>
            <w:t xml:space="preserve">supaprastintąja apskaitos sistema rekomendacijų </w:t>
          </w:r>
        </w:p>
        <w:p>
          <w:pPr>
            <w:overflowPunct w:val="0"/>
            <w:ind w:left="9639"/>
            <w:jc w:val="both"/>
            <w:textAlignment w:val="baseline"/>
            <w:rPr>
              <w:szCs w:val="24"/>
            </w:rPr>
          </w:pPr>
          <w:sdt>
            <w:sdtPr>
              <w:alias w:val="Numeris"/>
              <w:tag w:val="nr_5ddde3ef58264d8c8fccce717a507c49"/>
              <w:lock w:val="sdtLocked"/>
              <w:richText/>
            </w:sdtPr>
            <w:sdtContent>
              <w:r>
                <w:rPr>
                  <w:szCs w:val="24"/>
                </w:rPr>
                <w:t>8</w:t>
              </w:r>
            </w:sdtContent>
          </w:sdt>
          <w:r>
            <w:rPr>
              <w:szCs w:val="24"/>
            </w:rPr>
            <w:t xml:space="preserve">  priedas</w:t>
          </w:r>
        </w:p>
        <w:p>
          <w:pPr>
            <w:keepNext/>
            <w:overflowPunct w:val="0"/>
            <w:spacing w:line="276" w:lineRule="auto"/>
            <w:jc w:val="center"/>
            <w:textAlignment w:val="baseline"/>
            <w:rPr>
              <w:b/>
            </w:rPr>
          </w:pPr>
        </w:p>
        <w:p>
          <w:pPr>
            <w:overflowPunct w:val="0"/>
            <w:spacing w:line="276" w:lineRule="auto"/>
            <w:jc w:val="center"/>
            <w:textAlignment w:val="baseline"/>
            <w:rPr>
              <w:sz w:val="6"/>
              <w:szCs w:val="6"/>
            </w:rPr>
          </w:pPr>
          <w:r>
            <w:t>Ūkininko ________________________________ ūkis</w:t>
          </w:r>
        </w:p>
        <w:p>
          <w:pPr>
            <w:keepNext/>
            <w:overflowPunct w:val="0"/>
            <w:spacing w:line="276" w:lineRule="auto"/>
            <w:jc w:val="center"/>
            <w:textAlignment w:val="baseline"/>
            <w:rPr>
              <w:b/>
              <w:szCs w:val="22"/>
            </w:rPr>
          </w:pPr>
          <w:r>
            <w:rPr>
              <w:b/>
              <w:szCs w:val="22"/>
            </w:rPr>
            <w:t>ATSISKAITYMŲ UŽ PVM ŽINIARAŠTIS</w:t>
          </w:r>
        </w:p>
        <w:p>
          <w:pPr>
            <w:overflowPunct w:val="0"/>
            <w:spacing w:line="276" w:lineRule="auto"/>
            <w:jc w:val="center"/>
            <w:textAlignment w:val="baseline"/>
          </w:pPr>
          <w:r>
            <w:t>_____________ Nr. _____________</w:t>
          </w:r>
        </w:p>
        <w:p>
          <w:pPr>
            <w:overflowPunct w:val="0"/>
            <w:spacing w:line="276" w:lineRule="auto"/>
            <w:ind w:left="5812"/>
            <w:jc w:val="both"/>
            <w:textAlignment w:val="baseline"/>
            <w:rPr>
              <w:sz w:val="20"/>
            </w:rPr>
          </w:pPr>
          <w:r>
            <w:rPr>
              <w:sz w:val="20"/>
            </w:rPr>
            <w:t>(data)</w:t>
          </w:r>
        </w:p>
        <w:p>
          <w:pPr>
            <w:overflowPunct w:val="0"/>
            <w:ind w:left="5812"/>
            <w:jc w:val="both"/>
            <w:textAlignment w:val="baseline"/>
            <w:rPr>
              <w:sz w:val="20"/>
            </w:rPr>
          </w:pPr>
        </w:p>
        <w:tbl>
          <w:tblPr>
            <w:tblW w:w="512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83"/>
            <w:gridCol w:w="1083"/>
            <w:gridCol w:w="1089"/>
            <w:gridCol w:w="1086"/>
            <w:gridCol w:w="951"/>
            <w:gridCol w:w="954"/>
            <w:gridCol w:w="1125"/>
            <w:gridCol w:w="1125"/>
            <w:gridCol w:w="1053"/>
            <w:gridCol w:w="1056"/>
            <w:gridCol w:w="1056"/>
            <w:gridCol w:w="1056"/>
            <w:gridCol w:w="1020"/>
            <w:gridCol w:w="1005"/>
          </w:tblGrid>
          <w:tr>
            <w:trPr>
              <w:cantSplit/>
              <w:trHeight w:hRule="exact" w:val="295"/>
            </w:trPr>
            <w:tc>
              <w:tcPr>
                <w:tcW w:w="460" w:type="pct"/>
                <w:vMerge w:val="restart"/>
                <w:vAlign w:val="center"/>
              </w:tcPr>
              <w:p>
                <w:pPr>
                  <w:overflowPunct w:val="0"/>
                  <w:jc w:val="center"/>
                  <w:textAlignment w:val="baseline"/>
                </w:pPr>
                <w:r>
                  <w:t>Data</w:t>
                </w:r>
              </w:p>
            </w:tc>
            <w:tc>
              <w:tcPr>
                <w:tcW w:w="722" w:type="pct"/>
                <w:gridSpan w:val="2"/>
                <w:vAlign w:val="center"/>
              </w:tcPr>
              <w:p>
                <w:pPr>
                  <w:overflowPunct w:val="0"/>
                  <w:jc w:val="center"/>
                  <w:textAlignment w:val="baseline"/>
                </w:pPr>
                <w:r>
                  <w:t>Pirkimai</w:t>
                </w:r>
              </w:p>
            </w:tc>
            <w:tc>
              <w:tcPr>
                <w:tcW w:w="994" w:type="pct"/>
                <w:gridSpan w:val="3"/>
                <w:vAlign w:val="center"/>
              </w:tcPr>
              <w:p>
                <w:pPr>
                  <w:overflowPunct w:val="0"/>
                  <w:jc w:val="center"/>
                  <w:textAlignment w:val="baseline"/>
                </w:pPr>
                <w:r>
                  <w:t>Pardavimai</w:t>
                </w:r>
              </w:p>
            </w:tc>
            <w:tc>
              <w:tcPr>
                <w:tcW w:w="374" w:type="pct"/>
                <w:vMerge w:val="restart"/>
                <w:vAlign w:val="center"/>
              </w:tcPr>
              <w:p>
                <w:pPr>
                  <w:overflowPunct w:val="0"/>
                  <w:jc w:val="center"/>
                  <w:textAlignment w:val="baseline"/>
                </w:pPr>
                <w:r>
                  <w:t>Priklauso mokėti į iždą, Eur</w:t>
                </w:r>
              </w:p>
            </w:tc>
            <w:tc>
              <w:tcPr>
                <w:tcW w:w="374" w:type="pct"/>
                <w:vMerge w:val="restart"/>
                <w:vAlign w:val="center"/>
              </w:tcPr>
              <w:p>
                <w:pPr>
                  <w:overflowPunct w:val="0"/>
                  <w:jc w:val="center"/>
                  <w:textAlignment w:val="baseline"/>
                </w:pPr>
                <w:r>
                  <w:t>Priklauso grąžinti iš iždo, Eur</w:t>
                </w:r>
              </w:p>
            </w:tc>
            <w:tc>
              <w:tcPr>
                <w:tcW w:w="1403" w:type="pct"/>
                <w:gridSpan w:val="4"/>
                <w:vAlign w:val="center"/>
              </w:tcPr>
              <w:p>
                <w:pPr>
                  <w:overflowPunct w:val="0"/>
                  <w:jc w:val="center"/>
                  <w:textAlignment w:val="baseline"/>
                </w:pPr>
                <w:r>
                  <w:t>Sumokėta / gauta</w:t>
                </w:r>
              </w:p>
            </w:tc>
            <w:tc>
              <w:tcPr>
                <w:tcW w:w="673" w:type="pct"/>
                <w:gridSpan w:val="2"/>
                <w:vAlign w:val="center"/>
              </w:tcPr>
              <w:p>
                <w:pPr>
                  <w:overflowPunct w:val="0"/>
                  <w:jc w:val="center"/>
                  <w:textAlignment w:val="baseline"/>
                </w:pPr>
                <w:r>
                  <w:t>Skola</w:t>
                </w:r>
              </w:p>
            </w:tc>
          </w:tr>
          <w:tr>
            <w:trPr>
              <w:cantSplit/>
              <w:trHeight w:val="496"/>
            </w:trPr>
            <w:tc>
              <w:tcPr>
                <w:tcW w:w="460" w:type="pct"/>
                <w:vMerge/>
                <w:vAlign w:val="center"/>
              </w:tcPr>
              <w:p>
                <w:pPr>
                  <w:overflowPunct w:val="0"/>
                  <w:jc w:val="center"/>
                  <w:textAlignment w:val="baseline"/>
                </w:pPr>
              </w:p>
            </w:tc>
            <w:tc>
              <w:tcPr>
                <w:tcW w:w="360" w:type="pct"/>
                <w:vMerge w:val="restart"/>
                <w:vAlign w:val="center"/>
              </w:tcPr>
              <w:p>
                <w:pPr>
                  <w:overflowPunct w:val="0"/>
                  <w:jc w:val="center"/>
                  <w:textAlignment w:val="baseline"/>
                </w:pPr>
                <w:r>
                  <w:t>Apmo-kestina-moji vertė, Eur</w:t>
                </w:r>
              </w:p>
            </w:tc>
            <w:tc>
              <w:tcPr>
                <w:tcW w:w="362" w:type="pct"/>
                <w:vMerge w:val="restart"/>
                <w:vAlign w:val="center"/>
              </w:tcPr>
              <w:p>
                <w:pPr>
                  <w:overflowPunct w:val="0"/>
                  <w:jc w:val="center"/>
                  <w:textAlignment w:val="baseline"/>
                </w:pPr>
                <w:r>
                  <w:t>PVM suma, Eur</w:t>
                </w:r>
              </w:p>
            </w:tc>
            <w:tc>
              <w:tcPr>
                <w:tcW w:w="361" w:type="pct"/>
                <w:vMerge w:val="restart"/>
                <w:vAlign w:val="center"/>
              </w:tcPr>
              <w:p>
                <w:pPr>
                  <w:overflowPunct w:val="0"/>
                  <w:jc w:val="center"/>
                  <w:textAlignment w:val="baseline"/>
                </w:pPr>
                <w:r>
                  <w:t>Apmo-kestina-moji vertė, Eur</w:t>
                </w:r>
              </w:p>
            </w:tc>
            <w:tc>
              <w:tcPr>
                <w:tcW w:w="633" w:type="pct"/>
                <w:gridSpan w:val="2"/>
                <w:vAlign w:val="center"/>
              </w:tcPr>
              <w:p>
                <w:pPr>
                  <w:overflowPunct w:val="0"/>
                  <w:jc w:val="center"/>
                  <w:textAlignment w:val="baseline"/>
                </w:pPr>
                <w:r>
                  <w:t xml:space="preserve">PVM </w:t>
                </w:r>
              </w:p>
            </w:tc>
            <w:tc>
              <w:tcPr>
                <w:tcW w:w="374" w:type="pct"/>
                <w:vMerge/>
                <w:vAlign w:val="center"/>
              </w:tcPr>
              <w:p>
                <w:pPr>
                  <w:overflowPunct w:val="0"/>
                  <w:jc w:val="center"/>
                  <w:textAlignment w:val="baseline"/>
                </w:pPr>
              </w:p>
            </w:tc>
            <w:tc>
              <w:tcPr>
                <w:tcW w:w="374" w:type="pct"/>
                <w:vMerge/>
                <w:vAlign w:val="center"/>
              </w:tcPr>
              <w:p>
                <w:pPr>
                  <w:overflowPunct w:val="0"/>
                  <w:jc w:val="center"/>
                  <w:textAlignment w:val="baseline"/>
                </w:pPr>
              </w:p>
            </w:tc>
            <w:tc>
              <w:tcPr>
                <w:tcW w:w="350" w:type="pct"/>
                <w:vMerge w:val="restart"/>
                <w:vAlign w:val="center"/>
              </w:tcPr>
              <w:p>
                <w:pPr>
                  <w:overflowPunct w:val="0"/>
                  <w:jc w:val="center"/>
                  <w:textAlignment w:val="baseline"/>
                </w:pPr>
                <w:r>
                  <w:t>Data</w:t>
                </w:r>
              </w:p>
            </w:tc>
            <w:tc>
              <w:tcPr>
                <w:tcW w:w="351" w:type="pct"/>
                <w:vMerge w:val="restart"/>
                <w:vAlign w:val="center"/>
              </w:tcPr>
              <w:p>
                <w:pPr>
                  <w:overflowPunct w:val="0"/>
                  <w:jc w:val="center"/>
                  <w:textAlignment w:val="baseline"/>
                </w:pPr>
                <w:r>
                  <w:t>Doku-mento Nr.</w:t>
                </w:r>
              </w:p>
            </w:tc>
            <w:tc>
              <w:tcPr>
                <w:tcW w:w="351" w:type="pct"/>
                <w:vMerge w:val="restart"/>
                <w:vAlign w:val="center"/>
              </w:tcPr>
              <w:p>
                <w:pPr>
                  <w:overflowPunct w:val="0"/>
                  <w:jc w:val="center"/>
                  <w:textAlignment w:val="baseline"/>
                </w:pPr>
                <w:r>
                  <w:t>Sumo-kėta į iždą, Eur</w:t>
                </w:r>
              </w:p>
            </w:tc>
            <w:tc>
              <w:tcPr>
                <w:tcW w:w="351" w:type="pct"/>
                <w:vMerge w:val="restart"/>
                <w:vAlign w:val="center"/>
              </w:tcPr>
              <w:p>
                <w:pPr>
                  <w:overflowPunct w:val="0"/>
                  <w:jc w:val="center"/>
                  <w:textAlignment w:val="baseline"/>
                </w:pPr>
                <w:r>
                  <w:t>Gauta iš iždo, Eur</w:t>
                </w:r>
              </w:p>
            </w:tc>
            <w:tc>
              <w:tcPr>
                <w:tcW w:w="339" w:type="pct"/>
                <w:vMerge w:val="restart"/>
                <w:vAlign w:val="center"/>
              </w:tcPr>
              <w:p>
                <w:pPr>
                  <w:overflowPunct w:val="0"/>
                  <w:jc w:val="center"/>
                  <w:textAlignment w:val="baseline"/>
                </w:pPr>
                <w:r>
                  <w:t>Ūkiui, Eur</w:t>
                </w:r>
              </w:p>
            </w:tc>
            <w:tc>
              <w:tcPr>
                <w:tcW w:w="334" w:type="pct"/>
                <w:vMerge w:val="restart"/>
                <w:vAlign w:val="center"/>
              </w:tcPr>
              <w:p>
                <w:pPr>
                  <w:overflowPunct w:val="0"/>
                  <w:jc w:val="center"/>
                  <w:textAlignment w:val="baseline"/>
                </w:pPr>
                <w:r>
                  <w:t>Iždui, Eur</w:t>
                </w:r>
              </w:p>
            </w:tc>
          </w:tr>
          <w:tr>
            <w:trPr>
              <w:cantSplit/>
              <w:trHeight w:val="912"/>
            </w:trPr>
            <w:tc>
              <w:tcPr>
                <w:tcW w:w="460" w:type="pct"/>
                <w:vMerge/>
                <w:vAlign w:val="center"/>
              </w:tcPr>
              <w:p>
                <w:pPr>
                  <w:overflowPunct w:val="0"/>
                  <w:jc w:val="center"/>
                  <w:textAlignment w:val="baseline"/>
                </w:pPr>
              </w:p>
            </w:tc>
            <w:tc>
              <w:tcPr>
                <w:tcW w:w="360" w:type="pct"/>
                <w:vMerge/>
                <w:vAlign w:val="center"/>
              </w:tcPr>
              <w:p>
                <w:pPr>
                  <w:overflowPunct w:val="0"/>
                  <w:jc w:val="center"/>
                  <w:textAlignment w:val="baseline"/>
                </w:pPr>
              </w:p>
            </w:tc>
            <w:tc>
              <w:tcPr>
                <w:tcW w:w="362" w:type="pct"/>
                <w:vMerge/>
                <w:vAlign w:val="center"/>
              </w:tcPr>
              <w:p>
                <w:pPr>
                  <w:overflowPunct w:val="0"/>
                  <w:jc w:val="center"/>
                  <w:textAlignment w:val="baseline"/>
                </w:pPr>
              </w:p>
            </w:tc>
            <w:tc>
              <w:tcPr>
                <w:tcW w:w="361" w:type="pct"/>
                <w:vMerge/>
                <w:vAlign w:val="center"/>
              </w:tcPr>
              <w:p>
                <w:pPr>
                  <w:overflowPunct w:val="0"/>
                  <w:jc w:val="center"/>
                  <w:textAlignment w:val="baseline"/>
                </w:pPr>
              </w:p>
            </w:tc>
            <w:tc>
              <w:tcPr>
                <w:tcW w:w="316" w:type="pct"/>
                <w:vAlign w:val="center"/>
              </w:tcPr>
              <w:p>
                <w:pPr>
                  <w:overflowPunct w:val="0"/>
                  <w:jc w:val="center"/>
                  <w:textAlignment w:val="baseline"/>
                </w:pPr>
                <w:r>
                  <w:t>Tarifas</w:t>
                </w:r>
              </w:p>
            </w:tc>
            <w:tc>
              <w:tcPr>
                <w:tcW w:w="317" w:type="pct"/>
                <w:vAlign w:val="center"/>
              </w:tcPr>
              <w:p>
                <w:pPr>
                  <w:overflowPunct w:val="0"/>
                  <w:jc w:val="center"/>
                  <w:textAlignment w:val="baseline"/>
                </w:pPr>
                <w:r>
                  <w:t>Suma, Eur</w:t>
                </w:r>
              </w:p>
            </w:tc>
            <w:tc>
              <w:tcPr>
                <w:tcW w:w="374" w:type="pct"/>
                <w:vMerge/>
                <w:vAlign w:val="center"/>
              </w:tcPr>
              <w:p>
                <w:pPr>
                  <w:overflowPunct w:val="0"/>
                  <w:jc w:val="center"/>
                  <w:textAlignment w:val="baseline"/>
                </w:pPr>
              </w:p>
            </w:tc>
            <w:tc>
              <w:tcPr>
                <w:tcW w:w="374" w:type="pct"/>
                <w:vMerge/>
                <w:vAlign w:val="center"/>
              </w:tcPr>
              <w:p>
                <w:pPr>
                  <w:overflowPunct w:val="0"/>
                  <w:jc w:val="center"/>
                  <w:textAlignment w:val="baseline"/>
                </w:pPr>
              </w:p>
            </w:tc>
            <w:tc>
              <w:tcPr>
                <w:tcW w:w="350" w:type="pct"/>
                <w:vMerge/>
                <w:vAlign w:val="center"/>
              </w:tcPr>
              <w:p>
                <w:pPr>
                  <w:overflowPunct w:val="0"/>
                  <w:jc w:val="center"/>
                  <w:textAlignment w:val="baseline"/>
                </w:pPr>
              </w:p>
            </w:tc>
            <w:tc>
              <w:tcPr>
                <w:tcW w:w="351" w:type="pct"/>
                <w:vMerge/>
                <w:vAlign w:val="center"/>
              </w:tcPr>
              <w:p>
                <w:pPr>
                  <w:overflowPunct w:val="0"/>
                  <w:jc w:val="center"/>
                  <w:textAlignment w:val="baseline"/>
                </w:pPr>
              </w:p>
            </w:tc>
            <w:tc>
              <w:tcPr>
                <w:tcW w:w="351" w:type="pct"/>
                <w:vMerge/>
                <w:vAlign w:val="center"/>
              </w:tcPr>
              <w:p>
                <w:pPr>
                  <w:overflowPunct w:val="0"/>
                  <w:jc w:val="center"/>
                  <w:textAlignment w:val="baseline"/>
                </w:pPr>
              </w:p>
            </w:tc>
            <w:tc>
              <w:tcPr>
                <w:tcW w:w="351" w:type="pct"/>
                <w:vMerge/>
                <w:vAlign w:val="center"/>
              </w:tcPr>
              <w:p>
                <w:pPr>
                  <w:overflowPunct w:val="0"/>
                  <w:jc w:val="center"/>
                  <w:textAlignment w:val="baseline"/>
                </w:pPr>
              </w:p>
            </w:tc>
            <w:tc>
              <w:tcPr>
                <w:tcW w:w="339" w:type="pct"/>
                <w:vMerge/>
                <w:vAlign w:val="center"/>
              </w:tcPr>
              <w:p>
                <w:pPr>
                  <w:overflowPunct w:val="0"/>
                  <w:jc w:val="center"/>
                  <w:textAlignment w:val="baseline"/>
                </w:pPr>
              </w:p>
            </w:tc>
            <w:tc>
              <w:tcPr>
                <w:tcW w:w="334" w:type="pct"/>
                <w:vMerge/>
                <w:vAlign w:val="center"/>
              </w:tcPr>
              <w:p>
                <w:pPr>
                  <w:overflowPunct w:val="0"/>
                  <w:jc w:val="center"/>
                  <w:textAlignment w:val="baseline"/>
                </w:pPr>
              </w:p>
            </w:tc>
          </w:tr>
          <w:tr>
            <w:trPr>
              <w:cantSplit/>
              <w:trHeight w:hRule="exact" w:val="255"/>
            </w:trPr>
            <w:tc>
              <w:tcPr>
                <w:tcW w:w="460" w:type="pct"/>
                <w:vAlign w:val="center"/>
              </w:tcPr>
              <w:p>
                <w:pPr>
                  <w:overflowPunct w:val="0"/>
                  <w:jc w:val="center"/>
                  <w:textAlignment w:val="baseline"/>
                </w:pPr>
                <w:r>
                  <w:t>1.</w:t>
                </w:r>
              </w:p>
            </w:tc>
            <w:tc>
              <w:tcPr>
                <w:tcW w:w="360" w:type="pct"/>
                <w:vAlign w:val="center"/>
              </w:tcPr>
              <w:p>
                <w:pPr>
                  <w:overflowPunct w:val="0"/>
                  <w:jc w:val="center"/>
                  <w:textAlignment w:val="baseline"/>
                </w:pPr>
                <w:r>
                  <w:t>2.</w:t>
                </w:r>
              </w:p>
            </w:tc>
            <w:tc>
              <w:tcPr>
                <w:tcW w:w="362" w:type="pct"/>
                <w:vAlign w:val="center"/>
              </w:tcPr>
              <w:p>
                <w:pPr>
                  <w:overflowPunct w:val="0"/>
                  <w:jc w:val="center"/>
                  <w:textAlignment w:val="baseline"/>
                </w:pPr>
                <w:r>
                  <w:t>3.</w:t>
                </w:r>
              </w:p>
            </w:tc>
            <w:tc>
              <w:tcPr>
                <w:tcW w:w="361" w:type="pct"/>
                <w:vAlign w:val="center"/>
              </w:tcPr>
              <w:p>
                <w:pPr>
                  <w:overflowPunct w:val="0"/>
                  <w:jc w:val="center"/>
                  <w:textAlignment w:val="baseline"/>
                </w:pPr>
                <w:r>
                  <w:t>4.</w:t>
                </w:r>
              </w:p>
            </w:tc>
            <w:tc>
              <w:tcPr>
                <w:tcW w:w="316" w:type="pct"/>
                <w:vAlign w:val="center"/>
              </w:tcPr>
              <w:p>
                <w:pPr>
                  <w:overflowPunct w:val="0"/>
                  <w:jc w:val="center"/>
                  <w:textAlignment w:val="baseline"/>
                </w:pPr>
                <w:r>
                  <w:t>5.</w:t>
                </w:r>
              </w:p>
            </w:tc>
            <w:tc>
              <w:tcPr>
                <w:tcW w:w="317" w:type="pct"/>
                <w:vAlign w:val="center"/>
              </w:tcPr>
              <w:p>
                <w:pPr>
                  <w:overflowPunct w:val="0"/>
                  <w:jc w:val="center"/>
                  <w:textAlignment w:val="baseline"/>
                </w:pPr>
                <w:r>
                  <w:t>6.</w:t>
                </w:r>
              </w:p>
            </w:tc>
            <w:tc>
              <w:tcPr>
                <w:tcW w:w="374" w:type="pct"/>
                <w:vAlign w:val="center"/>
              </w:tcPr>
              <w:p>
                <w:pPr>
                  <w:overflowPunct w:val="0"/>
                  <w:jc w:val="center"/>
                  <w:textAlignment w:val="baseline"/>
                </w:pPr>
                <w:r>
                  <w:t>7.</w:t>
                </w:r>
              </w:p>
            </w:tc>
            <w:tc>
              <w:tcPr>
                <w:tcW w:w="374" w:type="pct"/>
                <w:vAlign w:val="center"/>
              </w:tcPr>
              <w:p>
                <w:pPr>
                  <w:overflowPunct w:val="0"/>
                  <w:jc w:val="center"/>
                  <w:textAlignment w:val="baseline"/>
                </w:pPr>
                <w:r>
                  <w:t>8.</w:t>
                </w:r>
              </w:p>
            </w:tc>
            <w:tc>
              <w:tcPr>
                <w:tcW w:w="350" w:type="pct"/>
                <w:vAlign w:val="center"/>
              </w:tcPr>
              <w:p>
                <w:pPr>
                  <w:overflowPunct w:val="0"/>
                  <w:jc w:val="center"/>
                  <w:textAlignment w:val="baseline"/>
                </w:pPr>
                <w:r>
                  <w:t>9.</w:t>
                </w:r>
              </w:p>
            </w:tc>
            <w:tc>
              <w:tcPr>
                <w:tcW w:w="351" w:type="pct"/>
                <w:vAlign w:val="center"/>
              </w:tcPr>
              <w:p>
                <w:pPr>
                  <w:overflowPunct w:val="0"/>
                  <w:jc w:val="center"/>
                  <w:textAlignment w:val="baseline"/>
                </w:pPr>
                <w:r>
                  <w:t>10.</w:t>
                </w:r>
              </w:p>
            </w:tc>
            <w:tc>
              <w:tcPr>
                <w:tcW w:w="351" w:type="pct"/>
                <w:vAlign w:val="center"/>
              </w:tcPr>
              <w:p>
                <w:pPr>
                  <w:overflowPunct w:val="0"/>
                  <w:jc w:val="center"/>
                  <w:textAlignment w:val="baseline"/>
                </w:pPr>
                <w:r>
                  <w:t>11.</w:t>
                </w:r>
              </w:p>
            </w:tc>
            <w:tc>
              <w:tcPr>
                <w:tcW w:w="351" w:type="pct"/>
                <w:vAlign w:val="center"/>
              </w:tcPr>
              <w:p>
                <w:pPr>
                  <w:overflowPunct w:val="0"/>
                  <w:jc w:val="center"/>
                  <w:textAlignment w:val="baseline"/>
                </w:pPr>
                <w:r>
                  <w:t>12.</w:t>
                </w:r>
              </w:p>
            </w:tc>
            <w:tc>
              <w:tcPr>
                <w:tcW w:w="339" w:type="pct"/>
                <w:vAlign w:val="center"/>
              </w:tcPr>
              <w:p>
                <w:pPr>
                  <w:overflowPunct w:val="0"/>
                  <w:jc w:val="center"/>
                  <w:textAlignment w:val="baseline"/>
                </w:pPr>
                <w:r>
                  <w:t>13.</w:t>
                </w:r>
              </w:p>
            </w:tc>
            <w:tc>
              <w:tcPr>
                <w:tcW w:w="334" w:type="pct"/>
                <w:vAlign w:val="center"/>
              </w:tcPr>
              <w:p>
                <w:pPr>
                  <w:overflowPunct w:val="0"/>
                  <w:jc w:val="center"/>
                  <w:textAlignment w:val="baseline"/>
                </w:pPr>
                <w:r>
                  <w:t>14.</w:t>
                </w:r>
              </w:p>
            </w:tc>
          </w:tr>
          <w:tr>
            <w:trPr>
              <w:cantSplit/>
              <w:trHeight w:hRule="exact" w:val="255"/>
            </w:trPr>
            <w:tc>
              <w:tcPr>
                <w:tcW w:w="460" w:type="pct"/>
                <w:vAlign w:val="center"/>
              </w:tcPr>
              <w:p>
                <w:pPr>
                  <w:overflowPunct w:val="0"/>
                  <w:jc w:val="both"/>
                  <w:textAlignment w:val="baseline"/>
                  <w:rPr>
                    <w:b/>
                    <w:bCs/>
                  </w:rPr>
                </w:pPr>
              </w:p>
            </w:tc>
            <w:tc>
              <w:tcPr>
                <w:tcW w:w="360" w:type="pct"/>
                <w:vAlign w:val="center"/>
              </w:tcPr>
              <w:p>
                <w:pPr>
                  <w:overflowPunct w:val="0"/>
                  <w:jc w:val="both"/>
                  <w:textAlignment w:val="baseline"/>
                </w:pPr>
              </w:p>
            </w:tc>
            <w:tc>
              <w:tcPr>
                <w:tcW w:w="362" w:type="pct"/>
                <w:vAlign w:val="center"/>
              </w:tcPr>
              <w:p>
                <w:pPr>
                  <w:overflowPunct w:val="0"/>
                  <w:jc w:val="both"/>
                  <w:textAlignment w:val="baseline"/>
                </w:pPr>
              </w:p>
            </w:tc>
            <w:tc>
              <w:tcPr>
                <w:tcW w:w="361" w:type="pct"/>
                <w:vAlign w:val="center"/>
              </w:tcPr>
              <w:p>
                <w:pPr>
                  <w:overflowPunct w:val="0"/>
                  <w:jc w:val="both"/>
                  <w:textAlignment w:val="baseline"/>
                </w:pPr>
              </w:p>
            </w:tc>
            <w:tc>
              <w:tcPr>
                <w:tcW w:w="316" w:type="pct"/>
                <w:vAlign w:val="center"/>
              </w:tcPr>
              <w:p>
                <w:pPr>
                  <w:overflowPunct w:val="0"/>
                  <w:jc w:val="both"/>
                  <w:textAlignment w:val="baseline"/>
                </w:pPr>
              </w:p>
            </w:tc>
            <w:tc>
              <w:tcPr>
                <w:tcW w:w="317" w:type="pct"/>
                <w:vAlign w:val="center"/>
              </w:tcPr>
              <w:p>
                <w:pPr>
                  <w:overflowPunct w:val="0"/>
                  <w:jc w:val="both"/>
                  <w:textAlignment w:val="baseline"/>
                </w:pPr>
              </w:p>
            </w:tc>
            <w:tc>
              <w:tcPr>
                <w:tcW w:w="374" w:type="pct"/>
                <w:vAlign w:val="center"/>
              </w:tcPr>
              <w:p>
                <w:pPr>
                  <w:overflowPunct w:val="0"/>
                  <w:jc w:val="both"/>
                  <w:textAlignment w:val="baseline"/>
                </w:pPr>
              </w:p>
            </w:tc>
            <w:tc>
              <w:tcPr>
                <w:tcW w:w="374" w:type="pct"/>
                <w:vAlign w:val="center"/>
              </w:tcPr>
              <w:p>
                <w:pPr>
                  <w:overflowPunct w:val="0"/>
                  <w:jc w:val="both"/>
                  <w:textAlignment w:val="baseline"/>
                </w:pPr>
              </w:p>
            </w:tc>
            <w:tc>
              <w:tcPr>
                <w:tcW w:w="350" w:type="pct"/>
                <w:vAlign w:val="center"/>
              </w:tcPr>
              <w:p>
                <w:pPr>
                  <w:overflowPunct w:val="0"/>
                  <w:jc w:val="both"/>
                  <w:textAlignment w:val="baseline"/>
                </w:pPr>
              </w:p>
            </w:tc>
            <w:tc>
              <w:tcPr>
                <w:tcW w:w="351" w:type="pct"/>
                <w:vAlign w:val="center"/>
              </w:tcPr>
              <w:p>
                <w:pPr>
                  <w:overflowPunct w:val="0"/>
                  <w:jc w:val="both"/>
                  <w:textAlignment w:val="baseline"/>
                </w:pPr>
              </w:p>
            </w:tc>
            <w:tc>
              <w:tcPr>
                <w:tcW w:w="351" w:type="pct"/>
                <w:vAlign w:val="center"/>
              </w:tcPr>
              <w:p>
                <w:pPr>
                  <w:overflowPunct w:val="0"/>
                  <w:jc w:val="both"/>
                  <w:textAlignment w:val="baseline"/>
                </w:pPr>
              </w:p>
            </w:tc>
            <w:tc>
              <w:tcPr>
                <w:tcW w:w="351" w:type="pct"/>
                <w:vAlign w:val="center"/>
              </w:tcPr>
              <w:p>
                <w:pPr>
                  <w:overflowPunct w:val="0"/>
                  <w:jc w:val="both"/>
                  <w:textAlignment w:val="baseline"/>
                </w:pPr>
              </w:p>
            </w:tc>
            <w:tc>
              <w:tcPr>
                <w:tcW w:w="339" w:type="pct"/>
                <w:vAlign w:val="center"/>
              </w:tcPr>
              <w:p>
                <w:pPr>
                  <w:overflowPunct w:val="0"/>
                  <w:jc w:val="both"/>
                  <w:textAlignment w:val="baseline"/>
                </w:pPr>
              </w:p>
            </w:tc>
            <w:tc>
              <w:tcPr>
                <w:tcW w:w="334" w:type="pct"/>
                <w:vAlign w:val="center"/>
              </w:tcPr>
              <w:p>
                <w:pPr>
                  <w:overflowPunct w:val="0"/>
                  <w:jc w:val="both"/>
                  <w:textAlignment w:val="baseline"/>
                </w:pPr>
              </w:p>
            </w:tc>
          </w:tr>
          <w:tr>
            <w:trPr>
              <w:cantSplit/>
              <w:trHeight w:hRule="exact" w:val="255"/>
            </w:trPr>
            <w:tc>
              <w:tcPr>
                <w:tcW w:w="460" w:type="pct"/>
                <w:vAlign w:val="center"/>
              </w:tcPr>
              <w:p>
                <w:pPr>
                  <w:overflowPunct w:val="0"/>
                  <w:jc w:val="both"/>
                  <w:textAlignment w:val="baseline"/>
                </w:pPr>
              </w:p>
            </w:tc>
            <w:tc>
              <w:tcPr>
                <w:tcW w:w="360" w:type="pct"/>
                <w:vAlign w:val="center"/>
              </w:tcPr>
              <w:p>
                <w:pPr>
                  <w:overflowPunct w:val="0"/>
                  <w:jc w:val="both"/>
                  <w:textAlignment w:val="baseline"/>
                </w:pPr>
              </w:p>
            </w:tc>
            <w:tc>
              <w:tcPr>
                <w:tcW w:w="362" w:type="pct"/>
                <w:vAlign w:val="center"/>
              </w:tcPr>
              <w:p>
                <w:pPr>
                  <w:overflowPunct w:val="0"/>
                  <w:jc w:val="both"/>
                  <w:textAlignment w:val="baseline"/>
                </w:pPr>
              </w:p>
            </w:tc>
            <w:tc>
              <w:tcPr>
                <w:tcW w:w="361" w:type="pct"/>
                <w:vAlign w:val="center"/>
              </w:tcPr>
              <w:p>
                <w:pPr>
                  <w:overflowPunct w:val="0"/>
                  <w:jc w:val="both"/>
                  <w:textAlignment w:val="baseline"/>
                </w:pPr>
              </w:p>
            </w:tc>
            <w:tc>
              <w:tcPr>
                <w:tcW w:w="316" w:type="pct"/>
                <w:vAlign w:val="center"/>
              </w:tcPr>
              <w:p>
                <w:pPr>
                  <w:overflowPunct w:val="0"/>
                  <w:jc w:val="both"/>
                  <w:textAlignment w:val="baseline"/>
                </w:pPr>
              </w:p>
            </w:tc>
            <w:tc>
              <w:tcPr>
                <w:tcW w:w="317" w:type="pct"/>
                <w:vAlign w:val="center"/>
              </w:tcPr>
              <w:p>
                <w:pPr>
                  <w:overflowPunct w:val="0"/>
                  <w:jc w:val="both"/>
                  <w:textAlignment w:val="baseline"/>
                </w:pPr>
              </w:p>
            </w:tc>
            <w:tc>
              <w:tcPr>
                <w:tcW w:w="374" w:type="pct"/>
                <w:vAlign w:val="center"/>
              </w:tcPr>
              <w:p>
                <w:pPr>
                  <w:overflowPunct w:val="0"/>
                  <w:jc w:val="both"/>
                  <w:textAlignment w:val="baseline"/>
                </w:pPr>
              </w:p>
            </w:tc>
            <w:tc>
              <w:tcPr>
                <w:tcW w:w="374" w:type="pct"/>
                <w:vAlign w:val="center"/>
              </w:tcPr>
              <w:p>
                <w:pPr>
                  <w:overflowPunct w:val="0"/>
                  <w:jc w:val="both"/>
                  <w:textAlignment w:val="baseline"/>
                </w:pPr>
              </w:p>
            </w:tc>
            <w:tc>
              <w:tcPr>
                <w:tcW w:w="350" w:type="pct"/>
                <w:vAlign w:val="center"/>
              </w:tcPr>
              <w:p>
                <w:pPr>
                  <w:overflowPunct w:val="0"/>
                  <w:jc w:val="both"/>
                  <w:textAlignment w:val="baseline"/>
                </w:pPr>
              </w:p>
            </w:tc>
            <w:tc>
              <w:tcPr>
                <w:tcW w:w="351" w:type="pct"/>
                <w:vAlign w:val="center"/>
              </w:tcPr>
              <w:p>
                <w:pPr>
                  <w:overflowPunct w:val="0"/>
                  <w:jc w:val="both"/>
                  <w:textAlignment w:val="baseline"/>
                </w:pPr>
              </w:p>
            </w:tc>
            <w:tc>
              <w:tcPr>
                <w:tcW w:w="351" w:type="pct"/>
                <w:vAlign w:val="center"/>
              </w:tcPr>
              <w:p>
                <w:pPr>
                  <w:overflowPunct w:val="0"/>
                  <w:jc w:val="both"/>
                  <w:textAlignment w:val="baseline"/>
                </w:pPr>
              </w:p>
            </w:tc>
            <w:tc>
              <w:tcPr>
                <w:tcW w:w="351" w:type="pct"/>
                <w:vAlign w:val="center"/>
              </w:tcPr>
              <w:p>
                <w:pPr>
                  <w:overflowPunct w:val="0"/>
                  <w:jc w:val="both"/>
                  <w:textAlignment w:val="baseline"/>
                </w:pPr>
              </w:p>
            </w:tc>
            <w:tc>
              <w:tcPr>
                <w:tcW w:w="339" w:type="pct"/>
                <w:vAlign w:val="center"/>
              </w:tcPr>
              <w:p>
                <w:pPr>
                  <w:overflowPunct w:val="0"/>
                  <w:jc w:val="both"/>
                  <w:textAlignment w:val="baseline"/>
                </w:pPr>
              </w:p>
            </w:tc>
            <w:tc>
              <w:tcPr>
                <w:tcW w:w="334" w:type="pct"/>
                <w:vAlign w:val="center"/>
              </w:tcPr>
              <w:p>
                <w:pPr>
                  <w:overflowPunct w:val="0"/>
                  <w:jc w:val="both"/>
                  <w:textAlignment w:val="baseline"/>
                </w:pPr>
              </w:p>
            </w:tc>
          </w:tr>
          <w:tr>
            <w:trPr>
              <w:cantSplit/>
              <w:trHeight w:hRule="exact" w:val="255"/>
            </w:trPr>
            <w:tc>
              <w:tcPr>
                <w:tcW w:w="460" w:type="pct"/>
                <w:vAlign w:val="center"/>
              </w:tcPr>
              <w:p>
                <w:pPr>
                  <w:overflowPunct w:val="0"/>
                  <w:jc w:val="both"/>
                  <w:textAlignment w:val="baseline"/>
                </w:pPr>
              </w:p>
            </w:tc>
            <w:tc>
              <w:tcPr>
                <w:tcW w:w="360" w:type="pct"/>
                <w:vAlign w:val="center"/>
              </w:tcPr>
              <w:p>
                <w:pPr>
                  <w:overflowPunct w:val="0"/>
                  <w:jc w:val="both"/>
                  <w:textAlignment w:val="baseline"/>
                </w:pPr>
              </w:p>
            </w:tc>
            <w:tc>
              <w:tcPr>
                <w:tcW w:w="362" w:type="pct"/>
                <w:vAlign w:val="center"/>
              </w:tcPr>
              <w:p>
                <w:pPr>
                  <w:overflowPunct w:val="0"/>
                  <w:jc w:val="both"/>
                  <w:textAlignment w:val="baseline"/>
                </w:pPr>
              </w:p>
            </w:tc>
            <w:tc>
              <w:tcPr>
                <w:tcW w:w="361" w:type="pct"/>
                <w:vAlign w:val="center"/>
              </w:tcPr>
              <w:p>
                <w:pPr>
                  <w:overflowPunct w:val="0"/>
                  <w:jc w:val="both"/>
                  <w:textAlignment w:val="baseline"/>
                </w:pPr>
              </w:p>
            </w:tc>
            <w:tc>
              <w:tcPr>
                <w:tcW w:w="316" w:type="pct"/>
                <w:vAlign w:val="center"/>
              </w:tcPr>
              <w:p>
                <w:pPr>
                  <w:overflowPunct w:val="0"/>
                  <w:jc w:val="both"/>
                  <w:textAlignment w:val="baseline"/>
                </w:pPr>
              </w:p>
            </w:tc>
            <w:tc>
              <w:tcPr>
                <w:tcW w:w="317" w:type="pct"/>
                <w:vAlign w:val="center"/>
              </w:tcPr>
              <w:p>
                <w:pPr>
                  <w:overflowPunct w:val="0"/>
                  <w:jc w:val="both"/>
                  <w:textAlignment w:val="baseline"/>
                </w:pPr>
              </w:p>
            </w:tc>
            <w:tc>
              <w:tcPr>
                <w:tcW w:w="374" w:type="pct"/>
                <w:vAlign w:val="center"/>
              </w:tcPr>
              <w:p>
                <w:pPr>
                  <w:overflowPunct w:val="0"/>
                  <w:jc w:val="both"/>
                  <w:textAlignment w:val="baseline"/>
                </w:pPr>
              </w:p>
            </w:tc>
            <w:tc>
              <w:tcPr>
                <w:tcW w:w="374" w:type="pct"/>
                <w:vAlign w:val="center"/>
              </w:tcPr>
              <w:p>
                <w:pPr>
                  <w:overflowPunct w:val="0"/>
                  <w:jc w:val="both"/>
                  <w:textAlignment w:val="baseline"/>
                </w:pPr>
              </w:p>
            </w:tc>
            <w:tc>
              <w:tcPr>
                <w:tcW w:w="350" w:type="pct"/>
                <w:vAlign w:val="center"/>
              </w:tcPr>
              <w:p>
                <w:pPr>
                  <w:overflowPunct w:val="0"/>
                  <w:jc w:val="both"/>
                  <w:textAlignment w:val="baseline"/>
                </w:pPr>
              </w:p>
            </w:tc>
            <w:tc>
              <w:tcPr>
                <w:tcW w:w="351" w:type="pct"/>
                <w:vAlign w:val="center"/>
              </w:tcPr>
              <w:p>
                <w:pPr>
                  <w:overflowPunct w:val="0"/>
                  <w:jc w:val="both"/>
                  <w:textAlignment w:val="baseline"/>
                </w:pPr>
              </w:p>
            </w:tc>
            <w:tc>
              <w:tcPr>
                <w:tcW w:w="351" w:type="pct"/>
                <w:vAlign w:val="center"/>
              </w:tcPr>
              <w:p>
                <w:pPr>
                  <w:overflowPunct w:val="0"/>
                  <w:jc w:val="both"/>
                  <w:textAlignment w:val="baseline"/>
                </w:pPr>
              </w:p>
            </w:tc>
            <w:tc>
              <w:tcPr>
                <w:tcW w:w="351" w:type="pct"/>
                <w:vAlign w:val="center"/>
              </w:tcPr>
              <w:p>
                <w:pPr>
                  <w:overflowPunct w:val="0"/>
                  <w:jc w:val="both"/>
                  <w:textAlignment w:val="baseline"/>
                </w:pPr>
              </w:p>
            </w:tc>
            <w:tc>
              <w:tcPr>
                <w:tcW w:w="339" w:type="pct"/>
                <w:vAlign w:val="center"/>
              </w:tcPr>
              <w:p>
                <w:pPr>
                  <w:overflowPunct w:val="0"/>
                  <w:jc w:val="both"/>
                  <w:textAlignment w:val="baseline"/>
                </w:pPr>
              </w:p>
            </w:tc>
            <w:tc>
              <w:tcPr>
                <w:tcW w:w="334" w:type="pct"/>
                <w:vAlign w:val="center"/>
              </w:tcPr>
              <w:p>
                <w:pPr>
                  <w:overflowPunct w:val="0"/>
                  <w:jc w:val="both"/>
                  <w:textAlignment w:val="baseline"/>
                </w:pPr>
              </w:p>
            </w:tc>
          </w:tr>
          <w:tr>
            <w:trPr>
              <w:cantSplit/>
              <w:trHeight w:hRule="exact" w:val="255"/>
            </w:trPr>
            <w:tc>
              <w:tcPr>
                <w:tcW w:w="460" w:type="pct"/>
                <w:vAlign w:val="center"/>
              </w:tcPr>
              <w:p>
                <w:pPr>
                  <w:overflowPunct w:val="0"/>
                  <w:jc w:val="both"/>
                  <w:textAlignment w:val="baseline"/>
                </w:pPr>
              </w:p>
            </w:tc>
            <w:tc>
              <w:tcPr>
                <w:tcW w:w="360" w:type="pct"/>
                <w:vAlign w:val="center"/>
              </w:tcPr>
              <w:p>
                <w:pPr>
                  <w:overflowPunct w:val="0"/>
                  <w:jc w:val="both"/>
                  <w:textAlignment w:val="baseline"/>
                </w:pPr>
              </w:p>
            </w:tc>
            <w:tc>
              <w:tcPr>
                <w:tcW w:w="362" w:type="pct"/>
                <w:vAlign w:val="center"/>
              </w:tcPr>
              <w:p>
                <w:pPr>
                  <w:overflowPunct w:val="0"/>
                  <w:jc w:val="both"/>
                  <w:textAlignment w:val="baseline"/>
                </w:pPr>
              </w:p>
            </w:tc>
            <w:tc>
              <w:tcPr>
                <w:tcW w:w="361" w:type="pct"/>
                <w:vAlign w:val="center"/>
              </w:tcPr>
              <w:p>
                <w:pPr>
                  <w:tabs>
                    <w:tab w:val="center" w:pos="4153"/>
                    <w:tab w:val="right" w:pos="8306"/>
                  </w:tabs>
                  <w:overflowPunct w:val="0"/>
                  <w:jc w:val="both"/>
                  <w:textAlignment w:val="baseline"/>
                </w:pPr>
              </w:p>
            </w:tc>
            <w:tc>
              <w:tcPr>
                <w:tcW w:w="316" w:type="pct"/>
                <w:vAlign w:val="center"/>
              </w:tcPr>
              <w:p>
                <w:pPr>
                  <w:overflowPunct w:val="0"/>
                  <w:jc w:val="both"/>
                  <w:textAlignment w:val="baseline"/>
                </w:pPr>
              </w:p>
            </w:tc>
            <w:tc>
              <w:tcPr>
                <w:tcW w:w="317" w:type="pct"/>
                <w:vAlign w:val="center"/>
              </w:tcPr>
              <w:p>
                <w:pPr>
                  <w:overflowPunct w:val="0"/>
                  <w:jc w:val="both"/>
                  <w:textAlignment w:val="baseline"/>
                </w:pPr>
              </w:p>
            </w:tc>
            <w:tc>
              <w:tcPr>
                <w:tcW w:w="374" w:type="pct"/>
                <w:vAlign w:val="center"/>
              </w:tcPr>
              <w:p>
                <w:pPr>
                  <w:overflowPunct w:val="0"/>
                  <w:jc w:val="both"/>
                  <w:textAlignment w:val="baseline"/>
                </w:pPr>
              </w:p>
            </w:tc>
            <w:tc>
              <w:tcPr>
                <w:tcW w:w="374" w:type="pct"/>
                <w:vAlign w:val="center"/>
              </w:tcPr>
              <w:p>
                <w:pPr>
                  <w:overflowPunct w:val="0"/>
                  <w:jc w:val="both"/>
                  <w:textAlignment w:val="baseline"/>
                </w:pPr>
              </w:p>
            </w:tc>
            <w:tc>
              <w:tcPr>
                <w:tcW w:w="350" w:type="pct"/>
                <w:vAlign w:val="center"/>
              </w:tcPr>
              <w:p>
                <w:pPr>
                  <w:overflowPunct w:val="0"/>
                  <w:jc w:val="both"/>
                  <w:textAlignment w:val="baseline"/>
                </w:pPr>
              </w:p>
            </w:tc>
            <w:tc>
              <w:tcPr>
                <w:tcW w:w="351" w:type="pct"/>
                <w:vAlign w:val="center"/>
              </w:tcPr>
              <w:p>
                <w:pPr>
                  <w:overflowPunct w:val="0"/>
                  <w:jc w:val="both"/>
                  <w:textAlignment w:val="baseline"/>
                </w:pPr>
              </w:p>
            </w:tc>
            <w:tc>
              <w:tcPr>
                <w:tcW w:w="351" w:type="pct"/>
                <w:vAlign w:val="center"/>
              </w:tcPr>
              <w:p>
                <w:pPr>
                  <w:overflowPunct w:val="0"/>
                  <w:jc w:val="both"/>
                  <w:textAlignment w:val="baseline"/>
                </w:pPr>
              </w:p>
            </w:tc>
            <w:tc>
              <w:tcPr>
                <w:tcW w:w="351" w:type="pct"/>
                <w:vAlign w:val="center"/>
              </w:tcPr>
              <w:p>
                <w:pPr>
                  <w:overflowPunct w:val="0"/>
                  <w:jc w:val="both"/>
                  <w:textAlignment w:val="baseline"/>
                </w:pPr>
              </w:p>
            </w:tc>
            <w:tc>
              <w:tcPr>
                <w:tcW w:w="339" w:type="pct"/>
                <w:vAlign w:val="center"/>
              </w:tcPr>
              <w:p>
                <w:pPr>
                  <w:overflowPunct w:val="0"/>
                  <w:jc w:val="both"/>
                  <w:textAlignment w:val="baseline"/>
                </w:pPr>
              </w:p>
            </w:tc>
            <w:tc>
              <w:tcPr>
                <w:tcW w:w="334" w:type="pct"/>
                <w:vAlign w:val="center"/>
              </w:tcPr>
              <w:p>
                <w:pPr>
                  <w:overflowPunct w:val="0"/>
                  <w:jc w:val="both"/>
                  <w:textAlignment w:val="baseline"/>
                </w:pPr>
              </w:p>
            </w:tc>
          </w:tr>
          <w:tr>
            <w:trPr>
              <w:cantSplit/>
              <w:trHeight w:hRule="exact" w:val="255"/>
            </w:trPr>
            <w:tc>
              <w:tcPr>
                <w:tcW w:w="460" w:type="pct"/>
                <w:vAlign w:val="center"/>
              </w:tcPr>
              <w:p>
                <w:pPr>
                  <w:overflowPunct w:val="0"/>
                  <w:jc w:val="both"/>
                  <w:textAlignment w:val="baseline"/>
                </w:pPr>
              </w:p>
            </w:tc>
            <w:tc>
              <w:tcPr>
                <w:tcW w:w="360" w:type="pct"/>
                <w:vAlign w:val="center"/>
              </w:tcPr>
              <w:p>
                <w:pPr>
                  <w:overflowPunct w:val="0"/>
                  <w:jc w:val="both"/>
                  <w:textAlignment w:val="baseline"/>
                </w:pPr>
              </w:p>
            </w:tc>
            <w:tc>
              <w:tcPr>
                <w:tcW w:w="362" w:type="pct"/>
                <w:vAlign w:val="center"/>
              </w:tcPr>
              <w:p>
                <w:pPr>
                  <w:overflowPunct w:val="0"/>
                  <w:jc w:val="both"/>
                  <w:textAlignment w:val="baseline"/>
                </w:pPr>
              </w:p>
            </w:tc>
            <w:tc>
              <w:tcPr>
                <w:tcW w:w="361" w:type="pct"/>
                <w:vAlign w:val="center"/>
              </w:tcPr>
              <w:p>
                <w:pPr>
                  <w:overflowPunct w:val="0"/>
                  <w:jc w:val="both"/>
                  <w:textAlignment w:val="baseline"/>
                </w:pPr>
              </w:p>
            </w:tc>
            <w:tc>
              <w:tcPr>
                <w:tcW w:w="316" w:type="pct"/>
                <w:vAlign w:val="center"/>
              </w:tcPr>
              <w:p>
                <w:pPr>
                  <w:overflowPunct w:val="0"/>
                  <w:jc w:val="both"/>
                  <w:textAlignment w:val="baseline"/>
                </w:pPr>
              </w:p>
            </w:tc>
            <w:tc>
              <w:tcPr>
                <w:tcW w:w="317" w:type="pct"/>
                <w:vAlign w:val="center"/>
              </w:tcPr>
              <w:p>
                <w:pPr>
                  <w:overflowPunct w:val="0"/>
                  <w:jc w:val="both"/>
                  <w:textAlignment w:val="baseline"/>
                </w:pPr>
              </w:p>
            </w:tc>
            <w:tc>
              <w:tcPr>
                <w:tcW w:w="374" w:type="pct"/>
                <w:vAlign w:val="center"/>
              </w:tcPr>
              <w:p>
                <w:pPr>
                  <w:overflowPunct w:val="0"/>
                  <w:jc w:val="both"/>
                  <w:textAlignment w:val="baseline"/>
                </w:pPr>
              </w:p>
            </w:tc>
            <w:tc>
              <w:tcPr>
                <w:tcW w:w="374" w:type="pct"/>
                <w:vAlign w:val="center"/>
              </w:tcPr>
              <w:p>
                <w:pPr>
                  <w:overflowPunct w:val="0"/>
                  <w:jc w:val="both"/>
                  <w:textAlignment w:val="baseline"/>
                </w:pPr>
              </w:p>
            </w:tc>
            <w:tc>
              <w:tcPr>
                <w:tcW w:w="350" w:type="pct"/>
                <w:vAlign w:val="center"/>
              </w:tcPr>
              <w:p>
                <w:pPr>
                  <w:overflowPunct w:val="0"/>
                  <w:jc w:val="both"/>
                  <w:textAlignment w:val="baseline"/>
                </w:pPr>
              </w:p>
            </w:tc>
            <w:tc>
              <w:tcPr>
                <w:tcW w:w="351" w:type="pct"/>
                <w:vAlign w:val="center"/>
              </w:tcPr>
              <w:p>
                <w:pPr>
                  <w:overflowPunct w:val="0"/>
                  <w:jc w:val="both"/>
                  <w:textAlignment w:val="baseline"/>
                </w:pPr>
              </w:p>
            </w:tc>
            <w:tc>
              <w:tcPr>
                <w:tcW w:w="351" w:type="pct"/>
                <w:vAlign w:val="center"/>
              </w:tcPr>
              <w:p>
                <w:pPr>
                  <w:overflowPunct w:val="0"/>
                  <w:jc w:val="both"/>
                  <w:textAlignment w:val="baseline"/>
                </w:pPr>
              </w:p>
            </w:tc>
            <w:tc>
              <w:tcPr>
                <w:tcW w:w="351" w:type="pct"/>
                <w:vAlign w:val="center"/>
              </w:tcPr>
              <w:p>
                <w:pPr>
                  <w:overflowPunct w:val="0"/>
                  <w:jc w:val="both"/>
                  <w:textAlignment w:val="baseline"/>
                </w:pPr>
              </w:p>
            </w:tc>
            <w:tc>
              <w:tcPr>
                <w:tcW w:w="339" w:type="pct"/>
                <w:vAlign w:val="center"/>
              </w:tcPr>
              <w:p>
                <w:pPr>
                  <w:overflowPunct w:val="0"/>
                  <w:jc w:val="both"/>
                  <w:textAlignment w:val="baseline"/>
                </w:pPr>
              </w:p>
            </w:tc>
            <w:tc>
              <w:tcPr>
                <w:tcW w:w="334" w:type="pct"/>
                <w:vAlign w:val="center"/>
              </w:tcPr>
              <w:p>
                <w:pPr>
                  <w:overflowPunct w:val="0"/>
                  <w:jc w:val="both"/>
                  <w:textAlignment w:val="baseline"/>
                </w:pPr>
              </w:p>
            </w:tc>
          </w:tr>
          <w:tr>
            <w:trPr>
              <w:cantSplit/>
              <w:trHeight w:hRule="exact" w:val="255"/>
            </w:trPr>
            <w:tc>
              <w:tcPr>
                <w:tcW w:w="460" w:type="pct"/>
                <w:vAlign w:val="center"/>
              </w:tcPr>
              <w:p>
                <w:pPr>
                  <w:overflowPunct w:val="0"/>
                  <w:jc w:val="both"/>
                  <w:textAlignment w:val="baseline"/>
                </w:pPr>
              </w:p>
            </w:tc>
            <w:tc>
              <w:tcPr>
                <w:tcW w:w="360" w:type="pct"/>
                <w:vAlign w:val="center"/>
              </w:tcPr>
              <w:p>
                <w:pPr>
                  <w:overflowPunct w:val="0"/>
                  <w:jc w:val="both"/>
                  <w:textAlignment w:val="baseline"/>
                </w:pPr>
              </w:p>
            </w:tc>
            <w:tc>
              <w:tcPr>
                <w:tcW w:w="362" w:type="pct"/>
                <w:vAlign w:val="center"/>
              </w:tcPr>
              <w:p>
                <w:pPr>
                  <w:overflowPunct w:val="0"/>
                  <w:jc w:val="both"/>
                  <w:textAlignment w:val="baseline"/>
                </w:pPr>
              </w:p>
            </w:tc>
            <w:tc>
              <w:tcPr>
                <w:tcW w:w="361" w:type="pct"/>
                <w:vAlign w:val="center"/>
              </w:tcPr>
              <w:p>
                <w:pPr>
                  <w:overflowPunct w:val="0"/>
                  <w:jc w:val="both"/>
                  <w:textAlignment w:val="baseline"/>
                </w:pPr>
              </w:p>
            </w:tc>
            <w:tc>
              <w:tcPr>
                <w:tcW w:w="316" w:type="pct"/>
                <w:vAlign w:val="center"/>
              </w:tcPr>
              <w:p>
                <w:pPr>
                  <w:overflowPunct w:val="0"/>
                  <w:jc w:val="both"/>
                  <w:textAlignment w:val="baseline"/>
                </w:pPr>
              </w:p>
            </w:tc>
            <w:tc>
              <w:tcPr>
                <w:tcW w:w="317" w:type="pct"/>
                <w:vAlign w:val="center"/>
              </w:tcPr>
              <w:p>
                <w:pPr>
                  <w:overflowPunct w:val="0"/>
                  <w:jc w:val="both"/>
                  <w:textAlignment w:val="baseline"/>
                </w:pPr>
              </w:p>
            </w:tc>
            <w:tc>
              <w:tcPr>
                <w:tcW w:w="374" w:type="pct"/>
                <w:vAlign w:val="center"/>
              </w:tcPr>
              <w:p>
                <w:pPr>
                  <w:overflowPunct w:val="0"/>
                  <w:jc w:val="both"/>
                  <w:textAlignment w:val="baseline"/>
                </w:pPr>
              </w:p>
            </w:tc>
            <w:tc>
              <w:tcPr>
                <w:tcW w:w="374" w:type="pct"/>
                <w:vAlign w:val="center"/>
              </w:tcPr>
              <w:p>
                <w:pPr>
                  <w:overflowPunct w:val="0"/>
                  <w:jc w:val="both"/>
                  <w:textAlignment w:val="baseline"/>
                </w:pPr>
              </w:p>
            </w:tc>
            <w:tc>
              <w:tcPr>
                <w:tcW w:w="350" w:type="pct"/>
                <w:vAlign w:val="center"/>
              </w:tcPr>
              <w:p>
                <w:pPr>
                  <w:overflowPunct w:val="0"/>
                  <w:jc w:val="both"/>
                  <w:textAlignment w:val="baseline"/>
                </w:pPr>
              </w:p>
            </w:tc>
            <w:tc>
              <w:tcPr>
                <w:tcW w:w="351" w:type="pct"/>
                <w:vAlign w:val="center"/>
              </w:tcPr>
              <w:p>
                <w:pPr>
                  <w:overflowPunct w:val="0"/>
                  <w:jc w:val="both"/>
                  <w:textAlignment w:val="baseline"/>
                </w:pPr>
              </w:p>
            </w:tc>
            <w:tc>
              <w:tcPr>
                <w:tcW w:w="351" w:type="pct"/>
                <w:vAlign w:val="center"/>
              </w:tcPr>
              <w:p>
                <w:pPr>
                  <w:overflowPunct w:val="0"/>
                  <w:jc w:val="both"/>
                  <w:textAlignment w:val="baseline"/>
                </w:pPr>
              </w:p>
            </w:tc>
            <w:tc>
              <w:tcPr>
                <w:tcW w:w="351" w:type="pct"/>
                <w:vAlign w:val="center"/>
              </w:tcPr>
              <w:p>
                <w:pPr>
                  <w:overflowPunct w:val="0"/>
                  <w:jc w:val="both"/>
                  <w:textAlignment w:val="baseline"/>
                </w:pPr>
              </w:p>
            </w:tc>
            <w:tc>
              <w:tcPr>
                <w:tcW w:w="339" w:type="pct"/>
                <w:vAlign w:val="center"/>
              </w:tcPr>
              <w:p>
                <w:pPr>
                  <w:overflowPunct w:val="0"/>
                  <w:jc w:val="both"/>
                  <w:textAlignment w:val="baseline"/>
                </w:pPr>
              </w:p>
            </w:tc>
            <w:tc>
              <w:tcPr>
                <w:tcW w:w="334" w:type="pct"/>
                <w:vAlign w:val="center"/>
              </w:tcPr>
              <w:p>
                <w:pPr>
                  <w:overflowPunct w:val="0"/>
                  <w:jc w:val="both"/>
                  <w:textAlignment w:val="baseline"/>
                </w:pPr>
              </w:p>
            </w:tc>
          </w:tr>
          <w:tr>
            <w:trPr>
              <w:cantSplit/>
              <w:trHeight w:hRule="exact" w:val="255"/>
            </w:trPr>
            <w:tc>
              <w:tcPr>
                <w:tcW w:w="460" w:type="pct"/>
                <w:vAlign w:val="center"/>
              </w:tcPr>
              <w:p>
                <w:pPr>
                  <w:overflowPunct w:val="0"/>
                  <w:jc w:val="both"/>
                  <w:textAlignment w:val="baseline"/>
                </w:pPr>
              </w:p>
            </w:tc>
            <w:tc>
              <w:tcPr>
                <w:tcW w:w="360" w:type="pct"/>
                <w:vAlign w:val="center"/>
              </w:tcPr>
              <w:p>
                <w:pPr>
                  <w:overflowPunct w:val="0"/>
                  <w:jc w:val="both"/>
                  <w:textAlignment w:val="baseline"/>
                </w:pPr>
              </w:p>
            </w:tc>
            <w:tc>
              <w:tcPr>
                <w:tcW w:w="362" w:type="pct"/>
                <w:vAlign w:val="center"/>
              </w:tcPr>
              <w:p>
                <w:pPr>
                  <w:overflowPunct w:val="0"/>
                  <w:jc w:val="both"/>
                  <w:textAlignment w:val="baseline"/>
                </w:pPr>
              </w:p>
            </w:tc>
            <w:tc>
              <w:tcPr>
                <w:tcW w:w="361" w:type="pct"/>
                <w:vAlign w:val="center"/>
              </w:tcPr>
              <w:p>
                <w:pPr>
                  <w:overflowPunct w:val="0"/>
                  <w:jc w:val="both"/>
                  <w:textAlignment w:val="baseline"/>
                </w:pPr>
              </w:p>
            </w:tc>
            <w:tc>
              <w:tcPr>
                <w:tcW w:w="316" w:type="pct"/>
                <w:vAlign w:val="center"/>
              </w:tcPr>
              <w:p>
                <w:pPr>
                  <w:overflowPunct w:val="0"/>
                  <w:jc w:val="both"/>
                  <w:textAlignment w:val="baseline"/>
                </w:pPr>
              </w:p>
            </w:tc>
            <w:tc>
              <w:tcPr>
                <w:tcW w:w="317" w:type="pct"/>
                <w:vAlign w:val="center"/>
              </w:tcPr>
              <w:p>
                <w:pPr>
                  <w:tabs>
                    <w:tab w:val="center" w:pos="4153"/>
                    <w:tab w:val="right" w:pos="8306"/>
                  </w:tabs>
                  <w:overflowPunct w:val="0"/>
                  <w:jc w:val="both"/>
                  <w:textAlignment w:val="baseline"/>
                </w:pPr>
              </w:p>
            </w:tc>
            <w:tc>
              <w:tcPr>
                <w:tcW w:w="374" w:type="pct"/>
                <w:vAlign w:val="center"/>
              </w:tcPr>
              <w:p>
                <w:pPr>
                  <w:overflowPunct w:val="0"/>
                  <w:jc w:val="both"/>
                  <w:textAlignment w:val="baseline"/>
                </w:pPr>
              </w:p>
            </w:tc>
            <w:tc>
              <w:tcPr>
                <w:tcW w:w="374" w:type="pct"/>
                <w:vAlign w:val="center"/>
              </w:tcPr>
              <w:p>
                <w:pPr>
                  <w:overflowPunct w:val="0"/>
                  <w:jc w:val="both"/>
                  <w:textAlignment w:val="baseline"/>
                </w:pPr>
              </w:p>
            </w:tc>
            <w:tc>
              <w:tcPr>
                <w:tcW w:w="350" w:type="pct"/>
                <w:vAlign w:val="center"/>
              </w:tcPr>
              <w:p>
                <w:pPr>
                  <w:overflowPunct w:val="0"/>
                  <w:jc w:val="both"/>
                  <w:textAlignment w:val="baseline"/>
                </w:pPr>
              </w:p>
            </w:tc>
            <w:tc>
              <w:tcPr>
                <w:tcW w:w="351" w:type="pct"/>
                <w:vAlign w:val="center"/>
              </w:tcPr>
              <w:p>
                <w:pPr>
                  <w:overflowPunct w:val="0"/>
                  <w:jc w:val="both"/>
                  <w:textAlignment w:val="baseline"/>
                </w:pPr>
              </w:p>
            </w:tc>
            <w:tc>
              <w:tcPr>
                <w:tcW w:w="351" w:type="pct"/>
                <w:vAlign w:val="center"/>
              </w:tcPr>
              <w:p>
                <w:pPr>
                  <w:overflowPunct w:val="0"/>
                  <w:jc w:val="both"/>
                  <w:textAlignment w:val="baseline"/>
                </w:pPr>
              </w:p>
            </w:tc>
            <w:tc>
              <w:tcPr>
                <w:tcW w:w="351" w:type="pct"/>
                <w:vAlign w:val="center"/>
              </w:tcPr>
              <w:p>
                <w:pPr>
                  <w:overflowPunct w:val="0"/>
                  <w:jc w:val="both"/>
                  <w:textAlignment w:val="baseline"/>
                </w:pPr>
              </w:p>
            </w:tc>
            <w:tc>
              <w:tcPr>
                <w:tcW w:w="339" w:type="pct"/>
                <w:vAlign w:val="center"/>
              </w:tcPr>
              <w:p>
                <w:pPr>
                  <w:overflowPunct w:val="0"/>
                  <w:jc w:val="both"/>
                  <w:textAlignment w:val="baseline"/>
                </w:pPr>
              </w:p>
            </w:tc>
            <w:tc>
              <w:tcPr>
                <w:tcW w:w="334" w:type="pct"/>
                <w:vAlign w:val="center"/>
              </w:tcPr>
              <w:p>
                <w:pPr>
                  <w:overflowPunct w:val="0"/>
                  <w:jc w:val="both"/>
                  <w:textAlignment w:val="baseline"/>
                </w:pPr>
              </w:p>
            </w:tc>
          </w:tr>
          <w:tr>
            <w:trPr>
              <w:cantSplit/>
              <w:trHeight w:hRule="exact" w:val="255"/>
            </w:trPr>
            <w:tc>
              <w:tcPr>
                <w:tcW w:w="460" w:type="pct"/>
                <w:vAlign w:val="center"/>
              </w:tcPr>
              <w:p>
                <w:pPr>
                  <w:overflowPunct w:val="0"/>
                  <w:jc w:val="both"/>
                  <w:textAlignment w:val="baseline"/>
                </w:pPr>
              </w:p>
            </w:tc>
            <w:tc>
              <w:tcPr>
                <w:tcW w:w="360" w:type="pct"/>
                <w:vAlign w:val="center"/>
              </w:tcPr>
              <w:p>
                <w:pPr>
                  <w:overflowPunct w:val="0"/>
                  <w:jc w:val="both"/>
                  <w:textAlignment w:val="baseline"/>
                </w:pPr>
              </w:p>
            </w:tc>
            <w:tc>
              <w:tcPr>
                <w:tcW w:w="362" w:type="pct"/>
                <w:vAlign w:val="center"/>
              </w:tcPr>
              <w:p>
                <w:pPr>
                  <w:overflowPunct w:val="0"/>
                  <w:jc w:val="both"/>
                  <w:textAlignment w:val="baseline"/>
                </w:pPr>
              </w:p>
            </w:tc>
            <w:tc>
              <w:tcPr>
                <w:tcW w:w="361" w:type="pct"/>
                <w:vAlign w:val="center"/>
              </w:tcPr>
              <w:p>
                <w:pPr>
                  <w:overflowPunct w:val="0"/>
                  <w:jc w:val="both"/>
                  <w:textAlignment w:val="baseline"/>
                </w:pPr>
              </w:p>
            </w:tc>
            <w:tc>
              <w:tcPr>
                <w:tcW w:w="316" w:type="pct"/>
                <w:vAlign w:val="center"/>
              </w:tcPr>
              <w:p>
                <w:pPr>
                  <w:overflowPunct w:val="0"/>
                  <w:jc w:val="both"/>
                  <w:textAlignment w:val="baseline"/>
                </w:pPr>
              </w:p>
            </w:tc>
            <w:tc>
              <w:tcPr>
                <w:tcW w:w="317" w:type="pct"/>
                <w:vAlign w:val="center"/>
              </w:tcPr>
              <w:p>
                <w:pPr>
                  <w:overflowPunct w:val="0"/>
                  <w:jc w:val="both"/>
                  <w:textAlignment w:val="baseline"/>
                </w:pPr>
              </w:p>
            </w:tc>
            <w:tc>
              <w:tcPr>
                <w:tcW w:w="374" w:type="pct"/>
                <w:vAlign w:val="center"/>
              </w:tcPr>
              <w:p>
                <w:pPr>
                  <w:overflowPunct w:val="0"/>
                  <w:jc w:val="both"/>
                  <w:textAlignment w:val="baseline"/>
                </w:pPr>
              </w:p>
            </w:tc>
            <w:tc>
              <w:tcPr>
                <w:tcW w:w="374" w:type="pct"/>
                <w:vAlign w:val="center"/>
              </w:tcPr>
              <w:p>
                <w:pPr>
                  <w:overflowPunct w:val="0"/>
                  <w:jc w:val="both"/>
                  <w:textAlignment w:val="baseline"/>
                </w:pPr>
              </w:p>
            </w:tc>
            <w:tc>
              <w:tcPr>
                <w:tcW w:w="350" w:type="pct"/>
                <w:vAlign w:val="center"/>
              </w:tcPr>
              <w:p>
                <w:pPr>
                  <w:overflowPunct w:val="0"/>
                  <w:jc w:val="both"/>
                  <w:textAlignment w:val="baseline"/>
                </w:pPr>
              </w:p>
            </w:tc>
            <w:tc>
              <w:tcPr>
                <w:tcW w:w="351" w:type="pct"/>
                <w:vAlign w:val="center"/>
              </w:tcPr>
              <w:p>
                <w:pPr>
                  <w:overflowPunct w:val="0"/>
                  <w:jc w:val="both"/>
                  <w:textAlignment w:val="baseline"/>
                </w:pPr>
              </w:p>
            </w:tc>
            <w:tc>
              <w:tcPr>
                <w:tcW w:w="351" w:type="pct"/>
                <w:vAlign w:val="center"/>
              </w:tcPr>
              <w:p>
                <w:pPr>
                  <w:overflowPunct w:val="0"/>
                  <w:jc w:val="both"/>
                  <w:textAlignment w:val="baseline"/>
                </w:pPr>
              </w:p>
            </w:tc>
            <w:tc>
              <w:tcPr>
                <w:tcW w:w="351" w:type="pct"/>
                <w:vAlign w:val="center"/>
              </w:tcPr>
              <w:p>
                <w:pPr>
                  <w:overflowPunct w:val="0"/>
                  <w:jc w:val="both"/>
                  <w:textAlignment w:val="baseline"/>
                </w:pPr>
              </w:p>
            </w:tc>
            <w:tc>
              <w:tcPr>
                <w:tcW w:w="339" w:type="pct"/>
                <w:vAlign w:val="center"/>
              </w:tcPr>
              <w:p>
                <w:pPr>
                  <w:overflowPunct w:val="0"/>
                  <w:jc w:val="both"/>
                  <w:textAlignment w:val="baseline"/>
                </w:pPr>
              </w:p>
            </w:tc>
            <w:tc>
              <w:tcPr>
                <w:tcW w:w="334" w:type="pct"/>
                <w:vAlign w:val="center"/>
              </w:tcPr>
              <w:p>
                <w:pPr>
                  <w:overflowPunct w:val="0"/>
                  <w:jc w:val="both"/>
                  <w:textAlignment w:val="baseline"/>
                </w:pPr>
              </w:p>
            </w:tc>
          </w:tr>
          <w:tr>
            <w:trPr>
              <w:cantSplit/>
              <w:trHeight w:hRule="exact" w:val="255"/>
            </w:trPr>
            <w:tc>
              <w:tcPr>
                <w:tcW w:w="460" w:type="pct"/>
                <w:vAlign w:val="center"/>
              </w:tcPr>
              <w:p>
                <w:pPr>
                  <w:overflowPunct w:val="0"/>
                  <w:jc w:val="both"/>
                  <w:textAlignment w:val="baseline"/>
                </w:pPr>
              </w:p>
            </w:tc>
            <w:tc>
              <w:tcPr>
                <w:tcW w:w="360" w:type="pct"/>
                <w:vAlign w:val="center"/>
              </w:tcPr>
              <w:p>
                <w:pPr>
                  <w:overflowPunct w:val="0"/>
                  <w:jc w:val="both"/>
                  <w:textAlignment w:val="baseline"/>
                </w:pPr>
              </w:p>
            </w:tc>
            <w:tc>
              <w:tcPr>
                <w:tcW w:w="362" w:type="pct"/>
                <w:vAlign w:val="center"/>
              </w:tcPr>
              <w:p>
                <w:pPr>
                  <w:overflowPunct w:val="0"/>
                  <w:jc w:val="both"/>
                  <w:textAlignment w:val="baseline"/>
                </w:pPr>
              </w:p>
            </w:tc>
            <w:tc>
              <w:tcPr>
                <w:tcW w:w="361" w:type="pct"/>
                <w:vAlign w:val="center"/>
              </w:tcPr>
              <w:p>
                <w:pPr>
                  <w:overflowPunct w:val="0"/>
                  <w:jc w:val="both"/>
                  <w:textAlignment w:val="baseline"/>
                </w:pPr>
              </w:p>
            </w:tc>
            <w:tc>
              <w:tcPr>
                <w:tcW w:w="316" w:type="pct"/>
                <w:vAlign w:val="center"/>
              </w:tcPr>
              <w:p>
                <w:pPr>
                  <w:overflowPunct w:val="0"/>
                  <w:jc w:val="both"/>
                  <w:textAlignment w:val="baseline"/>
                </w:pPr>
              </w:p>
            </w:tc>
            <w:tc>
              <w:tcPr>
                <w:tcW w:w="317" w:type="pct"/>
                <w:vAlign w:val="center"/>
              </w:tcPr>
              <w:p>
                <w:pPr>
                  <w:overflowPunct w:val="0"/>
                  <w:jc w:val="both"/>
                  <w:textAlignment w:val="baseline"/>
                </w:pPr>
              </w:p>
            </w:tc>
            <w:tc>
              <w:tcPr>
                <w:tcW w:w="374" w:type="pct"/>
                <w:vAlign w:val="center"/>
              </w:tcPr>
              <w:p>
                <w:pPr>
                  <w:overflowPunct w:val="0"/>
                  <w:jc w:val="both"/>
                  <w:textAlignment w:val="baseline"/>
                </w:pPr>
              </w:p>
            </w:tc>
            <w:tc>
              <w:tcPr>
                <w:tcW w:w="374" w:type="pct"/>
                <w:vAlign w:val="center"/>
              </w:tcPr>
              <w:p>
                <w:pPr>
                  <w:overflowPunct w:val="0"/>
                  <w:jc w:val="both"/>
                  <w:textAlignment w:val="baseline"/>
                </w:pPr>
              </w:p>
            </w:tc>
            <w:tc>
              <w:tcPr>
                <w:tcW w:w="350" w:type="pct"/>
                <w:vAlign w:val="center"/>
              </w:tcPr>
              <w:p>
                <w:pPr>
                  <w:overflowPunct w:val="0"/>
                  <w:jc w:val="both"/>
                  <w:textAlignment w:val="baseline"/>
                </w:pPr>
              </w:p>
            </w:tc>
            <w:tc>
              <w:tcPr>
                <w:tcW w:w="351" w:type="pct"/>
                <w:vAlign w:val="center"/>
              </w:tcPr>
              <w:p>
                <w:pPr>
                  <w:overflowPunct w:val="0"/>
                  <w:jc w:val="both"/>
                  <w:textAlignment w:val="baseline"/>
                </w:pPr>
              </w:p>
            </w:tc>
            <w:tc>
              <w:tcPr>
                <w:tcW w:w="351" w:type="pct"/>
                <w:vAlign w:val="center"/>
              </w:tcPr>
              <w:p>
                <w:pPr>
                  <w:overflowPunct w:val="0"/>
                  <w:jc w:val="both"/>
                  <w:textAlignment w:val="baseline"/>
                </w:pPr>
              </w:p>
            </w:tc>
            <w:tc>
              <w:tcPr>
                <w:tcW w:w="351" w:type="pct"/>
                <w:vAlign w:val="center"/>
              </w:tcPr>
              <w:p>
                <w:pPr>
                  <w:overflowPunct w:val="0"/>
                  <w:jc w:val="both"/>
                  <w:textAlignment w:val="baseline"/>
                </w:pPr>
              </w:p>
            </w:tc>
            <w:tc>
              <w:tcPr>
                <w:tcW w:w="339" w:type="pct"/>
                <w:vAlign w:val="center"/>
              </w:tcPr>
              <w:p>
                <w:pPr>
                  <w:overflowPunct w:val="0"/>
                  <w:jc w:val="both"/>
                  <w:textAlignment w:val="baseline"/>
                </w:pPr>
              </w:p>
            </w:tc>
            <w:tc>
              <w:tcPr>
                <w:tcW w:w="334" w:type="pct"/>
                <w:vAlign w:val="center"/>
              </w:tcPr>
              <w:p>
                <w:pPr>
                  <w:overflowPunct w:val="0"/>
                  <w:jc w:val="both"/>
                  <w:textAlignment w:val="baseline"/>
                </w:pPr>
              </w:p>
            </w:tc>
          </w:tr>
          <w:tr>
            <w:trPr>
              <w:cantSplit/>
              <w:trHeight w:hRule="exact" w:val="255"/>
            </w:trPr>
            <w:tc>
              <w:tcPr>
                <w:tcW w:w="460" w:type="pct"/>
                <w:vAlign w:val="center"/>
              </w:tcPr>
              <w:p>
                <w:pPr>
                  <w:overflowPunct w:val="0"/>
                  <w:jc w:val="both"/>
                  <w:textAlignment w:val="baseline"/>
                </w:pPr>
              </w:p>
            </w:tc>
            <w:tc>
              <w:tcPr>
                <w:tcW w:w="360" w:type="pct"/>
                <w:vAlign w:val="center"/>
              </w:tcPr>
              <w:p>
                <w:pPr>
                  <w:overflowPunct w:val="0"/>
                  <w:jc w:val="both"/>
                  <w:textAlignment w:val="baseline"/>
                </w:pPr>
              </w:p>
            </w:tc>
            <w:tc>
              <w:tcPr>
                <w:tcW w:w="362" w:type="pct"/>
                <w:vAlign w:val="center"/>
              </w:tcPr>
              <w:p>
                <w:pPr>
                  <w:overflowPunct w:val="0"/>
                  <w:jc w:val="both"/>
                  <w:textAlignment w:val="baseline"/>
                </w:pPr>
              </w:p>
            </w:tc>
            <w:tc>
              <w:tcPr>
                <w:tcW w:w="361" w:type="pct"/>
                <w:vAlign w:val="center"/>
              </w:tcPr>
              <w:p>
                <w:pPr>
                  <w:overflowPunct w:val="0"/>
                  <w:jc w:val="both"/>
                  <w:textAlignment w:val="baseline"/>
                </w:pPr>
              </w:p>
            </w:tc>
            <w:tc>
              <w:tcPr>
                <w:tcW w:w="316" w:type="pct"/>
                <w:vAlign w:val="center"/>
              </w:tcPr>
              <w:p>
                <w:pPr>
                  <w:overflowPunct w:val="0"/>
                  <w:jc w:val="both"/>
                  <w:textAlignment w:val="baseline"/>
                </w:pPr>
              </w:p>
            </w:tc>
            <w:tc>
              <w:tcPr>
                <w:tcW w:w="317" w:type="pct"/>
                <w:vAlign w:val="center"/>
              </w:tcPr>
              <w:p>
                <w:pPr>
                  <w:overflowPunct w:val="0"/>
                  <w:jc w:val="both"/>
                  <w:textAlignment w:val="baseline"/>
                </w:pPr>
              </w:p>
            </w:tc>
            <w:tc>
              <w:tcPr>
                <w:tcW w:w="374" w:type="pct"/>
                <w:vAlign w:val="center"/>
              </w:tcPr>
              <w:p>
                <w:pPr>
                  <w:overflowPunct w:val="0"/>
                  <w:jc w:val="both"/>
                  <w:textAlignment w:val="baseline"/>
                </w:pPr>
              </w:p>
            </w:tc>
            <w:tc>
              <w:tcPr>
                <w:tcW w:w="374" w:type="pct"/>
                <w:vAlign w:val="center"/>
              </w:tcPr>
              <w:p>
                <w:pPr>
                  <w:overflowPunct w:val="0"/>
                  <w:jc w:val="both"/>
                  <w:textAlignment w:val="baseline"/>
                </w:pPr>
              </w:p>
            </w:tc>
            <w:tc>
              <w:tcPr>
                <w:tcW w:w="350" w:type="pct"/>
                <w:vAlign w:val="center"/>
              </w:tcPr>
              <w:p>
                <w:pPr>
                  <w:overflowPunct w:val="0"/>
                  <w:jc w:val="both"/>
                  <w:textAlignment w:val="baseline"/>
                </w:pPr>
              </w:p>
            </w:tc>
            <w:tc>
              <w:tcPr>
                <w:tcW w:w="351" w:type="pct"/>
                <w:vAlign w:val="center"/>
              </w:tcPr>
              <w:p>
                <w:pPr>
                  <w:overflowPunct w:val="0"/>
                  <w:jc w:val="both"/>
                  <w:textAlignment w:val="baseline"/>
                </w:pPr>
              </w:p>
            </w:tc>
            <w:tc>
              <w:tcPr>
                <w:tcW w:w="351" w:type="pct"/>
                <w:vAlign w:val="center"/>
              </w:tcPr>
              <w:p>
                <w:pPr>
                  <w:overflowPunct w:val="0"/>
                  <w:jc w:val="both"/>
                  <w:textAlignment w:val="baseline"/>
                </w:pPr>
              </w:p>
            </w:tc>
            <w:tc>
              <w:tcPr>
                <w:tcW w:w="351" w:type="pct"/>
                <w:vAlign w:val="center"/>
              </w:tcPr>
              <w:p>
                <w:pPr>
                  <w:overflowPunct w:val="0"/>
                  <w:jc w:val="both"/>
                  <w:textAlignment w:val="baseline"/>
                </w:pPr>
              </w:p>
            </w:tc>
            <w:tc>
              <w:tcPr>
                <w:tcW w:w="339" w:type="pct"/>
                <w:vAlign w:val="center"/>
              </w:tcPr>
              <w:p>
                <w:pPr>
                  <w:overflowPunct w:val="0"/>
                  <w:jc w:val="both"/>
                  <w:textAlignment w:val="baseline"/>
                </w:pPr>
              </w:p>
            </w:tc>
            <w:tc>
              <w:tcPr>
                <w:tcW w:w="334" w:type="pct"/>
                <w:vAlign w:val="center"/>
              </w:tcPr>
              <w:p>
                <w:pPr>
                  <w:overflowPunct w:val="0"/>
                  <w:jc w:val="both"/>
                  <w:textAlignment w:val="baseline"/>
                </w:pPr>
              </w:p>
            </w:tc>
          </w:tr>
          <w:tr>
            <w:trPr>
              <w:cantSplit/>
              <w:trHeight w:hRule="exact" w:val="255"/>
            </w:trPr>
            <w:tc>
              <w:tcPr>
                <w:tcW w:w="460" w:type="pct"/>
                <w:vAlign w:val="center"/>
              </w:tcPr>
              <w:p>
                <w:pPr>
                  <w:overflowPunct w:val="0"/>
                  <w:jc w:val="both"/>
                  <w:textAlignment w:val="baseline"/>
                </w:pPr>
              </w:p>
            </w:tc>
            <w:tc>
              <w:tcPr>
                <w:tcW w:w="360" w:type="pct"/>
                <w:vAlign w:val="center"/>
              </w:tcPr>
              <w:p>
                <w:pPr>
                  <w:overflowPunct w:val="0"/>
                  <w:jc w:val="both"/>
                  <w:textAlignment w:val="baseline"/>
                </w:pPr>
              </w:p>
            </w:tc>
            <w:tc>
              <w:tcPr>
                <w:tcW w:w="362" w:type="pct"/>
                <w:vAlign w:val="center"/>
              </w:tcPr>
              <w:p>
                <w:pPr>
                  <w:overflowPunct w:val="0"/>
                  <w:jc w:val="both"/>
                  <w:textAlignment w:val="baseline"/>
                </w:pPr>
              </w:p>
            </w:tc>
            <w:tc>
              <w:tcPr>
                <w:tcW w:w="361" w:type="pct"/>
                <w:vAlign w:val="center"/>
              </w:tcPr>
              <w:p>
                <w:pPr>
                  <w:overflowPunct w:val="0"/>
                  <w:jc w:val="both"/>
                  <w:textAlignment w:val="baseline"/>
                </w:pPr>
              </w:p>
            </w:tc>
            <w:tc>
              <w:tcPr>
                <w:tcW w:w="316" w:type="pct"/>
                <w:vAlign w:val="center"/>
              </w:tcPr>
              <w:p>
                <w:pPr>
                  <w:overflowPunct w:val="0"/>
                  <w:jc w:val="both"/>
                  <w:textAlignment w:val="baseline"/>
                </w:pPr>
              </w:p>
            </w:tc>
            <w:tc>
              <w:tcPr>
                <w:tcW w:w="317" w:type="pct"/>
                <w:vAlign w:val="center"/>
              </w:tcPr>
              <w:p>
                <w:pPr>
                  <w:overflowPunct w:val="0"/>
                  <w:jc w:val="both"/>
                  <w:textAlignment w:val="baseline"/>
                </w:pPr>
              </w:p>
            </w:tc>
            <w:tc>
              <w:tcPr>
                <w:tcW w:w="374" w:type="pct"/>
                <w:vAlign w:val="center"/>
              </w:tcPr>
              <w:p>
                <w:pPr>
                  <w:overflowPunct w:val="0"/>
                  <w:jc w:val="both"/>
                  <w:textAlignment w:val="baseline"/>
                </w:pPr>
              </w:p>
            </w:tc>
            <w:tc>
              <w:tcPr>
                <w:tcW w:w="374" w:type="pct"/>
                <w:vAlign w:val="center"/>
              </w:tcPr>
              <w:p>
                <w:pPr>
                  <w:overflowPunct w:val="0"/>
                  <w:jc w:val="both"/>
                  <w:textAlignment w:val="baseline"/>
                </w:pPr>
              </w:p>
            </w:tc>
            <w:tc>
              <w:tcPr>
                <w:tcW w:w="350" w:type="pct"/>
                <w:vAlign w:val="center"/>
              </w:tcPr>
              <w:p>
                <w:pPr>
                  <w:overflowPunct w:val="0"/>
                  <w:jc w:val="both"/>
                  <w:textAlignment w:val="baseline"/>
                </w:pPr>
              </w:p>
            </w:tc>
            <w:tc>
              <w:tcPr>
                <w:tcW w:w="351" w:type="pct"/>
                <w:vAlign w:val="center"/>
              </w:tcPr>
              <w:p>
                <w:pPr>
                  <w:overflowPunct w:val="0"/>
                  <w:jc w:val="both"/>
                  <w:textAlignment w:val="baseline"/>
                </w:pPr>
              </w:p>
            </w:tc>
            <w:tc>
              <w:tcPr>
                <w:tcW w:w="351" w:type="pct"/>
                <w:vAlign w:val="center"/>
              </w:tcPr>
              <w:p>
                <w:pPr>
                  <w:overflowPunct w:val="0"/>
                  <w:jc w:val="both"/>
                  <w:textAlignment w:val="baseline"/>
                </w:pPr>
              </w:p>
            </w:tc>
            <w:tc>
              <w:tcPr>
                <w:tcW w:w="351" w:type="pct"/>
                <w:vAlign w:val="center"/>
              </w:tcPr>
              <w:p>
                <w:pPr>
                  <w:overflowPunct w:val="0"/>
                  <w:jc w:val="both"/>
                  <w:textAlignment w:val="baseline"/>
                </w:pPr>
              </w:p>
            </w:tc>
            <w:tc>
              <w:tcPr>
                <w:tcW w:w="339" w:type="pct"/>
                <w:vAlign w:val="center"/>
              </w:tcPr>
              <w:p>
                <w:pPr>
                  <w:overflowPunct w:val="0"/>
                  <w:jc w:val="both"/>
                  <w:textAlignment w:val="baseline"/>
                </w:pPr>
              </w:p>
            </w:tc>
            <w:tc>
              <w:tcPr>
                <w:tcW w:w="334" w:type="pct"/>
                <w:vAlign w:val="center"/>
              </w:tcPr>
              <w:p>
                <w:pPr>
                  <w:overflowPunct w:val="0"/>
                  <w:jc w:val="both"/>
                  <w:textAlignment w:val="baseline"/>
                </w:pPr>
              </w:p>
            </w:tc>
          </w:tr>
          <w:tr>
            <w:trPr>
              <w:cantSplit/>
              <w:trHeight w:hRule="exact" w:val="255"/>
            </w:trPr>
            <w:tc>
              <w:tcPr>
                <w:tcW w:w="460" w:type="pct"/>
                <w:vAlign w:val="center"/>
              </w:tcPr>
              <w:p>
                <w:pPr>
                  <w:overflowPunct w:val="0"/>
                  <w:jc w:val="both"/>
                  <w:textAlignment w:val="baseline"/>
                </w:pPr>
              </w:p>
            </w:tc>
            <w:tc>
              <w:tcPr>
                <w:tcW w:w="360" w:type="pct"/>
                <w:vAlign w:val="center"/>
              </w:tcPr>
              <w:p>
                <w:pPr>
                  <w:overflowPunct w:val="0"/>
                  <w:jc w:val="both"/>
                  <w:textAlignment w:val="baseline"/>
                </w:pPr>
              </w:p>
            </w:tc>
            <w:tc>
              <w:tcPr>
                <w:tcW w:w="362" w:type="pct"/>
                <w:vAlign w:val="center"/>
              </w:tcPr>
              <w:p>
                <w:pPr>
                  <w:overflowPunct w:val="0"/>
                  <w:jc w:val="both"/>
                  <w:textAlignment w:val="baseline"/>
                </w:pPr>
              </w:p>
            </w:tc>
            <w:tc>
              <w:tcPr>
                <w:tcW w:w="361" w:type="pct"/>
                <w:vAlign w:val="center"/>
              </w:tcPr>
              <w:p>
                <w:pPr>
                  <w:overflowPunct w:val="0"/>
                  <w:jc w:val="both"/>
                  <w:textAlignment w:val="baseline"/>
                </w:pPr>
              </w:p>
            </w:tc>
            <w:tc>
              <w:tcPr>
                <w:tcW w:w="316" w:type="pct"/>
                <w:vAlign w:val="center"/>
              </w:tcPr>
              <w:p>
                <w:pPr>
                  <w:overflowPunct w:val="0"/>
                  <w:jc w:val="both"/>
                  <w:textAlignment w:val="baseline"/>
                </w:pPr>
              </w:p>
            </w:tc>
            <w:tc>
              <w:tcPr>
                <w:tcW w:w="317" w:type="pct"/>
                <w:vAlign w:val="center"/>
              </w:tcPr>
              <w:p>
                <w:pPr>
                  <w:overflowPunct w:val="0"/>
                  <w:jc w:val="both"/>
                  <w:textAlignment w:val="baseline"/>
                </w:pPr>
              </w:p>
            </w:tc>
            <w:tc>
              <w:tcPr>
                <w:tcW w:w="374" w:type="pct"/>
                <w:vAlign w:val="center"/>
              </w:tcPr>
              <w:p>
                <w:pPr>
                  <w:overflowPunct w:val="0"/>
                  <w:jc w:val="both"/>
                  <w:textAlignment w:val="baseline"/>
                </w:pPr>
              </w:p>
            </w:tc>
            <w:tc>
              <w:tcPr>
                <w:tcW w:w="374" w:type="pct"/>
                <w:vAlign w:val="center"/>
              </w:tcPr>
              <w:p>
                <w:pPr>
                  <w:overflowPunct w:val="0"/>
                  <w:jc w:val="both"/>
                  <w:textAlignment w:val="baseline"/>
                </w:pPr>
              </w:p>
            </w:tc>
            <w:tc>
              <w:tcPr>
                <w:tcW w:w="350" w:type="pct"/>
                <w:vAlign w:val="center"/>
              </w:tcPr>
              <w:p>
                <w:pPr>
                  <w:overflowPunct w:val="0"/>
                  <w:jc w:val="both"/>
                  <w:textAlignment w:val="baseline"/>
                </w:pPr>
              </w:p>
            </w:tc>
            <w:tc>
              <w:tcPr>
                <w:tcW w:w="351" w:type="pct"/>
                <w:vAlign w:val="center"/>
              </w:tcPr>
              <w:p>
                <w:pPr>
                  <w:overflowPunct w:val="0"/>
                  <w:jc w:val="both"/>
                  <w:textAlignment w:val="baseline"/>
                </w:pPr>
              </w:p>
            </w:tc>
            <w:tc>
              <w:tcPr>
                <w:tcW w:w="351" w:type="pct"/>
                <w:vAlign w:val="center"/>
              </w:tcPr>
              <w:p>
                <w:pPr>
                  <w:overflowPunct w:val="0"/>
                  <w:jc w:val="both"/>
                  <w:textAlignment w:val="baseline"/>
                </w:pPr>
              </w:p>
            </w:tc>
            <w:tc>
              <w:tcPr>
                <w:tcW w:w="351" w:type="pct"/>
                <w:vAlign w:val="center"/>
              </w:tcPr>
              <w:p>
                <w:pPr>
                  <w:overflowPunct w:val="0"/>
                  <w:jc w:val="both"/>
                  <w:textAlignment w:val="baseline"/>
                </w:pPr>
              </w:p>
            </w:tc>
            <w:tc>
              <w:tcPr>
                <w:tcW w:w="339" w:type="pct"/>
                <w:vAlign w:val="center"/>
              </w:tcPr>
              <w:p>
                <w:pPr>
                  <w:overflowPunct w:val="0"/>
                  <w:jc w:val="both"/>
                  <w:textAlignment w:val="baseline"/>
                </w:pPr>
              </w:p>
            </w:tc>
            <w:tc>
              <w:tcPr>
                <w:tcW w:w="334" w:type="pct"/>
                <w:vAlign w:val="center"/>
              </w:tcPr>
              <w:p>
                <w:pPr>
                  <w:overflowPunct w:val="0"/>
                  <w:jc w:val="both"/>
                  <w:textAlignment w:val="baseline"/>
                </w:pPr>
              </w:p>
            </w:tc>
          </w:tr>
          <w:tr>
            <w:trPr>
              <w:cantSplit/>
              <w:trHeight w:hRule="exact" w:val="255"/>
            </w:trPr>
            <w:tc>
              <w:tcPr>
                <w:tcW w:w="460" w:type="pct"/>
                <w:vAlign w:val="center"/>
              </w:tcPr>
              <w:p>
                <w:pPr>
                  <w:overflowPunct w:val="0"/>
                  <w:jc w:val="both"/>
                  <w:textAlignment w:val="baseline"/>
                  <w:rPr>
                    <w:b/>
                    <w:bCs/>
                  </w:rPr>
                </w:pPr>
              </w:p>
            </w:tc>
            <w:tc>
              <w:tcPr>
                <w:tcW w:w="360" w:type="pct"/>
                <w:vAlign w:val="center"/>
              </w:tcPr>
              <w:p>
                <w:pPr>
                  <w:overflowPunct w:val="0"/>
                  <w:jc w:val="both"/>
                  <w:textAlignment w:val="baseline"/>
                </w:pPr>
              </w:p>
            </w:tc>
            <w:tc>
              <w:tcPr>
                <w:tcW w:w="362" w:type="pct"/>
                <w:vAlign w:val="center"/>
              </w:tcPr>
              <w:p>
                <w:pPr>
                  <w:overflowPunct w:val="0"/>
                  <w:jc w:val="both"/>
                  <w:textAlignment w:val="baseline"/>
                </w:pPr>
              </w:p>
            </w:tc>
            <w:tc>
              <w:tcPr>
                <w:tcW w:w="361" w:type="pct"/>
                <w:vAlign w:val="center"/>
              </w:tcPr>
              <w:p>
                <w:pPr>
                  <w:overflowPunct w:val="0"/>
                  <w:jc w:val="both"/>
                  <w:textAlignment w:val="baseline"/>
                </w:pPr>
              </w:p>
            </w:tc>
            <w:tc>
              <w:tcPr>
                <w:tcW w:w="316" w:type="pct"/>
                <w:vAlign w:val="center"/>
              </w:tcPr>
              <w:p>
                <w:pPr>
                  <w:overflowPunct w:val="0"/>
                  <w:jc w:val="both"/>
                  <w:textAlignment w:val="baseline"/>
                </w:pPr>
              </w:p>
            </w:tc>
            <w:tc>
              <w:tcPr>
                <w:tcW w:w="317" w:type="pct"/>
                <w:vAlign w:val="center"/>
              </w:tcPr>
              <w:p>
                <w:pPr>
                  <w:overflowPunct w:val="0"/>
                  <w:jc w:val="both"/>
                  <w:textAlignment w:val="baseline"/>
                </w:pPr>
              </w:p>
            </w:tc>
            <w:tc>
              <w:tcPr>
                <w:tcW w:w="374" w:type="pct"/>
                <w:vAlign w:val="center"/>
              </w:tcPr>
              <w:p>
                <w:pPr>
                  <w:overflowPunct w:val="0"/>
                  <w:jc w:val="both"/>
                  <w:textAlignment w:val="baseline"/>
                </w:pPr>
              </w:p>
            </w:tc>
            <w:tc>
              <w:tcPr>
                <w:tcW w:w="374" w:type="pct"/>
                <w:vAlign w:val="center"/>
              </w:tcPr>
              <w:p>
                <w:pPr>
                  <w:overflowPunct w:val="0"/>
                  <w:jc w:val="both"/>
                  <w:textAlignment w:val="baseline"/>
                </w:pPr>
              </w:p>
            </w:tc>
            <w:tc>
              <w:tcPr>
                <w:tcW w:w="350" w:type="pct"/>
                <w:vAlign w:val="center"/>
              </w:tcPr>
              <w:p>
                <w:pPr>
                  <w:overflowPunct w:val="0"/>
                  <w:jc w:val="both"/>
                  <w:textAlignment w:val="baseline"/>
                </w:pPr>
              </w:p>
            </w:tc>
            <w:tc>
              <w:tcPr>
                <w:tcW w:w="351" w:type="pct"/>
                <w:vAlign w:val="center"/>
              </w:tcPr>
              <w:p>
                <w:pPr>
                  <w:overflowPunct w:val="0"/>
                  <w:jc w:val="both"/>
                  <w:textAlignment w:val="baseline"/>
                </w:pPr>
              </w:p>
            </w:tc>
            <w:tc>
              <w:tcPr>
                <w:tcW w:w="351" w:type="pct"/>
                <w:vAlign w:val="center"/>
              </w:tcPr>
              <w:p>
                <w:pPr>
                  <w:overflowPunct w:val="0"/>
                  <w:jc w:val="both"/>
                  <w:textAlignment w:val="baseline"/>
                </w:pPr>
              </w:p>
            </w:tc>
            <w:tc>
              <w:tcPr>
                <w:tcW w:w="351" w:type="pct"/>
                <w:vAlign w:val="center"/>
              </w:tcPr>
              <w:p>
                <w:pPr>
                  <w:overflowPunct w:val="0"/>
                  <w:jc w:val="both"/>
                  <w:textAlignment w:val="baseline"/>
                </w:pPr>
              </w:p>
            </w:tc>
            <w:tc>
              <w:tcPr>
                <w:tcW w:w="339" w:type="pct"/>
                <w:vAlign w:val="center"/>
              </w:tcPr>
              <w:p>
                <w:pPr>
                  <w:overflowPunct w:val="0"/>
                  <w:jc w:val="both"/>
                  <w:textAlignment w:val="baseline"/>
                </w:pPr>
              </w:p>
            </w:tc>
            <w:tc>
              <w:tcPr>
                <w:tcW w:w="334" w:type="pct"/>
                <w:vAlign w:val="center"/>
              </w:tcPr>
              <w:p>
                <w:pPr>
                  <w:overflowPunct w:val="0"/>
                  <w:jc w:val="both"/>
                  <w:textAlignment w:val="baseline"/>
                </w:pPr>
              </w:p>
            </w:tc>
          </w:tr>
        </w:tbl>
        <w:p>
          <w:pPr>
            <w:overflowPunct w:val="0"/>
            <w:jc w:val="both"/>
            <w:textAlignment w:val="baseline"/>
          </w:pPr>
        </w:p>
        <w:p>
          <w:pPr>
            <w:overflowPunct w:val="0"/>
            <w:jc w:val="both"/>
            <w:textAlignment w:val="baseline"/>
          </w:pPr>
          <w:r>
            <w:t>Ūkininkas</w:t>
            <w:tab/>
            <w:tab/>
            <w:tab/>
            <w:t>_________________</w:t>
            <w:tab/>
            <w:tab/>
            <w:tab/>
            <w:t>_________________________</w:t>
          </w:r>
        </w:p>
        <w:p>
          <w:pPr>
            <w:overflowPunct w:val="0"/>
            <w:ind w:left="2596" w:firstLine="1298"/>
            <w:jc w:val="both"/>
            <w:textAlignment w:val="baseline"/>
            <w:rPr>
              <w:sz w:val="20"/>
            </w:rPr>
          </w:pPr>
          <w:r>
            <w:rPr>
              <w:sz w:val="20"/>
            </w:rPr>
            <w:t>(parašas)</w:t>
            <w:tab/>
          </w:r>
          <w:r>
            <w:tab/>
            <w:tab/>
            <w:tab/>
          </w:r>
          <w:r>
            <w:rPr>
              <w:sz w:val="20"/>
            </w:rPr>
            <w:t>(vardas, pavardė)</w:t>
          </w:r>
        </w:p>
        <w:sdt>
          <w:sdtPr>
            <w:alias w:val="pabaiga"/>
            <w:tag w:val="part_9bf949d51e024cd3a314c6908d5569b7"/>
            <w:lock w:val="sdtLocked"/>
            <w:richText/>
          </w:sdtPr>
          <w:sdtContent>
            <w:p>
              <w:pPr>
                <w:overflowPunct w:val="0"/>
                <w:jc w:val="center"/>
                <w:textAlignment w:val="baseline"/>
                <w:rPr>
                  <w:bCs/>
                  <w:szCs w:val="24"/>
                </w:rPr>
              </w:pPr>
              <w:r>
                <w:rPr>
                  <w:sz w:val="20"/>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ba5c0506f11e4a698d921e3e46801">
            <w:r w:rsidRPr="00532B9F">
              <w:rPr>
                <w:rFonts w:ascii="Times New Roman" w:eastAsia="MS Mincho" w:hAnsi="Times New Roman"/>
                <w:sz w:val="20"/>
                <w:i/>
                <w:iCs/>
                <w:color w:val="0000FF" w:themeColor="hyperlink"/>
                <w:u w:val="single"/>
              </w:rPr>
              <w:t>3D-725</w:t>
            </w:r>
          </w:fldSimple>
          <w:r>
            <w:rPr>
              <w:rFonts w:ascii="Times New Roman" w:eastAsia="MS Mincho" w:hAnsi="Times New Roman"/>
              <w:sz w:val="20"/>
              <w:i/>
              <w:iCs/>
            </w:rPr>
            <w:t>,
2014-10-10,
paskelbta TAR 2014-10-10, i. k. 2014-13951            </w:t>
          </w:r>
        </w:p>
        <w:p/>
      </w:sdtContent>
    </w:sdt>
    <w:sdt>
      <w:sdtPr>
        <w:alias w:val="9 pr."/>
        <w:tag w:val="part_8effa9f1c82442159a74478e86244f25"/>
        <w:lock w:val="sdtLocked"/>
        <w:richText/>
      </w:sdtPr>
      <w:sdtContent>
        <w:p>
          <w:pPr>
            <w:overflowPunct w:val="0"/>
            <w:jc w:val="both"/>
            <w:textAlignment w:val="baseline"/>
            <w:rPr>
              <w:szCs w:val="24"/>
            </w:rPr>
          </w:pPr>
          <w:r>
            <w:rPr>
              <w:szCs w:val="24"/>
            </w:rPr>
            <w:br w:type="page"/>
          </w:r>
        </w:p>
        <w:p>
          <w:pPr>
            <w:overflowPunct w:val="0"/>
            <w:ind w:left="9639"/>
            <w:jc w:val="both"/>
            <w:textAlignment w:val="baseline"/>
            <w:rPr>
              <w:szCs w:val="24"/>
            </w:rPr>
          </w:pPr>
          <w:r>
            <w:rPr>
              <w:szCs w:val="24"/>
            </w:rPr>
            <w:t>Ūkininko ūkio veiklos</w:t>
          </w:r>
        </w:p>
        <w:p>
          <w:pPr>
            <w:overflowPunct w:val="0"/>
            <w:ind w:left="9639"/>
            <w:jc w:val="both"/>
            <w:textAlignment w:val="baseline"/>
            <w:rPr>
              <w:szCs w:val="24"/>
            </w:rPr>
          </w:pPr>
          <w:r>
            <w:rPr>
              <w:szCs w:val="24"/>
            </w:rPr>
            <w:t>buhalterinės apskaitos tvarkymo</w:t>
          </w:r>
        </w:p>
        <w:p>
          <w:pPr>
            <w:overflowPunct w:val="0"/>
            <w:ind w:left="9639"/>
            <w:jc w:val="both"/>
            <w:textAlignment w:val="baseline"/>
            <w:rPr>
              <w:szCs w:val="24"/>
            </w:rPr>
          </w:pPr>
          <w:r>
            <w:rPr>
              <w:szCs w:val="24"/>
            </w:rPr>
            <w:t xml:space="preserve">supaprastintąja apskaitos sistema rekomendacijų </w:t>
          </w:r>
        </w:p>
        <w:p>
          <w:pPr>
            <w:overflowPunct w:val="0"/>
            <w:ind w:left="9639"/>
            <w:jc w:val="both"/>
            <w:textAlignment w:val="baseline"/>
            <w:rPr>
              <w:szCs w:val="24"/>
            </w:rPr>
          </w:pPr>
          <w:sdt>
            <w:sdtPr>
              <w:alias w:val="Numeris"/>
              <w:tag w:val="nr_8effa9f1c82442159a74478e86244f25"/>
              <w:lock w:val="sdtLocked"/>
              <w:richText/>
            </w:sdtPr>
            <w:sdtContent>
              <w:r>
                <w:rPr>
                  <w:szCs w:val="24"/>
                </w:rPr>
                <w:t>9</w:t>
              </w:r>
            </w:sdtContent>
          </w:sdt>
          <w:r>
            <w:rPr>
              <w:szCs w:val="24"/>
            </w:rPr>
            <w:t xml:space="preserve">  priedas</w:t>
          </w:r>
        </w:p>
        <w:p>
          <w:pPr>
            <w:keepNext/>
            <w:overflowPunct w:val="0"/>
            <w:jc w:val="center"/>
            <w:textAlignment w:val="baseline"/>
            <w:rPr>
              <w:b/>
            </w:rPr>
          </w:pPr>
        </w:p>
        <w:p>
          <w:pPr>
            <w:overflowPunct w:val="0"/>
            <w:jc w:val="center"/>
            <w:textAlignment w:val="baseline"/>
          </w:pPr>
          <w:r>
            <w:t>Ūkininko ________________________________ ūkis</w:t>
          </w:r>
        </w:p>
        <w:p>
          <w:pPr>
            <w:keepNext/>
            <w:overflowPunct w:val="0"/>
            <w:jc w:val="center"/>
            <w:textAlignment w:val="baseline"/>
            <w:rPr>
              <w:b/>
              <w:szCs w:val="22"/>
            </w:rPr>
          </w:pPr>
          <w:r>
            <w:rPr>
              <w:b/>
            </w:rPr>
            <w:t>ATSISKAITYMŲ UŽ SOCIALINIO IR SVEIKATOS DRAUDIMO ĮMOKAS, GYVENTOJŲ PAJAMŲ MOKESTĮ</w:t>
          </w:r>
          <w:r>
            <w:rPr>
              <w:b/>
              <w:szCs w:val="22"/>
            </w:rPr>
            <w:t xml:space="preserve"> ŽINIARAŠTIS</w:t>
          </w:r>
        </w:p>
        <w:p>
          <w:pPr>
            <w:overflowPunct w:val="0"/>
            <w:jc w:val="center"/>
            <w:textAlignment w:val="baseline"/>
          </w:pPr>
          <w:r>
            <w:t>_____________ Nr. _____________</w:t>
          </w:r>
        </w:p>
        <w:p>
          <w:pPr>
            <w:overflowPunct w:val="0"/>
            <w:ind w:left="5812"/>
            <w:jc w:val="both"/>
            <w:textAlignment w:val="baseline"/>
            <w:rPr>
              <w:sz w:val="20"/>
            </w:rPr>
          </w:pPr>
          <w:r>
            <w:rPr>
              <w:sz w:val="20"/>
            </w:rPr>
            <w:t>(data)</w:t>
          </w:r>
        </w:p>
        <w:p>
          <w:pPr>
            <w:overflowPunct w:val="0"/>
            <w:ind w:left="5812"/>
            <w:jc w:val="both"/>
            <w:textAlignment w:val="baseline"/>
            <w:rPr>
              <w:sz w:val="20"/>
            </w:rPr>
          </w:pP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075"/>
            <w:gridCol w:w="1731"/>
            <w:gridCol w:w="869"/>
            <w:gridCol w:w="869"/>
            <w:gridCol w:w="869"/>
            <w:gridCol w:w="869"/>
            <w:gridCol w:w="869"/>
            <w:gridCol w:w="1391"/>
            <w:gridCol w:w="869"/>
            <w:gridCol w:w="869"/>
            <w:gridCol w:w="869"/>
            <w:gridCol w:w="869"/>
            <w:gridCol w:w="869"/>
            <w:gridCol w:w="1628"/>
          </w:tblGrid>
          <w:tr>
            <w:trPr>
              <w:cantSplit/>
              <w:trHeight w:hRule="exact" w:val="255"/>
            </w:trPr>
            <w:tc>
              <w:tcPr>
                <w:tcW w:w="1075" w:type="dxa"/>
                <w:vMerge w:val="restart"/>
                <w:vAlign w:val="center"/>
              </w:tcPr>
              <w:p>
                <w:pPr>
                  <w:overflowPunct w:val="0"/>
                  <w:jc w:val="center"/>
                  <w:textAlignment w:val="baseline"/>
                  <w:rPr>
                    <w:szCs w:val="24"/>
                  </w:rPr>
                </w:pPr>
                <w:r>
                  <w:rPr>
                    <w:szCs w:val="24"/>
                  </w:rPr>
                  <w:t>Data</w:t>
                </w:r>
              </w:p>
            </w:tc>
            <w:tc>
              <w:tcPr>
                <w:tcW w:w="1731" w:type="dxa"/>
                <w:vMerge w:val="restart"/>
                <w:vAlign w:val="center"/>
              </w:tcPr>
              <w:p>
                <w:pPr>
                  <w:overflowPunct w:val="0"/>
                  <w:jc w:val="center"/>
                  <w:textAlignment w:val="baseline"/>
                  <w:rPr>
                    <w:szCs w:val="24"/>
                  </w:rPr>
                </w:pPr>
                <w:r>
                  <w:rPr>
                    <w:szCs w:val="24"/>
                  </w:rPr>
                  <w:t>Dokumento Nr.</w:t>
                </w:r>
              </w:p>
            </w:tc>
            <w:tc>
              <w:tcPr>
                <w:tcW w:w="5736" w:type="dxa"/>
                <w:gridSpan w:val="6"/>
              </w:tcPr>
              <w:p>
                <w:pPr>
                  <w:overflowPunct w:val="0"/>
                  <w:jc w:val="center"/>
                  <w:textAlignment w:val="baseline"/>
                  <w:rPr>
                    <w:lang w:val="en-GB"/>
                  </w:rPr>
                </w:pPr>
                <w:r>
                  <w:rPr>
                    <w:lang w:val="en-GB"/>
                  </w:rPr>
                  <w:t>Apskaičiuota įmokų, Eur</w:t>
                </w:r>
              </w:p>
            </w:tc>
            <w:tc>
              <w:tcPr>
                <w:tcW w:w="5973" w:type="dxa"/>
                <w:gridSpan w:val="6"/>
                <w:shd w:val="clear" w:color="auto" w:fill="auto"/>
              </w:tcPr>
              <w:p>
                <w:pPr>
                  <w:overflowPunct w:val="0"/>
                  <w:jc w:val="center"/>
                  <w:textAlignment w:val="baseline"/>
                  <w:rPr>
                    <w:lang w:val="en-GB"/>
                  </w:rPr>
                </w:pPr>
                <w:r>
                  <w:rPr>
                    <w:lang w:val="en-GB"/>
                  </w:rPr>
                  <w:t>Sumokėta įmokų, Eur</w:t>
                </w:r>
              </w:p>
            </w:tc>
          </w:tr>
          <w:tr>
            <w:trPr>
              <w:cantSplit/>
              <w:trHeight w:hRule="exact" w:val="611"/>
            </w:trPr>
            <w:tc>
              <w:tcPr>
                <w:tcW w:w="1075" w:type="dxa"/>
                <w:vMerge/>
              </w:tcPr>
              <w:p>
                <w:pPr>
                  <w:overflowPunct w:val="0"/>
                  <w:jc w:val="center"/>
                  <w:textAlignment w:val="baseline"/>
                  <w:rPr>
                    <w:szCs w:val="24"/>
                  </w:rPr>
                </w:pPr>
              </w:p>
            </w:tc>
            <w:tc>
              <w:tcPr>
                <w:tcW w:w="1731" w:type="dxa"/>
                <w:vMerge/>
              </w:tcPr>
              <w:p>
                <w:pPr>
                  <w:overflowPunct w:val="0"/>
                  <w:jc w:val="center"/>
                  <w:textAlignment w:val="baseline"/>
                  <w:rPr>
                    <w:szCs w:val="24"/>
                  </w:rPr>
                </w:pPr>
              </w:p>
            </w:tc>
            <w:tc>
              <w:tcPr>
                <w:tcW w:w="2607" w:type="dxa"/>
                <w:gridSpan w:val="3"/>
                <w:vAlign w:val="center"/>
              </w:tcPr>
              <w:p>
                <w:pPr>
                  <w:overflowPunct w:val="0"/>
                  <w:jc w:val="center"/>
                  <w:textAlignment w:val="baseline"/>
                  <w:rPr>
                    <w:szCs w:val="24"/>
                  </w:rPr>
                </w:pPr>
                <w:r>
                  <w:rPr>
                    <w:szCs w:val="24"/>
                  </w:rPr>
                  <w:t>Už samdomus darbuotojus</w:t>
                </w:r>
              </w:p>
            </w:tc>
            <w:tc>
              <w:tcPr>
                <w:tcW w:w="1738" w:type="dxa"/>
                <w:gridSpan w:val="2"/>
                <w:vAlign w:val="center"/>
              </w:tcPr>
              <w:p>
                <w:pPr>
                  <w:overflowPunct w:val="0"/>
                  <w:jc w:val="center"/>
                  <w:textAlignment w:val="baseline"/>
                  <w:rPr>
                    <w:szCs w:val="24"/>
                  </w:rPr>
                </w:pPr>
                <w:r>
                  <w:rPr>
                    <w:szCs w:val="24"/>
                  </w:rPr>
                  <w:t>Ūkininko ir jo partnerių</w:t>
                </w:r>
              </w:p>
            </w:tc>
            <w:tc>
              <w:tcPr>
                <w:tcW w:w="1391" w:type="dxa"/>
                <w:vMerge w:val="restart"/>
                <w:vAlign w:val="center"/>
              </w:tcPr>
              <w:p>
                <w:pPr>
                  <w:overflowPunct w:val="0"/>
                  <w:jc w:val="center"/>
                  <w:textAlignment w:val="baseline"/>
                  <w:rPr>
                    <w:szCs w:val="24"/>
                  </w:rPr>
                </w:pPr>
                <w:r>
                  <w:rPr>
                    <w:szCs w:val="24"/>
                  </w:rPr>
                  <w:t>Iš viso (3+4+5+6+7)</w:t>
                </w:r>
              </w:p>
            </w:tc>
            <w:tc>
              <w:tcPr>
                <w:tcW w:w="2607" w:type="dxa"/>
                <w:gridSpan w:val="3"/>
                <w:shd w:val="clear" w:color="auto" w:fill="auto"/>
                <w:vAlign w:val="center"/>
              </w:tcPr>
              <w:p>
                <w:pPr>
                  <w:overflowPunct w:val="0"/>
                  <w:jc w:val="center"/>
                  <w:textAlignment w:val="baseline"/>
                  <w:rPr>
                    <w:szCs w:val="24"/>
                  </w:rPr>
                </w:pPr>
                <w:r>
                  <w:rPr>
                    <w:szCs w:val="24"/>
                  </w:rPr>
                  <w:t>Už samdomus darbuotojus</w:t>
                </w:r>
              </w:p>
            </w:tc>
            <w:tc>
              <w:tcPr>
                <w:tcW w:w="1738" w:type="dxa"/>
                <w:gridSpan w:val="2"/>
                <w:shd w:val="clear" w:color="auto" w:fill="auto"/>
                <w:vAlign w:val="center"/>
              </w:tcPr>
              <w:p>
                <w:pPr>
                  <w:overflowPunct w:val="0"/>
                  <w:jc w:val="center"/>
                  <w:textAlignment w:val="baseline"/>
                  <w:rPr>
                    <w:szCs w:val="24"/>
                  </w:rPr>
                </w:pPr>
                <w:r>
                  <w:rPr>
                    <w:szCs w:val="24"/>
                  </w:rPr>
                  <w:t>Ūkininko ir jo partnerių</w:t>
                </w:r>
              </w:p>
            </w:tc>
            <w:tc>
              <w:tcPr>
                <w:tcW w:w="1628" w:type="dxa"/>
                <w:vMerge w:val="restart"/>
                <w:tcBorders>
                  <w:top w:val="single" w:sz="4" w:space="0" w:color="auto"/>
                </w:tcBorders>
                <w:shd w:val="clear" w:color="auto" w:fill="auto"/>
                <w:vAlign w:val="center"/>
              </w:tcPr>
              <w:p>
                <w:pPr>
                  <w:overflowPunct w:val="0"/>
                  <w:jc w:val="center"/>
                  <w:textAlignment w:val="baseline"/>
                  <w:rPr>
                    <w:szCs w:val="24"/>
                  </w:rPr>
                </w:pPr>
                <w:r>
                  <w:rPr>
                    <w:szCs w:val="24"/>
                  </w:rPr>
                  <w:t>Iš viso (9+10+11</w:t>
                  <w:br/>
                  <w:t>+12+13)</w:t>
                </w:r>
              </w:p>
            </w:tc>
          </w:tr>
          <w:tr>
            <w:trPr>
              <w:cantSplit/>
              <w:trHeight w:hRule="exact" w:val="359"/>
            </w:trPr>
            <w:tc>
              <w:tcPr>
                <w:tcW w:w="1075" w:type="dxa"/>
                <w:vMerge/>
              </w:tcPr>
              <w:p>
                <w:pPr>
                  <w:overflowPunct w:val="0"/>
                  <w:jc w:val="center"/>
                  <w:textAlignment w:val="baseline"/>
                  <w:rPr>
                    <w:szCs w:val="24"/>
                  </w:rPr>
                </w:pPr>
              </w:p>
            </w:tc>
            <w:tc>
              <w:tcPr>
                <w:tcW w:w="1731" w:type="dxa"/>
                <w:vMerge/>
              </w:tcPr>
              <w:p>
                <w:pPr>
                  <w:overflowPunct w:val="0"/>
                  <w:jc w:val="center"/>
                  <w:textAlignment w:val="baseline"/>
                  <w:rPr>
                    <w:szCs w:val="24"/>
                  </w:rPr>
                </w:pPr>
              </w:p>
            </w:tc>
            <w:tc>
              <w:tcPr>
                <w:tcW w:w="869" w:type="dxa"/>
                <w:vAlign w:val="center"/>
              </w:tcPr>
              <w:p>
                <w:pPr>
                  <w:overflowPunct w:val="0"/>
                  <w:jc w:val="center"/>
                  <w:textAlignment w:val="baseline"/>
                  <w:rPr>
                    <w:szCs w:val="24"/>
                  </w:rPr>
                </w:pPr>
                <w:r>
                  <w:rPr>
                    <w:szCs w:val="24"/>
                  </w:rPr>
                  <w:t>VSD</w:t>
                </w:r>
              </w:p>
            </w:tc>
            <w:tc>
              <w:tcPr>
                <w:tcW w:w="869" w:type="dxa"/>
                <w:vAlign w:val="center"/>
              </w:tcPr>
              <w:p>
                <w:pPr>
                  <w:overflowPunct w:val="0"/>
                  <w:jc w:val="center"/>
                  <w:textAlignment w:val="baseline"/>
                  <w:rPr>
                    <w:szCs w:val="24"/>
                  </w:rPr>
                </w:pPr>
                <w:r>
                  <w:rPr>
                    <w:szCs w:val="24"/>
                  </w:rPr>
                  <w:t>PSD</w:t>
                </w:r>
              </w:p>
            </w:tc>
            <w:tc>
              <w:tcPr>
                <w:tcW w:w="869" w:type="dxa"/>
                <w:vAlign w:val="center"/>
              </w:tcPr>
              <w:p>
                <w:pPr>
                  <w:overflowPunct w:val="0"/>
                  <w:ind w:left="65"/>
                  <w:jc w:val="center"/>
                  <w:textAlignment w:val="baseline"/>
                  <w:rPr>
                    <w:szCs w:val="24"/>
                  </w:rPr>
                </w:pPr>
                <w:r>
                  <w:rPr>
                    <w:szCs w:val="24"/>
                  </w:rPr>
                  <w:t>GPM</w:t>
                </w:r>
              </w:p>
            </w:tc>
            <w:tc>
              <w:tcPr>
                <w:tcW w:w="869" w:type="dxa"/>
                <w:vAlign w:val="center"/>
              </w:tcPr>
              <w:p>
                <w:pPr>
                  <w:overflowPunct w:val="0"/>
                  <w:jc w:val="center"/>
                  <w:textAlignment w:val="baseline"/>
                  <w:rPr>
                    <w:szCs w:val="24"/>
                  </w:rPr>
                </w:pPr>
                <w:r>
                  <w:rPr>
                    <w:szCs w:val="24"/>
                  </w:rPr>
                  <w:t>VSD</w:t>
                </w:r>
              </w:p>
            </w:tc>
            <w:tc>
              <w:tcPr>
                <w:tcW w:w="869" w:type="dxa"/>
                <w:vAlign w:val="center"/>
              </w:tcPr>
              <w:p>
                <w:pPr>
                  <w:overflowPunct w:val="0"/>
                  <w:jc w:val="center"/>
                  <w:textAlignment w:val="baseline"/>
                  <w:rPr>
                    <w:szCs w:val="24"/>
                  </w:rPr>
                </w:pPr>
                <w:r>
                  <w:rPr>
                    <w:szCs w:val="24"/>
                  </w:rPr>
                  <w:t>PSD</w:t>
                </w:r>
              </w:p>
            </w:tc>
            <w:tc>
              <w:tcPr>
                <w:tcW w:w="1391" w:type="dxa"/>
                <w:vMerge/>
              </w:tcPr>
              <w:p>
                <w:pPr>
                  <w:overflowPunct w:val="0"/>
                  <w:ind w:hanging="47"/>
                  <w:jc w:val="both"/>
                  <w:textAlignment w:val="baseline"/>
                  <w:rPr>
                    <w:szCs w:val="24"/>
                  </w:rPr>
                </w:pPr>
              </w:p>
            </w:tc>
            <w:tc>
              <w:tcPr>
                <w:tcW w:w="869" w:type="dxa"/>
                <w:shd w:val="clear" w:color="auto" w:fill="auto"/>
                <w:vAlign w:val="center"/>
              </w:tcPr>
              <w:p>
                <w:pPr>
                  <w:overflowPunct w:val="0"/>
                  <w:ind w:left="18"/>
                  <w:jc w:val="center"/>
                  <w:textAlignment w:val="baseline"/>
                  <w:rPr>
                    <w:szCs w:val="24"/>
                  </w:rPr>
                </w:pPr>
                <w:r>
                  <w:rPr>
                    <w:szCs w:val="24"/>
                  </w:rPr>
                  <w:t>VSD</w:t>
                </w:r>
              </w:p>
            </w:tc>
            <w:tc>
              <w:tcPr>
                <w:tcW w:w="869" w:type="dxa"/>
                <w:shd w:val="clear" w:color="auto" w:fill="auto"/>
                <w:vAlign w:val="center"/>
              </w:tcPr>
              <w:p>
                <w:pPr>
                  <w:overflowPunct w:val="0"/>
                  <w:ind w:left="18"/>
                  <w:jc w:val="center"/>
                  <w:textAlignment w:val="baseline"/>
                  <w:rPr>
                    <w:szCs w:val="24"/>
                  </w:rPr>
                </w:pPr>
                <w:r>
                  <w:rPr>
                    <w:szCs w:val="24"/>
                  </w:rPr>
                  <w:t>PSD</w:t>
                </w:r>
              </w:p>
            </w:tc>
            <w:tc>
              <w:tcPr>
                <w:tcW w:w="869" w:type="dxa"/>
                <w:shd w:val="clear" w:color="auto" w:fill="auto"/>
                <w:vAlign w:val="center"/>
              </w:tcPr>
              <w:p>
                <w:pPr>
                  <w:overflowPunct w:val="0"/>
                  <w:ind w:left="18"/>
                  <w:jc w:val="center"/>
                  <w:textAlignment w:val="baseline"/>
                  <w:rPr>
                    <w:szCs w:val="24"/>
                  </w:rPr>
                </w:pPr>
                <w:r>
                  <w:rPr>
                    <w:szCs w:val="24"/>
                  </w:rPr>
                  <w:t>GPM</w:t>
                </w:r>
              </w:p>
            </w:tc>
            <w:tc>
              <w:tcPr>
                <w:tcW w:w="869" w:type="dxa"/>
                <w:shd w:val="clear" w:color="auto" w:fill="auto"/>
                <w:vAlign w:val="center"/>
              </w:tcPr>
              <w:p>
                <w:pPr>
                  <w:overflowPunct w:val="0"/>
                  <w:ind w:left="18"/>
                  <w:jc w:val="center"/>
                  <w:textAlignment w:val="baseline"/>
                  <w:rPr>
                    <w:szCs w:val="24"/>
                  </w:rPr>
                </w:pPr>
                <w:r>
                  <w:rPr>
                    <w:szCs w:val="24"/>
                  </w:rPr>
                  <w:t>VSD</w:t>
                </w:r>
              </w:p>
            </w:tc>
            <w:tc>
              <w:tcPr>
                <w:tcW w:w="869" w:type="dxa"/>
                <w:shd w:val="clear" w:color="auto" w:fill="auto"/>
                <w:vAlign w:val="center"/>
              </w:tcPr>
              <w:p>
                <w:pPr>
                  <w:overflowPunct w:val="0"/>
                  <w:ind w:left="18"/>
                  <w:jc w:val="center"/>
                  <w:textAlignment w:val="baseline"/>
                  <w:rPr>
                    <w:szCs w:val="24"/>
                  </w:rPr>
                </w:pPr>
                <w:r>
                  <w:rPr>
                    <w:szCs w:val="24"/>
                  </w:rPr>
                  <w:t>PSD</w:t>
                </w:r>
              </w:p>
            </w:tc>
            <w:tc>
              <w:tcPr>
                <w:tcW w:w="1628" w:type="dxa"/>
                <w:vMerge/>
                <w:shd w:val="clear" w:color="auto" w:fill="auto"/>
              </w:tcPr>
              <w:p>
                <w:pPr>
                  <w:overflowPunct w:val="0"/>
                  <w:ind w:hanging="47"/>
                  <w:jc w:val="center"/>
                  <w:textAlignment w:val="baseline"/>
                  <w:rPr>
                    <w:szCs w:val="24"/>
                  </w:rPr>
                </w:pPr>
              </w:p>
            </w:tc>
          </w:tr>
          <w:tr>
            <w:trPr>
              <w:cantSplit/>
              <w:trHeight w:hRule="exact" w:val="255"/>
            </w:trPr>
            <w:tc>
              <w:tcPr>
                <w:tcW w:w="1075" w:type="dxa"/>
              </w:tcPr>
              <w:p>
                <w:pPr>
                  <w:overflowPunct w:val="0"/>
                  <w:jc w:val="center"/>
                  <w:textAlignment w:val="baseline"/>
                  <w:rPr>
                    <w:szCs w:val="24"/>
                  </w:rPr>
                </w:pPr>
                <w:r>
                  <w:rPr>
                    <w:szCs w:val="24"/>
                  </w:rPr>
                  <w:t>1</w:t>
                </w:r>
              </w:p>
            </w:tc>
            <w:tc>
              <w:tcPr>
                <w:tcW w:w="1731" w:type="dxa"/>
              </w:tcPr>
              <w:p>
                <w:pPr>
                  <w:overflowPunct w:val="0"/>
                  <w:jc w:val="center"/>
                  <w:textAlignment w:val="baseline"/>
                  <w:rPr>
                    <w:szCs w:val="24"/>
                  </w:rPr>
                </w:pPr>
                <w:r>
                  <w:rPr>
                    <w:szCs w:val="24"/>
                  </w:rPr>
                  <w:t>2</w:t>
                </w:r>
              </w:p>
            </w:tc>
            <w:tc>
              <w:tcPr>
                <w:tcW w:w="869" w:type="dxa"/>
              </w:tcPr>
              <w:p>
                <w:pPr>
                  <w:overflowPunct w:val="0"/>
                  <w:jc w:val="center"/>
                  <w:textAlignment w:val="baseline"/>
                  <w:rPr>
                    <w:szCs w:val="24"/>
                  </w:rPr>
                </w:pPr>
                <w:r>
                  <w:rPr>
                    <w:szCs w:val="24"/>
                  </w:rPr>
                  <w:t>3</w:t>
                </w:r>
              </w:p>
            </w:tc>
            <w:tc>
              <w:tcPr>
                <w:tcW w:w="869" w:type="dxa"/>
              </w:tcPr>
              <w:p>
                <w:pPr>
                  <w:overflowPunct w:val="0"/>
                  <w:jc w:val="center"/>
                  <w:textAlignment w:val="baseline"/>
                  <w:rPr>
                    <w:szCs w:val="24"/>
                  </w:rPr>
                </w:pPr>
                <w:r>
                  <w:rPr>
                    <w:szCs w:val="24"/>
                  </w:rPr>
                  <w:t>4</w:t>
                </w:r>
              </w:p>
            </w:tc>
            <w:tc>
              <w:tcPr>
                <w:tcW w:w="869" w:type="dxa"/>
              </w:tcPr>
              <w:p>
                <w:pPr>
                  <w:overflowPunct w:val="0"/>
                  <w:jc w:val="center"/>
                  <w:textAlignment w:val="baseline"/>
                  <w:rPr>
                    <w:szCs w:val="24"/>
                  </w:rPr>
                </w:pPr>
                <w:r>
                  <w:rPr>
                    <w:szCs w:val="24"/>
                  </w:rPr>
                  <w:t>5</w:t>
                </w:r>
              </w:p>
            </w:tc>
            <w:tc>
              <w:tcPr>
                <w:tcW w:w="869" w:type="dxa"/>
              </w:tcPr>
              <w:p>
                <w:pPr>
                  <w:overflowPunct w:val="0"/>
                  <w:jc w:val="center"/>
                  <w:textAlignment w:val="baseline"/>
                  <w:rPr>
                    <w:szCs w:val="24"/>
                  </w:rPr>
                </w:pPr>
                <w:r>
                  <w:rPr>
                    <w:szCs w:val="24"/>
                  </w:rPr>
                  <w:t>6</w:t>
                </w:r>
              </w:p>
            </w:tc>
            <w:tc>
              <w:tcPr>
                <w:tcW w:w="869" w:type="dxa"/>
              </w:tcPr>
              <w:p>
                <w:pPr>
                  <w:overflowPunct w:val="0"/>
                  <w:jc w:val="center"/>
                  <w:textAlignment w:val="baseline"/>
                  <w:rPr>
                    <w:szCs w:val="24"/>
                  </w:rPr>
                </w:pPr>
                <w:r>
                  <w:rPr>
                    <w:szCs w:val="24"/>
                  </w:rPr>
                  <w:t>7</w:t>
                </w:r>
              </w:p>
            </w:tc>
            <w:tc>
              <w:tcPr>
                <w:tcW w:w="1391" w:type="dxa"/>
              </w:tcPr>
              <w:p>
                <w:pPr>
                  <w:overflowPunct w:val="0"/>
                  <w:jc w:val="center"/>
                  <w:textAlignment w:val="baseline"/>
                  <w:rPr>
                    <w:szCs w:val="24"/>
                  </w:rPr>
                </w:pPr>
                <w:r>
                  <w:rPr>
                    <w:szCs w:val="24"/>
                  </w:rPr>
                  <w:t>8</w:t>
                </w:r>
              </w:p>
            </w:tc>
            <w:tc>
              <w:tcPr>
                <w:tcW w:w="869" w:type="dxa"/>
                <w:shd w:val="clear" w:color="auto" w:fill="auto"/>
              </w:tcPr>
              <w:p>
                <w:pPr>
                  <w:overflowPunct w:val="0"/>
                  <w:jc w:val="center"/>
                  <w:textAlignment w:val="baseline"/>
                  <w:rPr>
                    <w:szCs w:val="24"/>
                  </w:rPr>
                </w:pPr>
                <w:r>
                  <w:rPr>
                    <w:szCs w:val="24"/>
                  </w:rPr>
                  <w:t>9</w:t>
                </w:r>
              </w:p>
            </w:tc>
            <w:tc>
              <w:tcPr>
                <w:tcW w:w="869" w:type="dxa"/>
                <w:shd w:val="clear" w:color="auto" w:fill="auto"/>
              </w:tcPr>
              <w:p>
                <w:pPr>
                  <w:overflowPunct w:val="0"/>
                  <w:jc w:val="center"/>
                  <w:textAlignment w:val="baseline"/>
                  <w:rPr>
                    <w:szCs w:val="24"/>
                  </w:rPr>
                </w:pPr>
                <w:r>
                  <w:rPr>
                    <w:szCs w:val="24"/>
                  </w:rPr>
                  <w:t>10</w:t>
                </w:r>
              </w:p>
            </w:tc>
            <w:tc>
              <w:tcPr>
                <w:tcW w:w="869" w:type="dxa"/>
                <w:shd w:val="clear" w:color="auto" w:fill="auto"/>
              </w:tcPr>
              <w:p>
                <w:pPr>
                  <w:overflowPunct w:val="0"/>
                  <w:jc w:val="center"/>
                  <w:textAlignment w:val="baseline"/>
                  <w:rPr>
                    <w:szCs w:val="24"/>
                  </w:rPr>
                </w:pPr>
                <w:r>
                  <w:rPr>
                    <w:szCs w:val="24"/>
                  </w:rPr>
                  <w:t>11</w:t>
                </w:r>
              </w:p>
            </w:tc>
            <w:tc>
              <w:tcPr>
                <w:tcW w:w="869" w:type="dxa"/>
                <w:shd w:val="clear" w:color="auto" w:fill="auto"/>
              </w:tcPr>
              <w:p>
                <w:pPr>
                  <w:overflowPunct w:val="0"/>
                  <w:jc w:val="center"/>
                  <w:textAlignment w:val="baseline"/>
                  <w:rPr>
                    <w:szCs w:val="24"/>
                  </w:rPr>
                </w:pPr>
                <w:r>
                  <w:rPr>
                    <w:szCs w:val="24"/>
                  </w:rPr>
                  <w:t>12</w:t>
                </w:r>
              </w:p>
            </w:tc>
            <w:tc>
              <w:tcPr>
                <w:tcW w:w="869" w:type="dxa"/>
                <w:shd w:val="clear" w:color="auto" w:fill="auto"/>
              </w:tcPr>
              <w:p>
                <w:pPr>
                  <w:overflowPunct w:val="0"/>
                  <w:jc w:val="center"/>
                  <w:textAlignment w:val="baseline"/>
                  <w:rPr>
                    <w:szCs w:val="24"/>
                  </w:rPr>
                </w:pPr>
                <w:r>
                  <w:rPr>
                    <w:szCs w:val="24"/>
                  </w:rPr>
                  <w:t>13</w:t>
                </w:r>
              </w:p>
            </w:tc>
            <w:tc>
              <w:tcPr>
                <w:tcW w:w="1628" w:type="dxa"/>
              </w:tcPr>
              <w:p>
                <w:pPr>
                  <w:overflowPunct w:val="0"/>
                  <w:jc w:val="center"/>
                  <w:textAlignment w:val="baseline"/>
                  <w:rPr>
                    <w:szCs w:val="24"/>
                  </w:rPr>
                </w:pPr>
                <w:r>
                  <w:rPr>
                    <w:szCs w:val="24"/>
                  </w:rPr>
                  <w:t>14</w:t>
                </w:r>
              </w:p>
            </w:tc>
          </w:tr>
          <w:tr>
            <w:trPr>
              <w:cantSplit/>
              <w:trHeight w:hRule="exact" w:val="255"/>
            </w:trPr>
            <w:tc>
              <w:tcPr>
                <w:tcW w:w="2806" w:type="dxa"/>
                <w:gridSpan w:val="2"/>
                <w:vAlign w:val="center"/>
              </w:tcPr>
              <w:p>
                <w:pPr>
                  <w:overflowPunct w:val="0"/>
                  <w:jc w:val="both"/>
                  <w:textAlignment w:val="baseline"/>
                  <w:rPr>
                    <w:szCs w:val="24"/>
                  </w:rPr>
                </w:pPr>
                <w:r>
                  <w:rPr>
                    <w:szCs w:val="24"/>
                  </w:rPr>
                  <w:t>Likutis mėn. pradžioje</w:t>
                </w:r>
              </w:p>
            </w:tc>
            <w:tc>
              <w:tcPr>
                <w:tcW w:w="869" w:type="dxa"/>
                <w:vAlign w:val="center"/>
              </w:tcPr>
              <w:p>
                <w:pPr>
                  <w:overflowPunct w:val="0"/>
                  <w:jc w:val="center"/>
                  <w:textAlignment w:val="baseline"/>
                  <w:rPr>
                    <w:szCs w:val="24"/>
                  </w:rPr>
                </w:pPr>
                <w:r>
                  <w:rPr>
                    <w:szCs w:val="24"/>
                  </w:rPr>
                  <w:t>x</w:t>
                </w:r>
              </w:p>
            </w:tc>
            <w:tc>
              <w:tcPr>
                <w:tcW w:w="869" w:type="dxa"/>
                <w:vAlign w:val="center"/>
              </w:tcPr>
              <w:p>
                <w:pPr>
                  <w:overflowPunct w:val="0"/>
                  <w:jc w:val="center"/>
                  <w:textAlignment w:val="baseline"/>
                  <w:rPr>
                    <w:szCs w:val="24"/>
                  </w:rPr>
                </w:pPr>
                <w:r>
                  <w:rPr>
                    <w:szCs w:val="24"/>
                  </w:rPr>
                  <w:t>x</w:t>
                </w:r>
              </w:p>
            </w:tc>
            <w:tc>
              <w:tcPr>
                <w:tcW w:w="869" w:type="dxa"/>
                <w:vAlign w:val="center"/>
              </w:tcPr>
              <w:p>
                <w:pPr>
                  <w:overflowPunct w:val="0"/>
                  <w:jc w:val="center"/>
                  <w:textAlignment w:val="baseline"/>
                  <w:rPr>
                    <w:szCs w:val="24"/>
                  </w:rPr>
                </w:pPr>
                <w:r>
                  <w:rPr>
                    <w:szCs w:val="24"/>
                  </w:rPr>
                  <w:t>x</w:t>
                </w:r>
              </w:p>
            </w:tc>
            <w:tc>
              <w:tcPr>
                <w:tcW w:w="869" w:type="dxa"/>
                <w:vAlign w:val="center"/>
              </w:tcPr>
              <w:p>
                <w:pPr>
                  <w:overflowPunct w:val="0"/>
                  <w:jc w:val="center"/>
                  <w:textAlignment w:val="baseline"/>
                  <w:rPr>
                    <w:szCs w:val="24"/>
                  </w:rPr>
                </w:pPr>
                <w:r>
                  <w:rPr>
                    <w:szCs w:val="24"/>
                  </w:rPr>
                  <w:t>x</w:t>
                </w:r>
              </w:p>
            </w:tc>
            <w:tc>
              <w:tcPr>
                <w:tcW w:w="869" w:type="dxa"/>
                <w:vAlign w:val="center"/>
              </w:tcPr>
              <w:p>
                <w:pPr>
                  <w:overflowPunct w:val="0"/>
                  <w:jc w:val="center"/>
                  <w:textAlignment w:val="baseline"/>
                  <w:rPr>
                    <w:szCs w:val="24"/>
                  </w:rPr>
                </w:pPr>
                <w:r>
                  <w:rPr>
                    <w:szCs w:val="24"/>
                  </w:rPr>
                  <w:t>x</w:t>
                </w:r>
              </w:p>
            </w:tc>
            <w:tc>
              <w:tcPr>
                <w:tcW w:w="1391" w:type="dxa"/>
                <w:vAlign w:val="center"/>
              </w:tcPr>
              <w:p>
                <w:pPr>
                  <w:overflowPunct w:val="0"/>
                  <w:jc w:val="center"/>
                  <w:textAlignment w:val="baseline"/>
                  <w:rPr>
                    <w:szCs w:val="24"/>
                  </w:rPr>
                </w:pPr>
              </w:p>
            </w:tc>
            <w:tc>
              <w:tcPr>
                <w:tcW w:w="869" w:type="dxa"/>
                <w:shd w:val="clear" w:color="auto" w:fill="auto"/>
                <w:vAlign w:val="center"/>
              </w:tcPr>
              <w:p>
                <w:pPr>
                  <w:overflowPunct w:val="0"/>
                  <w:jc w:val="center"/>
                  <w:textAlignment w:val="baseline"/>
                  <w:rPr>
                    <w:szCs w:val="24"/>
                  </w:rPr>
                </w:pPr>
                <w:r>
                  <w:rPr>
                    <w:szCs w:val="24"/>
                  </w:rPr>
                  <w:t>x</w:t>
                </w:r>
              </w:p>
            </w:tc>
            <w:tc>
              <w:tcPr>
                <w:tcW w:w="869" w:type="dxa"/>
                <w:shd w:val="clear" w:color="auto" w:fill="auto"/>
                <w:vAlign w:val="center"/>
              </w:tcPr>
              <w:p>
                <w:pPr>
                  <w:overflowPunct w:val="0"/>
                  <w:jc w:val="center"/>
                  <w:textAlignment w:val="baseline"/>
                  <w:rPr>
                    <w:szCs w:val="24"/>
                  </w:rPr>
                </w:pPr>
                <w:r>
                  <w:rPr>
                    <w:szCs w:val="24"/>
                  </w:rPr>
                  <w:t>x</w:t>
                </w:r>
              </w:p>
            </w:tc>
            <w:tc>
              <w:tcPr>
                <w:tcW w:w="869" w:type="dxa"/>
                <w:shd w:val="clear" w:color="auto" w:fill="auto"/>
                <w:vAlign w:val="center"/>
              </w:tcPr>
              <w:p>
                <w:pPr>
                  <w:overflowPunct w:val="0"/>
                  <w:jc w:val="center"/>
                  <w:textAlignment w:val="baseline"/>
                  <w:rPr>
                    <w:szCs w:val="24"/>
                  </w:rPr>
                </w:pPr>
                <w:r>
                  <w:rPr>
                    <w:szCs w:val="24"/>
                  </w:rPr>
                  <w:t>x</w:t>
                </w:r>
              </w:p>
            </w:tc>
            <w:tc>
              <w:tcPr>
                <w:tcW w:w="869" w:type="dxa"/>
                <w:shd w:val="clear" w:color="auto" w:fill="auto"/>
                <w:vAlign w:val="center"/>
              </w:tcPr>
              <w:p>
                <w:pPr>
                  <w:overflowPunct w:val="0"/>
                  <w:jc w:val="center"/>
                  <w:textAlignment w:val="baseline"/>
                  <w:rPr>
                    <w:szCs w:val="24"/>
                  </w:rPr>
                </w:pPr>
                <w:r>
                  <w:rPr>
                    <w:szCs w:val="24"/>
                  </w:rPr>
                  <w:t>x</w:t>
                </w:r>
              </w:p>
            </w:tc>
            <w:tc>
              <w:tcPr>
                <w:tcW w:w="869" w:type="dxa"/>
                <w:shd w:val="clear" w:color="auto" w:fill="auto"/>
                <w:vAlign w:val="center"/>
              </w:tcPr>
              <w:p>
                <w:pPr>
                  <w:overflowPunct w:val="0"/>
                  <w:jc w:val="center"/>
                  <w:textAlignment w:val="baseline"/>
                  <w:rPr>
                    <w:szCs w:val="24"/>
                  </w:rPr>
                </w:pPr>
                <w:r>
                  <w:rPr>
                    <w:szCs w:val="24"/>
                  </w:rPr>
                  <w:t>x</w:t>
                </w:r>
              </w:p>
            </w:tc>
            <w:tc>
              <w:tcPr>
                <w:tcW w:w="1628" w:type="dxa"/>
                <w:vAlign w:val="center"/>
              </w:tcPr>
              <w:p>
                <w:pPr>
                  <w:overflowPunct w:val="0"/>
                  <w:jc w:val="center"/>
                  <w:textAlignment w:val="baseline"/>
                  <w:rPr>
                    <w:szCs w:val="24"/>
                  </w:rPr>
                </w:pPr>
                <w:r>
                  <w:rPr>
                    <w:szCs w:val="24"/>
                  </w:rPr>
                  <w:t>x</w:t>
                </w:r>
              </w:p>
            </w:tc>
          </w:tr>
          <w:tr>
            <w:trPr>
              <w:cantSplit/>
              <w:trHeight w:hRule="exact" w:val="255"/>
            </w:trPr>
            <w:tc>
              <w:tcPr>
                <w:tcW w:w="1075" w:type="dxa"/>
                <w:vAlign w:val="center"/>
              </w:tcPr>
              <w:p>
                <w:pPr>
                  <w:overflowPunct w:val="0"/>
                  <w:jc w:val="both"/>
                  <w:textAlignment w:val="baseline"/>
                  <w:rPr>
                    <w:szCs w:val="24"/>
                  </w:rPr>
                </w:pPr>
              </w:p>
            </w:tc>
            <w:tc>
              <w:tcPr>
                <w:tcW w:w="1731" w:type="dxa"/>
                <w:vAlign w:val="center"/>
              </w:tcPr>
              <w:p>
                <w:pPr>
                  <w:overflowPunct w:val="0"/>
                  <w:jc w:val="both"/>
                  <w:textAlignment w:val="baseline"/>
                  <w:rPr>
                    <w:szCs w:val="24"/>
                  </w:rPr>
                </w:pPr>
              </w:p>
            </w:tc>
            <w:tc>
              <w:tcPr>
                <w:tcW w:w="869" w:type="dxa"/>
                <w:vAlign w:val="center"/>
              </w:tcPr>
              <w:p>
                <w:pPr>
                  <w:overflowPunct w:val="0"/>
                  <w:jc w:val="center"/>
                  <w:textAlignment w:val="baseline"/>
                  <w:rPr>
                    <w:szCs w:val="24"/>
                  </w:rPr>
                </w:pPr>
              </w:p>
            </w:tc>
            <w:tc>
              <w:tcPr>
                <w:tcW w:w="869" w:type="dxa"/>
                <w:vAlign w:val="center"/>
              </w:tcPr>
              <w:p>
                <w:pPr>
                  <w:overflowPunct w:val="0"/>
                  <w:jc w:val="center"/>
                  <w:textAlignment w:val="baseline"/>
                  <w:rPr>
                    <w:szCs w:val="24"/>
                  </w:rPr>
                </w:pPr>
              </w:p>
            </w:tc>
            <w:tc>
              <w:tcPr>
                <w:tcW w:w="869" w:type="dxa"/>
                <w:vAlign w:val="center"/>
              </w:tcPr>
              <w:p>
                <w:pPr>
                  <w:overflowPunct w:val="0"/>
                  <w:jc w:val="center"/>
                  <w:textAlignment w:val="baseline"/>
                  <w:rPr>
                    <w:szCs w:val="24"/>
                  </w:rPr>
                </w:pPr>
              </w:p>
            </w:tc>
            <w:tc>
              <w:tcPr>
                <w:tcW w:w="869" w:type="dxa"/>
                <w:vAlign w:val="center"/>
              </w:tcPr>
              <w:p>
                <w:pPr>
                  <w:overflowPunct w:val="0"/>
                  <w:jc w:val="center"/>
                  <w:textAlignment w:val="baseline"/>
                  <w:rPr>
                    <w:szCs w:val="24"/>
                  </w:rPr>
                </w:pPr>
              </w:p>
            </w:tc>
            <w:tc>
              <w:tcPr>
                <w:tcW w:w="869" w:type="dxa"/>
                <w:vAlign w:val="center"/>
              </w:tcPr>
              <w:p>
                <w:pPr>
                  <w:overflowPunct w:val="0"/>
                  <w:jc w:val="center"/>
                  <w:textAlignment w:val="baseline"/>
                  <w:rPr>
                    <w:szCs w:val="24"/>
                  </w:rPr>
                </w:pPr>
              </w:p>
            </w:tc>
            <w:tc>
              <w:tcPr>
                <w:tcW w:w="1391" w:type="dxa"/>
                <w:vAlign w:val="center"/>
              </w:tcPr>
              <w:p>
                <w:pPr>
                  <w:overflowPunct w:val="0"/>
                  <w:jc w:val="center"/>
                  <w:textAlignment w:val="baseline"/>
                  <w:rPr>
                    <w:szCs w:val="24"/>
                  </w:rPr>
                </w:pPr>
              </w:p>
            </w:tc>
            <w:tc>
              <w:tcPr>
                <w:tcW w:w="869" w:type="dxa"/>
                <w:shd w:val="clear" w:color="auto" w:fill="auto"/>
                <w:vAlign w:val="center"/>
              </w:tcPr>
              <w:p>
                <w:pPr>
                  <w:overflowPunct w:val="0"/>
                  <w:jc w:val="center"/>
                  <w:textAlignment w:val="baseline"/>
                  <w:rPr>
                    <w:szCs w:val="24"/>
                  </w:rPr>
                </w:pPr>
              </w:p>
            </w:tc>
            <w:tc>
              <w:tcPr>
                <w:tcW w:w="869" w:type="dxa"/>
                <w:shd w:val="clear" w:color="auto" w:fill="auto"/>
                <w:vAlign w:val="center"/>
              </w:tcPr>
              <w:p>
                <w:pPr>
                  <w:overflowPunct w:val="0"/>
                  <w:jc w:val="center"/>
                  <w:textAlignment w:val="baseline"/>
                  <w:rPr>
                    <w:szCs w:val="24"/>
                  </w:rPr>
                </w:pPr>
              </w:p>
            </w:tc>
            <w:tc>
              <w:tcPr>
                <w:tcW w:w="869" w:type="dxa"/>
                <w:shd w:val="clear" w:color="auto" w:fill="auto"/>
                <w:vAlign w:val="center"/>
              </w:tcPr>
              <w:p>
                <w:pPr>
                  <w:overflowPunct w:val="0"/>
                  <w:jc w:val="center"/>
                  <w:textAlignment w:val="baseline"/>
                  <w:rPr>
                    <w:szCs w:val="24"/>
                  </w:rPr>
                </w:pPr>
              </w:p>
            </w:tc>
            <w:tc>
              <w:tcPr>
                <w:tcW w:w="869" w:type="dxa"/>
                <w:shd w:val="clear" w:color="auto" w:fill="auto"/>
                <w:vAlign w:val="center"/>
              </w:tcPr>
              <w:p>
                <w:pPr>
                  <w:overflowPunct w:val="0"/>
                  <w:jc w:val="center"/>
                  <w:textAlignment w:val="baseline"/>
                  <w:rPr>
                    <w:szCs w:val="24"/>
                  </w:rPr>
                </w:pPr>
              </w:p>
            </w:tc>
            <w:tc>
              <w:tcPr>
                <w:tcW w:w="869" w:type="dxa"/>
                <w:shd w:val="clear" w:color="auto" w:fill="auto"/>
                <w:vAlign w:val="center"/>
              </w:tcPr>
              <w:p>
                <w:pPr>
                  <w:overflowPunct w:val="0"/>
                  <w:jc w:val="center"/>
                  <w:textAlignment w:val="baseline"/>
                  <w:rPr>
                    <w:szCs w:val="24"/>
                  </w:rPr>
                </w:pPr>
              </w:p>
            </w:tc>
            <w:tc>
              <w:tcPr>
                <w:tcW w:w="1628" w:type="dxa"/>
                <w:vAlign w:val="center"/>
              </w:tcPr>
              <w:p>
                <w:pPr>
                  <w:overflowPunct w:val="0"/>
                  <w:jc w:val="center"/>
                  <w:textAlignment w:val="baseline"/>
                  <w:rPr>
                    <w:szCs w:val="24"/>
                  </w:rPr>
                </w:pPr>
              </w:p>
            </w:tc>
          </w:tr>
          <w:tr>
            <w:trPr>
              <w:cantSplit/>
              <w:trHeight w:hRule="exact" w:val="255"/>
            </w:trPr>
            <w:tc>
              <w:tcPr>
                <w:tcW w:w="1075" w:type="dxa"/>
                <w:vAlign w:val="center"/>
              </w:tcPr>
              <w:p>
                <w:pPr>
                  <w:overflowPunct w:val="0"/>
                  <w:jc w:val="both"/>
                  <w:textAlignment w:val="baseline"/>
                  <w:rPr>
                    <w:szCs w:val="24"/>
                  </w:rPr>
                </w:pPr>
              </w:p>
            </w:tc>
            <w:tc>
              <w:tcPr>
                <w:tcW w:w="1731" w:type="dxa"/>
                <w:vAlign w:val="center"/>
              </w:tcPr>
              <w:p>
                <w:pPr>
                  <w:overflowPunct w:val="0"/>
                  <w:jc w:val="both"/>
                  <w:textAlignment w:val="baseline"/>
                  <w:rPr>
                    <w:szCs w:val="24"/>
                  </w:rPr>
                </w:pPr>
              </w:p>
            </w:tc>
            <w:tc>
              <w:tcPr>
                <w:tcW w:w="869" w:type="dxa"/>
                <w:vAlign w:val="center"/>
              </w:tcPr>
              <w:p>
                <w:pPr>
                  <w:overflowPunct w:val="0"/>
                  <w:jc w:val="center"/>
                  <w:textAlignment w:val="baseline"/>
                  <w:rPr>
                    <w:szCs w:val="24"/>
                  </w:rPr>
                </w:pPr>
              </w:p>
            </w:tc>
            <w:tc>
              <w:tcPr>
                <w:tcW w:w="869" w:type="dxa"/>
                <w:vAlign w:val="center"/>
              </w:tcPr>
              <w:p>
                <w:pPr>
                  <w:overflowPunct w:val="0"/>
                  <w:jc w:val="center"/>
                  <w:textAlignment w:val="baseline"/>
                  <w:rPr>
                    <w:szCs w:val="24"/>
                  </w:rPr>
                </w:pPr>
              </w:p>
            </w:tc>
            <w:tc>
              <w:tcPr>
                <w:tcW w:w="869" w:type="dxa"/>
                <w:vAlign w:val="center"/>
              </w:tcPr>
              <w:p>
                <w:pPr>
                  <w:overflowPunct w:val="0"/>
                  <w:jc w:val="center"/>
                  <w:textAlignment w:val="baseline"/>
                  <w:rPr>
                    <w:szCs w:val="24"/>
                  </w:rPr>
                </w:pPr>
              </w:p>
            </w:tc>
            <w:tc>
              <w:tcPr>
                <w:tcW w:w="869" w:type="dxa"/>
                <w:vAlign w:val="center"/>
              </w:tcPr>
              <w:p>
                <w:pPr>
                  <w:overflowPunct w:val="0"/>
                  <w:jc w:val="center"/>
                  <w:textAlignment w:val="baseline"/>
                  <w:rPr>
                    <w:szCs w:val="24"/>
                  </w:rPr>
                </w:pPr>
              </w:p>
            </w:tc>
            <w:tc>
              <w:tcPr>
                <w:tcW w:w="869" w:type="dxa"/>
                <w:vAlign w:val="center"/>
              </w:tcPr>
              <w:p>
                <w:pPr>
                  <w:overflowPunct w:val="0"/>
                  <w:jc w:val="center"/>
                  <w:textAlignment w:val="baseline"/>
                  <w:rPr>
                    <w:szCs w:val="24"/>
                  </w:rPr>
                </w:pPr>
              </w:p>
            </w:tc>
            <w:tc>
              <w:tcPr>
                <w:tcW w:w="1391" w:type="dxa"/>
                <w:vAlign w:val="center"/>
              </w:tcPr>
              <w:p>
                <w:pPr>
                  <w:overflowPunct w:val="0"/>
                  <w:jc w:val="center"/>
                  <w:textAlignment w:val="baseline"/>
                  <w:rPr>
                    <w:szCs w:val="24"/>
                  </w:rPr>
                </w:pPr>
              </w:p>
            </w:tc>
            <w:tc>
              <w:tcPr>
                <w:tcW w:w="869" w:type="dxa"/>
                <w:shd w:val="clear" w:color="auto" w:fill="auto"/>
                <w:vAlign w:val="center"/>
              </w:tcPr>
              <w:p>
                <w:pPr>
                  <w:overflowPunct w:val="0"/>
                  <w:jc w:val="center"/>
                  <w:textAlignment w:val="baseline"/>
                  <w:rPr>
                    <w:szCs w:val="24"/>
                  </w:rPr>
                </w:pPr>
              </w:p>
            </w:tc>
            <w:tc>
              <w:tcPr>
                <w:tcW w:w="869" w:type="dxa"/>
                <w:shd w:val="clear" w:color="auto" w:fill="auto"/>
                <w:vAlign w:val="center"/>
              </w:tcPr>
              <w:p>
                <w:pPr>
                  <w:overflowPunct w:val="0"/>
                  <w:jc w:val="center"/>
                  <w:textAlignment w:val="baseline"/>
                  <w:rPr>
                    <w:szCs w:val="24"/>
                  </w:rPr>
                </w:pPr>
              </w:p>
            </w:tc>
            <w:tc>
              <w:tcPr>
                <w:tcW w:w="869" w:type="dxa"/>
                <w:shd w:val="clear" w:color="auto" w:fill="auto"/>
                <w:vAlign w:val="center"/>
              </w:tcPr>
              <w:p>
                <w:pPr>
                  <w:overflowPunct w:val="0"/>
                  <w:jc w:val="center"/>
                  <w:textAlignment w:val="baseline"/>
                  <w:rPr>
                    <w:szCs w:val="24"/>
                  </w:rPr>
                </w:pPr>
              </w:p>
            </w:tc>
            <w:tc>
              <w:tcPr>
                <w:tcW w:w="869" w:type="dxa"/>
                <w:shd w:val="clear" w:color="auto" w:fill="auto"/>
                <w:vAlign w:val="center"/>
              </w:tcPr>
              <w:p>
                <w:pPr>
                  <w:overflowPunct w:val="0"/>
                  <w:jc w:val="center"/>
                  <w:textAlignment w:val="baseline"/>
                  <w:rPr>
                    <w:szCs w:val="24"/>
                  </w:rPr>
                </w:pPr>
              </w:p>
            </w:tc>
            <w:tc>
              <w:tcPr>
                <w:tcW w:w="869" w:type="dxa"/>
                <w:shd w:val="clear" w:color="auto" w:fill="auto"/>
                <w:vAlign w:val="center"/>
              </w:tcPr>
              <w:p>
                <w:pPr>
                  <w:overflowPunct w:val="0"/>
                  <w:jc w:val="center"/>
                  <w:textAlignment w:val="baseline"/>
                  <w:rPr>
                    <w:szCs w:val="24"/>
                  </w:rPr>
                </w:pPr>
              </w:p>
            </w:tc>
            <w:tc>
              <w:tcPr>
                <w:tcW w:w="1628" w:type="dxa"/>
                <w:vAlign w:val="center"/>
              </w:tcPr>
              <w:p>
                <w:pPr>
                  <w:overflowPunct w:val="0"/>
                  <w:jc w:val="center"/>
                  <w:textAlignment w:val="baseline"/>
                  <w:rPr>
                    <w:szCs w:val="24"/>
                  </w:rPr>
                </w:pPr>
              </w:p>
            </w:tc>
          </w:tr>
          <w:tr>
            <w:trPr>
              <w:cantSplit/>
              <w:trHeight w:hRule="exact" w:val="255"/>
            </w:trPr>
            <w:tc>
              <w:tcPr>
                <w:tcW w:w="1075" w:type="dxa"/>
                <w:vAlign w:val="center"/>
              </w:tcPr>
              <w:p>
                <w:pPr>
                  <w:overflowPunct w:val="0"/>
                  <w:jc w:val="both"/>
                  <w:textAlignment w:val="baseline"/>
                  <w:rPr>
                    <w:szCs w:val="24"/>
                  </w:rPr>
                </w:pPr>
              </w:p>
            </w:tc>
            <w:tc>
              <w:tcPr>
                <w:tcW w:w="1731" w:type="dxa"/>
                <w:vAlign w:val="center"/>
              </w:tcPr>
              <w:p>
                <w:pPr>
                  <w:overflowPunct w:val="0"/>
                  <w:jc w:val="both"/>
                  <w:textAlignment w:val="baseline"/>
                  <w:rPr>
                    <w:szCs w:val="24"/>
                  </w:rPr>
                </w:pPr>
              </w:p>
            </w:tc>
            <w:tc>
              <w:tcPr>
                <w:tcW w:w="869" w:type="dxa"/>
                <w:vAlign w:val="center"/>
              </w:tcPr>
              <w:p>
                <w:pPr>
                  <w:overflowPunct w:val="0"/>
                  <w:jc w:val="center"/>
                  <w:textAlignment w:val="baseline"/>
                  <w:rPr>
                    <w:szCs w:val="24"/>
                  </w:rPr>
                </w:pPr>
              </w:p>
            </w:tc>
            <w:tc>
              <w:tcPr>
                <w:tcW w:w="869" w:type="dxa"/>
                <w:vAlign w:val="center"/>
              </w:tcPr>
              <w:p>
                <w:pPr>
                  <w:overflowPunct w:val="0"/>
                  <w:jc w:val="center"/>
                  <w:textAlignment w:val="baseline"/>
                  <w:rPr>
                    <w:szCs w:val="24"/>
                  </w:rPr>
                </w:pPr>
              </w:p>
            </w:tc>
            <w:tc>
              <w:tcPr>
                <w:tcW w:w="869" w:type="dxa"/>
                <w:vAlign w:val="center"/>
              </w:tcPr>
              <w:p>
                <w:pPr>
                  <w:overflowPunct w:val="0"/>
                  <w:jc w:val="center"/>
                  <w:textAlignment w:val="baseline"/>
                  <w:rPr>
                    <w:szCs w:val="24"/>
                  </w:rPr>
                </w:pPr>
              </w:p>
            </w:tc>
            <w:tc>
              <w:tcPr>
                <w:tcW w:w="869" w:type="dxa"/>
                <w:vAlign w:val="center"/>
              </w:tcPr>
              <w:p>
                <w:pPr>
                  <w:overflowPunct w:val="0"/>
                  <w:jc w:val="center"/>
                  <w:textAlignment w:val="baseline"/>
                  <w:rPr>
                    <w:szCs w:val="24"/>
                  </w:rPr>
                </w:pPr>
              </w:p>
            </w:tc>
            <w:tc>
              <w:tcPr>
                <w:tcW w:w="869" w:type="dxa"/>
                <w:vAlign w:val="center"/>
              </w:tcPr>
              <w:p>
                <w:pPr>
                  <w:overflowPunct w:val="0"/>
                  <w:jc w:val="center"/>
                  <w:textAlignment w:val="baseline"/>
                  <w:rPr>
                    <w:szCs w:val="24"/>
                  </w:rPr>
                </w:pPr>
              </w:p>
            </w:tc>
            <w:tc>
              <w:tcPr>
                <w:tcW w:w="1391" w:type="dxa"/>
                <w:vAlign w:val="center"/>
              </w:tcPr>
              <w:p>
                <w:pPr>
                  <w:overflowPunct w:val="0"/>
                  <w:jc w:val="center"/>
                  <w:textAlignment w:val="baseline"/>
                  <w:rPr>
                    <w:szCs w:val="24"/>
                  </w:rPr>
                </w:pPr>
              </w:p>
            </w:tc>
            <w:tc>
              <w:tcPr>
                <w:tcW w:w="869" w:type="dxa"/>
                <w:shd w:val="clear" w:color="auto" w:fill="auto"/>
                <w:vAlign w:val="center"/>
              </w:tcPr>
              <w:p>
                <w:pPr>
                  <w:overflowPunct w:val="0"/>
                  <w:jc w:val="center"/>
                  <w:textAlignment w:val="baseline"/>
                  <w:rPr>
                    <w:szCs w:val="24"/>
                  </w:rPr>
                </w:pPr>
              </w:p>
            </w:tc>
            <w:tc>
              <w:tcPr>
                <w:tcW w:w="869" w:type="dxa"/>
                <w:shd w:val="clear" w:color="auto" w:fill="auto"/>
                <w:vAlign w:val="center"/>
              </w:tcPr>
              <w:p>
                <w:pPr>
                  <w:overflowPunct w:val="0"/>
                  <w:jc w:val="center"/>
                  <w:textAlignment w:val="baseline"/>
                  <w:rPr>
                    <w:szCs w:val="24"/>
                  </w:rPr>
                </w:pPr>
              </w:p>
            </w:tc>
            <w:tc>
              <w:tcPr>
                <w:tcW w:w="869" w:type="dxa"/>
                <w:shd w:val="clear" w:color="auto" w:fill="auto"/>
                <w:vAlign w:val="center"/>
              </w:tcPr>
              <w:p>
                <w:pPr>
                  <w:overflowPunct w:val="0"/>
                  <w:jc w:val="center"/>
                  <w:textAlignment w:val="baseline"/>
                  <w:rPr>
                    <w:szCs w:val="24"/>
                  </w:rPr>
                </w:pPr>
              </w:p>
            </w:tc>
            <w:tc>
              <w:tcPr>
                <w:tcW w:w="869" w:type="dxa"/>
                <w:shd w:val="clear" w:color="auto" w:fill="auto"/>
                <w:vAlign w:val="center"/>
              </w:tcPr>
              <w:p>
                <w:pPr>
                  <w:overflowPunct w:val="0"/>
                  <w:jc w:val="center"/>
                  <w:textAlignment w:val="baseline"/>
                  <w:rPr>
                    <w:szCs w:val="24"/>
                  </w:rPr>
                </w:pPr>
              </w:p>
            </w:tc>
            <w:tc>
              <w:tcPr>
                <w:tcW w:w="869" w:type="dxa"/>
                <w:shd w:val="clear" w:color="auto" w:fill="auto"/>
                <w:vAlign w:val="center"/>
              </w:tcPr>
              <w:p>
                <w:pPr>
                  <w:overflowPunct w:val="0"/>
                  <w:jc w:val="center"/>
                  <w:textAlignment w:val="baseline"/>
                  <w:rPr>
                    <w:szCs w:val="24"/>
                  </w:rPr>
                </w:pPr>
              </w:p>
            </w:tc>
            <w:tc>
              <w:tcPr>
                <w:tcW w:w="1628" w:type="dxa"/>
                <w:vAlign w:val="center"/>
              </w:tcPr>
              <w:p>
                <w:pPr>
                  <w:overflowPunct w:val="0"/>
                  <w:jc w:val="center"/>
                  <w:textAlignment w:val="baseline"/>
                  <w:rPr>
                    <w:szCs w:val="24"/>
                  </w:rPr>
                </w:pPr>
              </w:p>
            </w:tc>
          </w:tr>
          <w:tr>
            <w:trPr>
              <w:cantSplit/>
              <w:trHeight w:hRule="exact" w:val="255"/>
            </w:trPr>
            <w:tc>
              <w:tcPr>
                <w:tcW w:w="1075" w:type="dxa"/>
                <w:vAlign w:val="center"/>
              </w:tcPr>
              <w:p>
                <w:pPr>
                  <w:overflowPunct w:val="0"/>
                  <w:jc w:val="both"/>
                  <w:textAlignment w:val="baseline"/>
                  <w:rPr>
                    <w:szCs w:val="24"/>
                  </w:rPr>
                </w:pPr>
              </w:p>
            </w:tc>
            <w:tc>
              <w:tcPr>
                <w:tcW w:w="1731" w:type="dxa"/>
                <w:vAlign w:val="center"/>
              </w:tcPr>
              <w:p>
                <w:pPr>
                  <w:overflowPunct w:val="0"/>
                  <w:jc w:val="both"/>
                  <w:textAlignment w:val="baseline"/>
                  <w:rPr>
                    <w:szCs w:val="24"/>
                  </w:rPr>
                </w:pPr>
              </w:p>
            </w:tc>
            <w:tc>
              <w:tcPr>
                <w:tcW w:w="869" w:type="dxa"/>
                <w:vAlign w:val="center"/>
              </w:tcPr>
              <w:p>
                <w:pPr>
                  <w:overflowPunct w:val="0"/>
                  <w:jc w:val="center"/>
                  <w:textAlignment w:val="baseline"/>
                  <w:rPr>
                    <w:szCs w:val="24"/>
                  </w:rPr>
                </w:pPr>
              </w:p>
            </w:tc>
            <w:tc>
              <w:tcPr>
                <w:tcW w:w="869" w:type="dxa"/>
                <w:vAlign w:val="center"/>
              </w:tcPr>
              <w:p>
                <w:pPr>
                  <w:overflowPunct w:val="0"/>
                  <w:jc w:val="center"/>
                  <w:textAlignment w:val="baseline"/>
                  <w:rPr>
                    <w:szCs w:val="24"/>
                  </w:rPr>
                </w:pPr>
              </w:p>
            </w:tc>
            <w:tc>
              <w:tcPr>
                <w:tcW w:w="869" w:type="dxa"/>
                <w:vAlign w:val="center"/>
              </w:tcPr>
              <w:p>
                <w:pPr>
                  <w:overflowPunct w:val="0"/>
                  <w:jc w:val="center"/>
                  <w:textAlignment w:val="baseline"/>
                  <w:rPr>
                    <w:szCs w:val="24"/>
                  </w:rPr>
                </w:pPr>
              </w:p>
            </w:tc>
            <w:tc>
              <w:tcPr>
                <w:tcW w:w="869" w:type="dxa"/>
                <w:vAlign w:val="center"/>
              </w:tcPr>
              <w:p>
                <w:pPr>
                  <w:overflowPunct w:val="0"/>
                  <w:jc w:val="center"/>
                  <w:textAlignment w:val="baseline"/>
                  <w:rPr>
                    <w:szCs w:val="24"/>
                  </w:rPr>
                </w:pPr>
              </w:p>
            </w:tc>
            <w:tc>
              <w:tcPr>
                <w:tcW w:w="869" w:type="dxa"/>
                <w:vAlign w:val="center"/>
              </w:tcPr>
              <w:p>
                <w:pPr>
                  <w:overflowPunct w:val="0"/>
                  <w:jc w:val="center"/>
                  <w:textAlignment w:val="baseline"/>
                  <w:rPr>
                    <w:szCs w:val="24"/>
                  </w:rPr>
                </w:pPr>
              </w:p>
            </w:tc>
            <w:tc>
              <w:tcPr>
                <w:tcW w:w="1391" w:type="dxa"/>
                <w:vAlign w:val="center"/>
              </w:tcPr>
              <w:p>
                <w:pPr>
                  <w:overflowPunct w:val="0"/>
                  <w:jc w:val="center"/>
                  <w:textAlignment w:val="baseline"/>
                  <w:rPr>
                    <w:szCs w:val="24"/>
                  </w:rPr>
                </w:pPr>
              </w:p>
            </w:tc>
            <w:tc>
              <w:tcPr>
                <w:tcW w:w="869" w:type="dxa"/>
                <w:shd w:val="clear" w:color="auto" w:fill="auto"/>
                <w:vAlign w:val="center"/>
              </w:tcPr>
              <w:p>
                <w:pPr>
                  <w:overflowPunct w:val="0"/>
                  <w:jc w:val="center"/>
                  <w:textAlignment w:val="baseline"/>
                  <w:rPr>
                    <w:szCs w:val="24"/>
                  </w:rPr>
                </w:pPr>
              </w:p>
            </w:tc>
            <w:tc>
              <w:tcPr>
                <w:tcW w:w="869" w:type="dxa"/>
                <w:shd w:val="clear" w:color="auto" w:fill="auto"/>
                <w:vAlign w:val="center"/>
              </w:tcPr>
              <w:p>
                <w:pPr>
                  <w:overflowPunct w:val="0"/>
                  <w:jc w:val="center"/>
                  <w:textAlignment w:val="baseline"/>
                  <w:rPr>
                    <w:szCs w:val="24"/>
                  </w:rPr>
                </w:pPr>
              </w:p>
            </w:tc>
            <w:tc>
              <w:tcPr>
                <w:tcW w:w="869" w:type="dxa"/>
                <w:shd w:val="clear" w:color="auto" w:fill="auto"/>
                <w:vAlign w:val="center"/>
              </w:tcPr>
              <w:p>
                <w:pPr>
                  <w:overflowPunct w:val="0"/>
                  <w:jc w:val="center"/>
                  <w:textAlignment w:val="baseline"/>
                  <w:rPr>
                    <w:szCs w:val="24"/>
                  </w:rPr>
                </w:pPr>
              </w:p>
            </w:tc>
            <w:tc>
              <w:tcPr>
                <w:tcW w:w="869" w:type="dxa"/>
                <w:shd w:val="clear" w:color="auto" w:fill="auto"/>
                <w:vAlign w:val="center"/>
              </w:tcPr>
              <w:p>
                <w:pPr>
                  <w:overflowPunct w:val="0"/>
                  <w:jc w:val="center"/>
                  <w:textAlignment w:val="baseline"/>
                  <w:rPr>
                    <w:szCs w:val="24"/>
                  </w:rPr>
                </w:pPr>
              </w:p>
            </w:tc>
            <w:tc>
              <w:tcPr>
                <w:tcW w:w="869" w:type="dxa"/>
                <w:shd w:val="clear" w:color="auto" w:fill="auto"/>
                <w:vAlign w:val="center"/>
              </w:tcPr>
              <w:p>
                <w:pPr>
                  <w:overflowPunct w:val="0"/>
                  <w:jc w:val="center"/>
                  <w:textAlignment w:val="baseline"/>
                  <w:rPr>
                    <w:szCs w:val="24"/>
                  </w:rPr>
                </w:pPr>
              </w:p>
            </w:tc>
            <w:tc>
              <w:tcPr>
                <w:tcW w:w="1628" w:type="dxa"/>
                <w:vAlign w:val="center"/>
              </w:tcPr>
              <w:p>
                <w:pPr>
                  <w:overflowPunct w:val="0"/>
                  <w:jc w:val="center"/>
                  <w:textAlignment w:val="baseline"/>
                  <w:rPr>
                    <w:szCs w:val="24"/>
                  </w:rPr>
                </w:pPr>
              </w:p>
            </w:tc>
          </w:tr>
          <w:tr>
            <w:trPr>
              <w:cantSplit/>
              <w:trHeight w:hRule="exact" w:val="255"/>
            </w:trPr>
            <w:tc>
              <w:tcPr>
                <w:tcW w:w="1075" w:type="dxa"/>
                <w:vAlign w:val="center"/>
              </w:tcPr>
              <w:p>
                <w:pPr>
                  <w:overflowPunct w:val="0"/>
                  <w:jc w:val="both"/>
                  <w:textAlignment w:val="baseline"/>
                  <w:rPr>
                    <w:szCs w:val="24"/>
                  </w:rPr>
                </w:pPr>
              </w:p>
            </w:tc>
            <w:tc>
              <w:tcPr>
                <w:tcW w:w="1731" w:type="dxa"/>
                <w:vAlign w:val="center"/>
              </w:tcPr>
              <w:p>
                <w:pPr>
                  <w:overflowPunct w:val="0"/>
                  <w:jc w:val="both"/>
                  <w:textAlignment w:val="baseline"/>
                  <w:rPr>
                    <w:szCs w:val="24"/>
                  </w:rPr>
                </w:pPr>
              </w:p>
            </w:tc>
            <w:tc>
              <w:tcPr>
                <w:tcW w:w="869" w:type="dxa"/>
                <w:vAlign w:val="center"/>
              </w:tcPr>
              <w:p>
                <w:pPr>
                  <w:overflowPunct w:val="0"/>
                  <w:jc w:val="center"/>
                  <w:textAlignment w:val="baseline"/>
                  <w:rPr>
                    <w:szCs w:val="24"/>
                  </w:rPr>
                </w:pPr>
              </w:p>
            </w:tc>
            <w:tc>
              <w:tcPr>
                <w:tcW w:w="869" w:type="dxa"/>
                <w:vAlign w:val="center"/>
              </w:tcPr>
              <w:p>
                <w:pPr>
                  <w:overflowPunct w:val="0"/>
                  <w:jc w:val="center"/>
                  <w:textAlignment w:val="baseline"/>
                  <w:rPr>
                    <w:szCs w:val="24"/>
                  </w:rPr>
                </w:pPr>
              </w:p>
            </w:tc>
            <w:tc>
              <w:tcPr>
                <w:tcW w:w="869" w:type="dxa"/>
                <w:vAlign w:val="center"/>
              </w:tcPr>
              <w:p>
                <w:pPr>
                  <w:overflowPunct w:val="0"/>
                  <w:jc w:val="center"/>
                  <w:textAlignment w:val="baseline"/>
                  <w:rPr>
                    <w:szCs w:val="24"/>
                  </w:rPr>
                </w:pPr>
              </w:p>
            </w:tc>
            <w:tc>
              <w:tcPr>
                <w:tcW w:w="869" w:type="dxa"/>
                <w:vAlign w:val="center"/>
              </w:tcPr>
              <w:p>
                <w:pPr>
                  <w:overflowPunct w:val="0"/>
                  <w:jc w:val="center"/>
                  <w:textAlignment w:val="baseline"/>
                  <w:rPr>
                    <w:szCs w:val="24"/>
                  </w:rPr>
                </w:pPr>
              </w:p>
            </w:tc>
            <w:tc>
              <w:tcPr>
                <w:tcW w:w="869" w:type="dxa"/>
                <w:vAlign w:val="center"/>
              </w:tcPr>
              <w:p>
                <w:pPr>
                  <w:overflowPunct w:val="0"/>
                  <w:jc w:val="center"/>
                  <w:textAlignment w:val="baseline"/>
                  <w:rPr>
                    <w:szCs w:val="24"/>
                  </w:rPr>
                </w:pPr>
              </w:p>
            </w:tc>
            <w:tc>
              <w:tcPr>
                <w:tcW w:w="1391" w:type="dxa"/>
                <w:vAlign w:val="center"/>
              </w:tcPr>
              <w:p>
                <w:pPr>
                  <w:overflowPunct w:val="0"/>
                  <w:jc w:val="center"/>
                  <w:textAlignment w:val="baseline"/>
                  <w:rPr>
                    <w:szCs w:val="24"/>
                  </w:rPr>
                </w:pPr>
              </w:p>
            </w:tc>
            <w:tc>
              <w:tcPr>
                <w:tcW w:w="869" w:type="dxa"/>
                <w:shd w:val="clear" w:color="auto" w:fill="auto"/>
                <w:vAlign w:val="center"/>
              </w:tcPr>
              <w:p>
                <w:pPr>
                  <w:overflowPunct w:val="0"/>
                  <w:jc w:val="center"/>
                  <w:textAlignment w:val="baseline"/>
                  <w:rPr>
                    <w:szCs w:val="24"/>
                  </w:rPr>
                </w:pPr>
              </w:p>
            </w:tc>
            <w:tc>
              <w:tcPr>
                <w:tcW w:w="869" w:type="dxa"/>
                <w:shd w:val="clear" w:color="auto" w:fill="auto"/>
                <w:vAlign w:val="center"/>
              </w:tcPr>
              <w:p>
                <w:pPr>
                  <w:overflowPunct w:val="0"/>
                  <w:jc w:val="center"/>
                  <w:textAlignment w:val="baseline"/>
                  <w:rPr>
                    <w:szCs w:val="24"/>
                  </w:rPr>
                </w:pPr>
              </w:p>
            </w:tc>
            <w:tc>
              <w:tcPr>
                <w:tcW w:w="869" w:type="dxa"/>
                <w:shd w:val="clear" w:color="auto" w:fill="auto"/>
                <w:vAlign w:val="center"/>
              </w:tcPr>
              <w:p>
                <w:pPr>
                  <w:overflowPunct w:val="0"/>
                  <w:jc w:val="center"/>
                  <w:textAlignment w:val="baseline"/>
                  <w:rPr>
                    <w:szCs w:val="24"/>
                  </w:rPr>
                </w:pPr>
              </w:p>
            </w:tc>
            <w:tc>
              <w:tcPr>
                <w:tcW w:w="869" w:type="dxa"/>
                <w:shd w:val="clear" w:color="auto" w:fill="auto"/>
                <w:vAlign w:val="center"/>
              </w:tcPr>
              <w:p>
                <w:pPr>
                  <w:overflowPunct w:val="0"/>
                  <w:jc w:val="center"/>
                  <w:textAlignment w:val="baseline"/>
                  <w:rPr>
                    <w:szCs w:val="24"/>
                  </w:rPr>
                </w:pPr>
              </w:p>
            </w:tc>
            <w:tc>
              <w:tcPr>
                <w:tcW w:w="869" w:type="dxa"/>
                <w:shd w:val="clear" w:color="auto" w:fill="auto"/>
                <w:vAlign w:val="center"/>
              </w:tcPr>
              <w:p>
                <w:pPr>
                  <w:overflowPunct w:val="0"/>
                  <w:jc w:val="center"/>
                  <w:textAlignment w:val="baseline"/>
                  <w:rPr>
                    <w:szCs w:val="24"/>
                  </w:rPr>
                </w:pPr>
              </w:p>
            </w:tc>
            <w:tc>
              <w:tcPr>
                <w:tcW w:w="1628" w:type="dxa"/>
                <w:vAlign w:val="center"/>
              </w:tcPr>
              <w:p>
                <w:pPr>
                  <w:overflowPunct w:val="0"/>
                  <w:jc w:val="center"/>
                  <w:textAlignment w:val="baseline"/>
                  <w:rPr>
                    <w:szCs w:val="24"/>
                  </w:rPr>
                </w:pPr>
              </w:p>
            </w:tc>
          </w:tr>
          <w:tr>
            <w:trPr>
              <w:cantSplit/>
              <w:trHeight w:hRule="exact" w:val="255"/>
            </w:trPr>
            <w:tc>
              <w:tcPr>
                <w:tcW w:w="1075" w:type="dxa"/>
                <w:vAlign w:val="center"/>
              </w:tcPr>
              <w:p>
                <w:pPr>
                  <w:overflowPunct w:val="0"/>
                  <w:jc w:val="both"/>
                  <w:textAlignment w:val="baseline"/>
                  <w:rPr>
                    <w:szCs w:val="24"/>
                  </w:rPr>
                </w:pPr>
              </w:p>
            </w:tc>
            <w:tc>
              <w:tcPr>
                <w:tcW w:w="1731" w:type="dxa"/>
                <w:vAlign w:val="center"/>
              </w:tcPr>
              <w:p>
                <w:pPr>
                  <w:overflowPunct w:val="0"/>
                  <w:jc w:val="both"/>
                  <w:textAlignment w:val="baseline"/>
                  <w:rPr>
                    <w:szCs w:val="24"/>
                  </w:rPr>
                </w:pPr>
              </w:p>
            </w:tc>
            <w:tc>
              <w:tcPr>
                <w:tcW w:w="869" w:type="dxa"/>
                <w:vAlign w:val="center"/>
              </w:tcPr>
              <w:p>
                <w:pPr>
                  <w:overflowPunct w:val="0"/>
                  <w:jc w:val="center"/>
                  <w:textAlignment w:val="baseline"/>
                  <w:rPr>
                    <w:szCs w:val="24"/>
                  </w:rPr>
                </w:pPr>
              </w:p>
            </w:tc>
            <w:tc>
              <w:tcPr>
                <w:tcW w:w="869" w:type="dxa"/>
                <w:vAlign w:val="center"/>
              </w:tcPr>
              <w:p>
                <w:pPr>
                  <w:overflowPunct w:val="0"/>
                  <w:jc w:val="center"/>
                  <w:textAlignment w:val="baseline"/>
                  <w:rPr>
                    <w:szCs w:val="24"/>
                  </w:rPr>
                </w:pPr>
              </w:p>
            </w:tc>
            <w:tc>
              <w:tcPr>
                <w:tcW w:w="869" w:type="dxa"/>
                <w:vAlign w:val="center"/>
              </w:tcPr>
              <w:p>
                <w:pPr>
                  <w:overflowPunct w:val="0"/>
                  <w:jc w:val="center"/>
                  <w:textAlignment w:val="baseline"/>
                  <w:rPr>
                    <w:szCs w:val="24"/>
                  </w:rPr>
                </w:pPr>
              </w:p>
            </w:tc>
            <w:tc>
              <w:tcPr>
                <w:tcW w:w="869" w:type="dxa"/>
                <w:vAlign w:val="center"/>
              </w:tcPr>
              <w:p>
                <w:pPr>
                  <w:overflowPunct w:val="0"/>
                  <w:jc w:val="center"/>
                  <w:textAlignment w:val="baseline"/>
                  <w:rPr>
                    <w:szCs w:val="24"/>
                  </w:rPr>
                </w:pPr>
              </w:p>
            </w:tc>
            <w:tc>
              <w:tcPr>
                <w:tcW w:w="869" w:type="dxa"/>
                <w:vAlign w:val="center"/>
              </w:tcPr>
              <w:p>
                <w:pPr>
                  <w:overflowPunct w:val="0"/>
                  <w:jc w:val="center"/>
                  <w:textAlignment w:val="baseline"/>
                  <w:rPr>
                    <w:szCs w:val="24"/>
                  </w:rPr>
                </w:pPr>
              </w:p>
            </w:tc>
            <w:tc>
              <w:tcPr>
                <w:tcW w:w="1391" w:type="dxa"/>
                <w:vAlign w:val="center"/>
              </w:tcPr>
              <w:p>
                <w:pPr>
                  <w:overflowPunct w:val="0"/>
                  <w:jc w:val="center"/>
                  <w:textAlignment w:val="baseline"/>
                  <w:rPr>
                    <w:szCs w:val="24"/>
                  </w:rPr>
                </w:pPr>
              </w:p>
            </w:tc>
            <w:tc>
              <w:tcPr>
                <w:tcW w:w="869" w:type="dxa"/>
                <w:shd w:val="clear" w:color="auto" w:fill="auto"/>
                <w:vAlign w:val="center"/>
              </w:tcPr>
              <w:p>
                <w:pPr>
                  <w:overflowPunct w:val="0"/>
                  <w:jc w:val="center"/>
                  <w:textAlignment w:val="baseline"/>
                  <w:rPr>
                    <w:szCs w:val="24"/>
                  </w:rPr>
                </w:pPr>
              </w:p>
            </w:tc>
            <w:tc>
              <w:tcPr>
                <w:tcW w:w="869" w:type="dxa"/>
                <w:shd w:val="clear" w:color="auto" w:fill="auto"/>
                <w:vAlign w:val="center"/>
              </w:tcPr>
              <w:p>
                <w:pPr>
                  <w:overflowPunct w:val="0"/>
                  <w:jc w:val="center"/>
                  <w:textAlignment w:val="baseline"/>
                  <w:rPr>
                    <w:szCs w:val="24"/>
                  </w:rPr>
                </w:pPr>
              </w:p>
            </w:tc>
            <w:tc>
              <w:tcPr>
                <w:tcW w:w="869" w:type="dxa"/>
                <w:shd w:val="clear" w:color="auto" w:fill="auto"/>
                <w:vAlign w:val="center"/>
              </w:tcPr>
              <w:p>
                <w:pPr>
                  <w:overflowPunct w:val="0"/>
                  <w:jc w:val="center"/>
                  <w:textAlignment w:val="baseline"/>
                  <w:rPr>
                    <w:szCs w:val="24"/>
                  </w:rPr>
                </w:pPr>
              </w:p>
            </w:tc>
            <w:tc>
              <w:tcPr>
                <w:tcW w:w="869" w:type="dxa"/>
                <w:shd w:val="clear" w:color="auto" w:fill="auto"/>
                <w:vAlign w:val="center"/>
              </w:tcPr>
              <w:p>
                <w:pPr>
                  <w:overflowPunct w:val="0"/>
                  <w:jc w:val="center"/>
                  <w:textAlignment w:val="baseline"/>
                  <w:rPr>
                    <w:szCs w:val="24"/>
                  </w:rPr>
                </w:pPr>
              </w:p>
            </w:tc>
            <w:tc>
              <w:tcPr>
                <w:tcW w:w="869" w:type="dxa"/>
                <w:shd w:val="clear" w:color="auto" w:fill="auto"/>
                <w:vAlign w:val="center"/>
              </w:tcPr>
              <w:p>
                <w:pPr>
                  <w:overflowPunct w:val="0"/>
                  <w:jc w:val="center"/>
                  <w:textAlignment w:val="baseline"/>
                  <w:rPr>
                    <w:szCs w:val="24"/>
                  </w:rPr>
                </w:pPr>
              </w:p>
            </w:tc>
            <w:tc>
              <w:tcPr>
                <w:tcW w:w="1628" w:type="dxa"/>
                <w:vAlign w:val="center"/>
              </w:tcPr>
              <w:p>
                <w:pPr>
                  <w:overflowPunct w:val="0"/>
                  <w:jc w:val="center"/>
                  <w:textAlignment w:val="baseline"/>
                  <w:rPr>
                    <w:szCs w:val="24"/>
                  </w:rPr>
                </w:pPr>
              </w:p>
            </w:tc>
          </w:tr>
          <w:tr>
            <w:trPr>
              <w:cantSplit/>
              <w:trHeight w:hRule="exact" w:val="255"/>
            </w:trPr>
            <w:tc>
              <w:tcPr>
                <w:tcW w:w="1075" w:type="dxa"/>
                <w:vAlign w:val="center"/>
              </w:tcPr>
              <w:p>
                <w:pPr>
                  <w:overflowPunct w:val="0"/>
                  <w:jc w:val="both"/>
                  <w:textAlignment w:val="baseline"/>
                  <w:rPr>
                    <w:szCs w:val="24"/>
                  </w:rPr>
                </w:pPr>
              </w:p>
            </w:tc>
            <w:tc>
              <w:tcPr>
                <w:tcW w:w="1731" w:type="dxa"/>
                <w:vAlign w:val="center"/>
              </w:tcPr>
              <w:p>
                <w:pPr>
                  <w:overflowPunct w:val="0"/>
                  <w:jc w:val="both"/>
                  <w:textAlignment w:val="baseline"/>
                  <w:rPr>
                    <w:szCs w:val="24"/>
                  </w:rPr>
                </w:pPr>
              </w:p>
            </w:tc>
            <w:tc>
              <w:tcPr>
                <w:tcW w:w="869" w:type="dxa"/>
                <w:vAlign w:val="center"/>
              </w:tcPr>
              <w:p>
                <w:pPr>
                  <w:overflowPunct w:val="0"/>
                  <w:jc w:val="center"/>
                  <w:textAlignment w:val="baseline"/>
                  <w:rPr>
                    <w:szCs w:val="24"/>
                  </w:rPr>
                </w:pPr>
              </w:p>
            </w:tc>
            <w:tc>
              <w:tcPr>
                <w:tcW w:w="869" w:type="dxa"/>
                <w:vAlign w:val="center"/>
              </w:tcPr>
              <w:p>
                <w:pPr>
                  <w:overflowPunct w:val="0"/>
                  <w:jc w:val="center"/>
                  <w:textAlignment w:val="baseline"/>
                  <w:rPr>
                    <w:szCs w:val="24"/>
                  </w:rPr>
                </w:pPr>
              </w:p>
            </w:tc>
            <w:tc>
              <w:tcPr>
                <w:tcW w:w="869" w:type="dxa"/>
                <w:vAlign w:val="center"/>
              </w:tcPr>
              <w:p>
                <w:pPr>
                  <w:overflowPunct w:val="0"/>
                  <w:jc w:val="center"/>
                  <w:textAlignment w:val="baseline"/>
                  <w:rPr>
                    <w:szCs w:val="24"/>
                  </w:rPr>
                </w:pPr>
              </w:p>
            </w:tc>
            <w:tc>
              <w:tcPr>
                <w:tcW w:w="869" w:type="dxa"/>
                <w:vAlign w:val="center"/>
              </w:tcPr>
              <w:p>
                <w:pPr>
                  <w:overflowPunct w:val="0"/>
                  <w:jc w:val="center"/>
                  <w:textAlignment w:val="baseline"/>
                  <w:rPr>
                    <w:szCs w:val="24"/>
                  </w:rPr>
                </w:pPr>
              </w:p>
            </w:tc>
            <w:tc>
              <w:tcPr>
                <w:tcW w:w="869" w:type="dxa"/>
                <w:vAlign w:val="center"/>
              </w:tcPr>
              <w:p>
                <w:pPr>
                  <w:overflowPunct w:val="0"/>
                  <w:jc w:val="center"/>
                  <w:textAlignment w:val="baseline"/>
                  <w:rPr>
                    <w:szCs w:val="24"/>
                  </w:rPr>
                </w:pPr>
              </w:p>
            </w:tc>
            <w:tc>
              <w:tcPr>
                <w:tcW w:w="1391" w:type="dxa"/>
                <w:vAlign w:val="center"/>
              </w:tcPr>
              <w:p>
                <w:pPr>
                  <w:overflowPunct w:val="0"/>
                  <w:jc w:val="center"/>
                  <w:textAlignment w:val="baseline"/>
                  <w:rPr>
                    <w:szCs w:val="24"/>
                  </w:rPr>
                </w:pPr>
              </w:p>
            </w:tc>
            <w:tc>
              <w:tcPr>
                <w:tcW w:w="869" w:type="dxa"/>
                <w:shd w:val="clear" w:color="auto" w:fill="auto"/>
                <w:vAlign w:val="center"/>
              </w:tcPr>
              <w:p>
                <w:pPr>
                  <w:overflowPunct w:val="0"/>
                  <w:jc w:val="center"/>
                  <w:textAlignment w:val="baseline"/>
                  <w:rPr>
                    <w:szCs w:val="24"/>
                  </w:rPr>
                </w:pPr>
              </w:p>
            </w:tc>
            <w:tc>
              <w:tcPr>
                <w:tcW w:w="869" w:type="dxa"/>
                <w:shd w:val="clear" w:color="auto" w:fill="auto"/>
                <w:vAlign w:val="center"/>
              </w:tcPr>
              <w:p>
                <w:pPr>
                  <w:overflowPunct w:val="0"/>
                  <w:jc w:val="center"/>
                  <w:textAlignment w:val="baseline"/>
                  <w:rPr>
                    <w:szCs w:val="24"/>
                  </w:rPr>
                </w:pPr>
              </w:p>
            </w:tc>
            <w:tc>
              <w:tcPr>
                <w:tcW w:w="869" w:type="dxa"/>
                <w:shd w:val="clear" w:color="auto" w:fill="auto"/>
                <w:vAlign w:val="center"/>
              </w:tcPr>
              <w:p>
                <w:pPr>
                  <w:overflowPunct w:val="0"/>
                  <w:jc w:val="center"/>
                  <w:textAlignment w:val="baseline"/>
                  <w:rPr>
                    <w:szCs w:val="24"/>
                  </w:rPr>
                </w:pPr>
              </w:p>
            </w:tc>
            <w:tc>
              <w:tcPr>
                <w:tcW w:w="869" w:type="dxa"/>
                <w:shd w:val="clear" w:color="auto" w:fill="auto"/>
                <w:vAlign w:val="center"/>
              </w:tcPr>
              <w:p>
                <w:pPr>
                  <w:overflowPunct w:val="0"/>
                  <w:jc w:val="center"/>
                  <w:textAlignment w:val="baseline"/>
                  <w:rPr>
                    <w:szCs w:val="24"/>
                  </w:rPr>
                </w:pPr>
              </w:p>
            </w:tc>
            <w:tc>
              <w:tcPr>
                <w:tcW w:w="869" w:type="dxa"/>
                <w:shd w:val="clear" w:color="auto" w:fill="auto"/>
                <w:vAlign w:val="center"/>
              </w:tcPr>
              <w:p>
                <w:pPr>
                  <w:overflowPunct w:val="0"/>
                  <w:jc w:val="center"/>
                  <w:textAlignment w:val="baseline"/>
                  <w:rPr>
                    <w:szCs w:val="24"/>
                  </w:rPr>
                </w:pPr>
              </w:p>
            </w:tc>
            <w:tc>
              <w:tcPr>
                <w:tcW w:w="1628" w:type="dxa"/>
                <w:vAlign w:val="center"/>
              </w:tcPr>
              <w:p>
                <w:pPr>
                  <w:overflowPunct w:val="0"/>
                  <w:jc w:val="center"/>
                  <w:textAlignment w:val="baseline"/>
                  <w:rPr>
                    <w:szCs w:val="24"/>
                  </w:rPr>
                </w:pPr>
              </w:p>
            </w:tc>
          </w:tr>
          <w:tr>
            <w:trPr>
              <w:cantSplit/>
              <w:trHeight w:hRule="exact" w:val="255"/>
            </w:trPr>
            <w:tc>
              <w:tcPr>
                <w:tcW w:w="1075" w:type="dxa"/>
                <w:vAlign w:val="center"/>
              </w:tcPr>
              <w:p>
                <w:pPr>
                  <w:overflowPunct w:val="0"/>
                  <w:jc w:val="both"/>
                  <w:textAlignment w:val="baseline"/>
                  <w:rPr>
                    <w:szCs w:val="24"/>
                  </w:rPr>
                </w:pPr>
              </w:p>
            </w:tc>
            <w:tc>
              <w:tcPr>
                <w:tcW w:w="1731" w:type="dxa"/>
                <w:vAlign w:val="center"/>
              </w:tcPr>
              <w:p>
                <w:pPr>
                  <w:overflowPunct w:val="0"/>
                  <w:jc w:val="both"/>
                  <w:textAlignment w:val="baseline"/>
                  <w:rPr>
                    <w:szCs w:val="24"/>
                  </w:rPr>
                </w:pPr>
              </w:p>
            </w:tc>
            <w:tc>
              <w:tcPr>
                <w:tcW w:w="869" w:type="dxa"/>
                <w:vAlign w:val="center"/>
              </w:tcPr>
              <w:p>
                <w:pPr>
                  <w:overflowPunct w:val="0"/>
                  <w:jc w:val="center"/>
                  <w:textAlignment w:val="baseline"/>
                  <w:rPr>
                    <w:szCs w:val="24"/>
                  </w:rPr>
                </w:pPr>
              </w:p>
            </w:tc>
            <w:tc>
              <w:tcPr>
                <w:tcW w:w="869" w:type="dxa"/>
                <w:vAlign w:val="center"/>
              </w:tcPr>
              <w:p>
                <w:pPr>
                  <w:overflowPunct w:val="0"/>
                  <w:jc w:val="center"/>
                  <w:textAlignment w:val="baseline"/>
                  <w:rPr>
                    <w:szCs w:val="24"/>
                  </w:rPr>
                </w:pPr>
              </w:p>
            </w:tc>
            <w:tc>
              <w:tcPr>
                <w:tcW w:w="869" w:type="dxa"/>
                <w:vAlign w:val="center"/>
              </w:tcPr>
              <w:p>
                <w:pPr>
                  <w:overflowPunct w:val="0"/>
                  <w:jc w:val="center"/>
                  <w:textAlignment w:val="baseline"/>
                  <w:rPr>
                    <w:szCs w:val="24"/>
                  </w:rPr>
                </w:pPr>
              </w:p>
            </w:tc>
            <w:tc>
              <w:tcPr>
                <w:tcW w:w="869" w:type="dxa"/>
                <w:vAlign w:val="center"/>
              </w:tcPr>
              <w:p>
                <w:pPr>
                  <w:overflowPunct w:val="0"/>
                  <w:jc w:val="center"/>
                  <w:textAlignment w:val="baseline"/>
                  <w:rPr>
                    <w:szCs w:val="24"/>
                  </w:rPr>
                </w:pPr>
              </w:p>
            </w:tc>
            <w:tc>
              <w:tcPr>
                <w:tcW w:w="869" w:type="dxa"/>
                <w:vAlign w:val="center"/>
              </w:tcPr>
              <w:p>
                <w:pPr>
                  <w:overflowPunct w:val="0"/>
                  <w:jc w:val="center"/>
                  <w:textAlignment w:val="baseline"/>
                  <w:rPr>
                    <w:szCs w:val="24"/>
                  </w:rPr>
                </w:pPr>
              </w:p>
            </w:tc>
            <w:tc>
              <w:tcPr>
                <w:tcW w:w="1391" w:type="dxa"/>
                <w:vAlign w:val="center"/>
              </w:tcPr>
              <w:p>
                <w:pPr>
                  <w:overflowPunct w:val="0"/>
                  <w:jc w:val="center"/>
                  <w:textAlignment w:val="baseline"/>
                  <w:rPr>
                    <w:szCs w:val="24"/>
                  </w:rPr>
                </w:pPr>
              </w:p>
            </w:tc>
            <w:tc>
              <w:tcPr>
                <w:tcW w:w="869" w:type="dxa"/>
                <w:shd w:val="clear" w:color="auto" w:fill="auto"/>
                <w:vAlign w:val="center"/>
              </w:tcPr>
              <w:p>
                <w:pPr>
                  <w:overflowPunct w:val="0"/>
                  <w:jc w:val="center"/>
                  <w:textAlignment w:val="baseline"/>
                  <w:rPr>
                    <w:szCs w:val="24"/>
                  </w:rPr>
                </w:pPr>
              </w:p>
            </w:tc>
            <w:tc>
              <w:tcPr>
                <w:tcW w:w="869" w:type="dxa"/>
                <w:shd w:val="clear" w:color="auto" w:fill="auto"/>
                <w:vAlign w:val="center"/>
              </w:tcPr>
              <w:p>
                <w:pPr>
                  <w:overflowPunct w:val="0"/>
                  <w:jc w:val="center"/>
                  <w:textAlignment w:val="baseline"/>
                  <w:rPr>
                    <w:szCs w:val="24"/>
                  </w:rPr>
                </w:pPr>
              </w:p>
            </w:tc>
            <w:tc>
              <w:tcPr>
                <w:tcW w:w="869" w:type="dxa"/>
                <w:shd w:val="clear" w:color="auto" w:fill="auto"/>
                <w:vAlign w:val="center"/>
              </w:tcPr>
              <w:p>
                <w:pPr>
                  <w:overflowPunct w:val="0"/>
                  <w:jc w:val="center"/>
                  <w:textAlignment w:val="baseline"/>
                  <w:rPr>
                    <w:szCs w:val="24"/>
                  </w:rPr>
                </w:pPr>
              </w:p>
            </w:tc>
            <w:tc>
              <w:tcPr>
                <w:tcW w:w="869" w:type="dxa"/>
                <w:shd w:val="clear" w:color="auto" w:fill="auto"/>
                <w:vAlign w:val="center"/>
              </w:tcPr>
              <w:p>
                <w:pPr>
                  <w:overflowPunct w:val="0"/>
                  <w:jc w:val="center"/>
                  <w:textAlignment w:val="baseline"/>
                  <w:rPr>
                    <w:szCs w:val="24"/>
                  </w:rPr>
                </w:pPr>
              </w:p>
            </w:tc>
            <w:tc>
              <w:tcPr>
                <w:tcW w:w="869" w:type="dxa"/>
                <w:shd w:val="clear" w:color="auto" w:fill="auto"/>
                <w:vAlign w:val="center"/>
              </w:tcPr>
              <w:p>
                <w:pPr>
                  <w:overflowPunct w:val="0"/>
                  <w:jc w:val="center"/>
                  <w:textAlignment w:val="baseline"/>
                  <w:rPr>
                    <w:szCs w:val="24"/>
                  </w:rPr>
                </w:pPr>
              </w:p>
            </w:tc>
            <w:tc>
              <w:tcPr>
                <w:tcW w:w="1628" w:type="dxa"/>
                <w:vAlign w:val="center"/>
              </w:tcPr>
              <w:p>
                <w:pPr>
                  <w:overflowPunct w:val="0"/>
                  <w:jc w:val="center"/>
                  <w:textAlignment w:val="baseline"/>
                  <w:rPr>
                    <w:szCs w:val="24"/>
                  </w:rPr>
                </w:pPr>
              </w:p>
            </w:tc>
          </w:tr>
          <w:tr>
            <w:trPr>
              <w:cantSplit/>
              <w:trHeight w:hRule="exact" w:val="255"/>
            </w:trPr>
            <w:tc>
              <w:tcPr>
                <w:tcW w:w="1075" w:type="dxa"/>
                <w:vAlign w:val="center"/>
              </w:tcPr>
              <w:p>
                <w:pPr>
                  <w:overflowPunct w:val="0"/>
                  <w:jc w:val="both"/>
                  <w:textAlignment w:val="baseline"/>
                  <w:rPr>
                    <w:szCs w:val="24"/>
                  </w:rPr>
                </w:pPr>
              </w:p>
            </w:tc>
            <w:tc>
              <w:tcPr>
                <w:tcW w:w="1731" w:type="dxa"/>
                <w:vAlign w:val="center"/>
              </w:tcPr>
              <w:p>
                <w:pPr>
                  <w:overflowPunct w:val="0"/>
                  <w:jc w:val="both"/>
                  <w:textAlignment w:val="baseline"/>
                  <w:rPr>
                    <w:szCs w:val="24"/>
                  </w:rPr>
                </w:pPr>
              </w:p>
            </w:tc>
            <w:tc>
              <w:tcPr>
                <w:tcW w:w="869" w:type="dxa"/>
                <w:vAlign w:val="center"/>
              </w:tcPr>
              <w:p>
                <w:pPr>
                  <w:overflowPunct w:val="0"/>
                  <w:jc w:val="center"/>
                  <w:textAlignment w:val="baseline"/>
                  <w:rPr>
                    <w:szCs w:val="24"/>
                  </w:rPr>
                </w:pPr>
              </w:p>
            </w:tc>
            <w:tc>
              <w:tcPr>
                <w:tcW w:w="869" w:type="dxa"/>
                <w:vAlign w:val="center"/>
              </w:tcPr>
              <w:p>
                <w:pPr>
                  <w:overflowPunct w:val="0"/>
                  <w:jc w:val="center"/>
                  <w:textAlignment w:val="baseline"/>
                  <w:rPr>
                    <w:szCs w:val="24"/>
                  </w:rPr>
                </w:pPr>
              </w:p>
            </w:tc>
            <w:tc>
              <w:tcPr>
                <w:tcW w:w="869" w:type="dxa"/>
                <w:vAlign w:val="center"/>
              </w:tcPr>
              <w:p>
                <w:pPr>
                  <w:overflowPunct w:val="0"/>
                  <w:jc w:val="center"/>
                  <w:textAlignment w:val="baseline"/>
                  <w:rPr>
                    <w:szCs w:val="24"/>
                  </w:rPr>
                </w:pPr>
              </w:p>
            </w:tc>
            <w:tc>
              <w:tcPr>
                <w:tcW w:w="869" w:type="dxa"/>
                <w:vAlign w:val="center"/>
              </w:tcPr>
              <w:p>
                <w:pPr>
                  <w:overflowPunct w:val="0"/>
                  <w:jc w:val="center"/>
                  <w:textAlignment w:val="baseline"/>
                  <w:rPr>
                    <w:szCs w:val="24"/>
                  </w:rPr>
                </w:pPr>
              </w:p>
            </w:tc>
            <w:tc>
              <w:tcPr>
                <w:tcW w:w="869" w:type="dxa"/>
                <w:vAlign w:val="center"/>
              </w:tcPr>
              <w:p>
                <w:pPr>
                  <w:overflowPunct w:val="0"/>
                  <w:jc w:val="center"/>
                  <w:textAlignment w:val="baseline"/>
                  <w:rPr>
                    <w:szCs w:val="24"/>
                  </w:rPr>
                </w:pPr>
              </w:p>
            </w:tc>
            <w:tc>
              <w:tcPr>
                <w:tcW w:w="1391" w:type="dxa"/>
                <w:vAlign w:val="center"/>
              </w:tcPr>
              <w:p>
                <w:pPr>
                  <w:overflowPunct w:val="0"/>
                  <w:jc w:val="center"/>
                  <w:textAlignment w:val="baseline"/>
                  <w:rPr>
                    <w:szCs w:val="24"/>
                  </w:rPr>
                </w:pPr>
              </w:p>
            </w:tc>
            <w:tc>
              <w:tcPr>
                <w:tcW w:w="869" w:type="dxa"/>
                <w:shd w:val="clear" w:color="auto" w:fill="auto"/>
                <w:vAlign w:val="center"/>
              </w:tcPr>
              <w:p>
                <w:pPr>
                  <w:overflowPunct w:val="0"/>
                  <w:jc w:val="center"/>
                  <w:textAlignment w:val="baseline"/>
                  <w:rPr>
                    <w:szCs w:val="24"/>
                  </w:rPr>
                </w:pPr>
              </w:p>
            </w:tc>
            <w:tc>
              <w:tcPr>
                <w:tcW w:w="869" w:type="dxa"/>
                <w:shd w:val="clear" w:color="auto" w:fill="auto"/>
                <w:vAlign w:val="center"/>
              </w:tcPr>
              <w:p>
                <w:pPr>
                  <w:overflowPunct w:val="0"/>
                  <w:jc w:val="center"/>
                  <w:textAlignment w:val="baseline"/>
                  <w:rPr>
                    <w:szCs w:val="24"/>
                  </w:rPr>
                </w:pPr>
              </w:p>
            </w:tc>
            <w:tc>
              <w:tcPr>
                <w:tcW w:w="869" w:type="dxa"/>
                <w:shd w:val="clear" w:color="auto" w:fill="auto"/>
                <w:vAlign w:val="center"/>
              </w:tcPr>
              <w:p>
                <w:pPr>
                  <w:overflowPunct w:val="0"/>
                  <w:jc w:val="center"/>
                  <w:textAlignment w:val="baseline"/>
                  <w:rPr>
                    <w:szCs w:val="24"/>
                  </w:rPr>
                </w:pPr>
              </w:p>
            </w:tc>
            <w:tc>
              <w:tcPr>
                <w:tcW w:w="869" w:type="dxa"/>
                <w:shd w:val="clear" w:color="auto" w:fill="auto"/>
                <w:vAlign w:val="center"/>
              </w:tcPr>
              <w:p>
                <w:pPr>
                  <w:overflowPunct w:val="0"/>
                  <w:jc w:val="center"/>
                  <w:textAlignment w:val="baseline"/>
                  <w:rPr>
                    <w:szCs w:val="24"/>
                  </w:rPr>
                </w:pPr>
              </w:p>
            </w:tc>
            <w:tc>
              <w:tcPr>
                <w:tcW w:w="869" w:type="dxa"/>
                <w:shd w:val="clear" w:color="auto" w:fill="auto"/>
                <w:vAlign w:val="center"/>
              </w:tcPr>
              <w:p>
                <w:pPr>
                  <w:overflowPunct w:val="0"/>
                  <w:jc w:val="center"/>
                  <w:textAlignment w:val="baseline"/>
                  <w:rPr>
                    <w:szCs w:val="24"/>
                  </w:rPr>
                </w:pPr>
              </w:p>
            </w:tc>
            <w:tc>
              <w:tcPr>
                <w:tcW w:w="1628" w:type="dxa"/>
                <w:vAlign w:val="center"/>
              </w:tcPr>
              <w:p>
                <w:pPr>
                  <w:overflowPunct w:val="0"/>
                  <w:jc w:val="center"/>
                  <w:textAlignment w:val="baseline"/>
                  <w:rPr>
                    <w:szCs w:val="24"/>
                  </w:rPr>
                </w:pPr>
              </w:p>
            </w:tc>
          </w:tr>
          <w:tr>
            <w:trPr>
              <w:cantSplit/>
              <w:trHeight w:hRule="exact" w:val="255"/>
            </w:trPr>
            <w:tc>
              <w:tcPr>
                <w:tcW w:w="1075" w:type="dxa"/>
                <w:vAlign w:val="center"/>
              </w:tcPr>
              <w:p>
                <w:pPr>
                  <w:overflowPunct w:val="0"/>
                  <w:jc w:val="both"/>
                  <w:textAlignment w:val="baseline"/>
                  <w:rPr>
                    <w:szCs w:val="24"/>
                  </w:rPr>
                </w:pPr>
              </w:p>
            </w:tc>
            <w:tc>
              <w:tcPr>
                <w:tcW w:w="1731" w:type="dxa"/>
                <w:vAlign w:val="center"/>
              </w:tcPr>
              <w:p>
                <w:pPr>
                  <w:overflowPunct w:val="0"/>
                  <w:jc w:val="both"/>
                  <w:textAlignment w:val="baseline"/>
                  <w:rPr>
                    <w:szCs w:val="24"/>
                  </w:rPr>
                </w:pPr>
              </w:p>
            </w:tc>
            <w:tc>
              <w:tcPr>
                <w:tcW w:w="869" w:type="dxa"/>
                <w:vAlign w:val="center"/>
              </w:tcPr>
              <w:p>
                <w:pPr>
                  <w:overflowPunct w:val="0"/>
                  <w:jc w:val="center"/>
                  <w:textAlignment w:val="baseline"/>
                  <w:rPr>
                    <w:szCs w:val="24"/>
                  </w:rPr>
                </w:pPr>
              </w:p>
            </w:tc>
            <w:tc>
              <w:tcPr>
                <w:tcW w:w="869" w:type="dxa"/>
                <w:vAlign w:val="center"/>
              </w:tcPr>
              <w:p>
                <w:pPr>
                  <w:overflowPunct w:val="0"/>
                  <w:jc w:val="center"/>
                  <w:textAlignment w:val="baseline"/>
                  <w:rPr>
                    <w:szCs w:val="24"/>
                  </w:rPr>
                </w:pPr>
              </w:p>
            </w:tc>
            <w:tc>
              <w:tcPr>
                <w:tcW w:w="869" w:type="dxa"/>
                <w:vAlign w:val="center"/>
              </w:tcPr>
              <w:p>
                <w:pPr>
                  <w:overflowPunct w:val="0"/>
                  <w:jc w:val="center"/>
                  <w:textAlignment w:val="baseline"/>
                  <w:rPr>
                    <w:szCs w:val="24"/>
                  </w:rPr>
                </w:pPr>
              </w:p>
            </w:tc>
            <w:tc>
              <w:tcPr>
                <w:tcW w:w="869" w:type="dxa"/>
                <w:vAlign w:val="center"/>
              </w:tcPr>
              <w:p>
                <w:pPr>
                  <w:overflowPunct w:val="0"/>
                  <w:jc w:val="center"/>
                  <w:textAlignment w:val="baseline"/>
                  <w:rPr>
                    <w:szCs w:val="24"/>
                  </w:rPr>
                </w:pPr>
              </w:p>
            </w:tc>
            <w:tc>
              <w:tcPr>
                <w:tcW w:w="869" w:type="dxa"/>
                <w:vAlign w:val="center"/>
              </w:tcPr>
              <w:p>
                <w:pPr>
                  <w:overflowPunct w:val="0"/>
                  <w:jc w:val="center"/>
                  <w:textAlignment w:val="baseline"/>
                  <w:rPr>
                    <w:szCs w:val="24"/>
                  </w:rPr>
                </w:pPr>
              </w:p>
            </w:tc>
            <w:tc>
              <w:tcPr>
                <w:tcW w:w="1391" w:type="dxa"/>
                <w:vAlign w:val="center"/>
              </w:tcPr>
              <w:p>
                <w:pPr>
                  <w:overflowPunct w:val="0"/>
                  <w:jc w:val="center"/>
                  <w:textAlignment w:val="baseline"/>
                  <w:rPr>
                    <w:szCs w:val="24"/>
                  </w:rPr>
                </w:pPr>
              </w:p>
            </w:tc>
            <w:tc>
              <w:tcPr>
                <w:tcW w:w="869" w:type="dxa"/>
                <w:shd w:val="clear" w:color="auto" w:fill="auto"/>
                <w:vAlign w:val="center"/>
              </w:tcPr>
              <w:p>
                <w:pPr>
                  <w:overflowPunct w:val="0"/>
                  <w:jc w:val="center"/>
                  <w:textAlignment w:val="baseline"/>
                  <w:rPr>
                    <w:szCs w:val="24"/>
                  </w:rPr>
                </w:pPr>
              </w:p>
            </w:tc>
            <w:tc>
              <w:tcPr>
                <w:tcW w:w="869" w:type="dxa"/>
                <w:shd w:val="clear" w:color="auto" w:fill="auto"/>
                <w:vAlign w:val="center"/>
              </w:tcPr>
              <w:p>
                <w:pPr>
                  <w:overflowPunct w:val="0"/>
                  <w:jc w:val="center"/>
                  <w:textAlignment w:val="baseline"/>
                  <w:rPr>
                    <w:szCs w:val="24"/>
                  </w:rPr>
                </w:pPr>
              </w:p>
            </w:tc>
            <w:tc>
              <w:tcPr>
                <w:tcW w:w="869" w:type="dxa"/>
                <w:shd w:val="clear" w:color="auto" w:fill="auto"/>
                <w:vAlign w:val="center"/>
              </w:tcPr>
              <w:p>
                <w:pPr>
                  <w:overflowPunct w:val="0"/>
                  <w:jc w:val="center"/>
                  <w:textAlignment w:val="baseline"/>
                  <w:rPr>
                    <w:szCs w:val="24"/>
                  </w:rPr>
                </w:pPr>
              </w:p>
            </w:tc>
            <w:tc>
              <w:tcPr>
                <w:tcW w:w="869" w:type="dxa"/>
                <w:shd w:val="clear" w:color="auto" w:fill="auto"/>
                <w:vAlign w:val="center"/>
              </w:tcPr>
              <w:p>
                <w:pPr>
                  <w:overflowPunct w:val="0"/>
                  <w:jc w:val="center"/>
                  <w:textAlignment w:val="baseline"/>
                  <w:rPr>
                    <w:szCs w:val="24"/>
                  </w:rPr>
                </w:pPr>
              </w:p>
            </w:tc>
            <w:tc>
              <w:tcPr>
                <w:tcW w:w="869" w:type="dxa"/>
                <w:shd w:val="clear" w:color="auto" w:fill="auto"/>
                <w:vAlign w:val="center"/>
              </w:tcPr>
              <w:p>
                <w:pPr>
                  <w:overflowPunct w:val="0"/>
                  <w:jc w:val="center"/>
                  <w:textAlignment w:val="baseline"/>
                  <w:rPr>
                    <w:szCs w:val="24"/>
                  </w:rPr>
                </w:pPr>
              </w:p>
            </w:tc>
            <w:tc>
              <w:tcPr>
                <w:tcW w:w="1628" w:type="dxa"/>
                <w:vAlign w:val="center"/>
              </w:tcPr>
              <w:p>
                <w:pPr>
                  <w:overflowPunct w:val="0"/>
                  <w:jc w:val="center"/>
                  <w:textAlignment w:val="baseline"/>
                  <w:rPr>
                    <w:szCs w:val="24"/>
                  </w:rPr>
                </w:pPr>
              </w:p>
            </w:tc>
          </w:tr>
          <w:tr>
            <w:trPr>
              <w:cantSplit/>
              <w:trHeight w:hRule="exact" w:val="255"/>
            </w:trPr>
            <w:tc>
              <w:tcPr>
                <w:tcW w:w="1075" w:type="dxa"/>
                <w:vAlign w:val="center"/>
              </w:tcPr>
              <w:p>
                <w:pPr>
                  <w:overflowPunct w:val="0"/>
                  <w:jc w:val="both"/>
                  <w:textAlignment w:val="baseline"/>
                  <w:rPr>
                    <w:szCs w:val="24"/>
                  </w:rPr>
                </w:pPr>
              </w:p>
            </w:tc>
            <w:tc>
              <w:tcPr>
                <w:tcW w:w="1731" w:type="dxa"/>
                <w:vAlign w:val="center"/>
              </w:tcPr>
              <w:p>
                <w:pPr>
                  <w:overflowPunct w:val="0"/>
                  <w:jc w:val="both"/>
                  <w:textAlignment w:val="baseline"/>
                  <w:rPr>
                    <w:szCs w:val="24"/>
                  </w:rPr>
                </w:pPr>
              </w:p>
            </w:tc>
            <w:tc>
              <w:tcPr>
                <w:tcW w:w="869" w:type="dxa"/>
                <w:vAlign w:val="center"/>
              </w:tcPr>
              <w:p>
                <w:pPr>
                  <w:overflowPunct w:val="0"/>
                  <w:jc w:val="center"/>
                  <w:textAlignment w:val="baseline"/>
                  <w:rPr>
                    <w:szCs w:val="24"/>
                  </w:rPr>
                </w:pPr>
              </w:p>
            </w:tc>
            <w:tc>
              <w:tcPr>
                <w:tcW w:w="869" w:type="dxa"/>
                <w:vAlign w:val="center"/>
              </w:tcPr>
              <w:p>
                <w:pPr>
                  <w:overflowPunct w:val="0"/>
                  <w:jc w:val="center"/>
                  <w:textAlignment w:val="baseline"/>
                  <w:rPr>
                    <w:szCs w:val="24"/>
                  </w:rPr>
                </w:pPr>
              </w:p>
            </w:tc>
            <w:tc>
              <w:tcPr>
                <w:tcW w:w="869" w:type="dxa"/>
                <w:vAlign w:val="center"/>
              </w:tcPr>
              <w:p>
                <w:pPr>
                  <w:overflowPunct w:val="0"/>
                  <w:jc w:val="center"/>
                  <w:textAlignment w:val="baseline"/>
                  <w:rPr>
                    <w:szCs w:val="24"/>
                  </w:rPr>
                </w:pPr>
              </w:p>
            </w:tc>
            <w:tc>
              <w:tcPr>
                <w:tcW w:w="869" w:type="dxa"/>
                <w:vAlign w:val="center"/>
              </w:tcPr>
              <w:p>
                <w:pPr>
                  <w:overflowPunct w:val="0"/>
                  <w:jc w:val="center"/>
                  <w:textAlignment w:val="baseline"/>
                  <w:rPr>
                    <w:szCs w:val="24"/>
                  </w:rPr>
                </w:pPr>
              </w:p>
            </w:tc>
            <w:tc>
              <w:tcPr>
                <w:tcW w:w="869" w:type="dxa"/>
                <w:vAlign w:val="center"/>
              </w:tcPr>
              <w:p>
                <w:pPr>
                  <w:overflowPunct w:val="0"/>
                  <w:jc w:val="center"/>
                  <w:textAlignment w:val="baseline"/>
                  <w:rPr>
                    <w:szCs w:val="24"/>
                  </w:rPr>
                </w:pPr>
              </w:p>
            </w:tc>
            <w:tc>
              <w:tcPr>
                <w:tcW w:w="1391" w:type="dxa"/>
                <w:vAlign w:val="center"/>
              </w:tcPr>
              <w:p>
                <w:pPr>
                  <w:overflowPunct w:val="0"/>
                  <w:jc w:val="center"/>
                  <w:textAlignment w:val="baseline"/>
                  <w:rPr>
                    <w:szCs w:val="24"/>
                  </w:rPr>
                </w:pPr>
              </w:p>
            </w:tc>
            <w:tc>
              <w:tcPr>
                <w:tcW w:w="869" w:type="dxa"/>
                <w:shd w:val="clear" w:color="auto" w:fill="auto"/>
                <w:vAlign w:val="center"/>
              </w:tcPr>
              <w:p>
                <w:pPr>
                  <w:overflowPunct w:val="0"/>
                  <w:jc w:val="center"/>
                  <w:textAlignment w:val="baseline"/>
                  <w:rPr>
                    <w:szCs w:val="24"/>
                  </w:rPr>
                </w:pPr>
              </w:p>
            </w:tc>
            <w:tc>
              <w:tcPr>
                <w:tcW w:w="869" w:type="dxa"/>
                <w:shd w:val="clear" w:color="auto" w:fill="auto"/>
                <w:vAlign w:val="center"/>
              </w:tcPr>
              <w:p>
                <w:pPr>
                  <w:overflowPunct w:val="0"/>
                  <w:jc w:val="center"/>
                  <w:textAlignment w:val="baseline"/>
                  <w:rPr>
                    <w:szCs w:val="24"/>
                  </w:rPr>
                </w:pPr>
              </w:p>
            </w:tc>
            <w:tc>
              <w:tcPr>
                <w:tcW w:w="869" w:type="dxa"/>
                <w:shd w:val="clear" w:color="auto" w:fill="auto"/>
                <w:vAlign w:val="center"/>
              </w:tcPr>
              <w:p>
                <w:pPr>
                  <w:overflowPunct w:val="0"/>
                  <w:jc w:val="center"/>
                  <w:textAlignment w:val="baseline"/>
                  <w:rPr>
                    <w:szCs w:val="24"/>
                  </w:rPr>
                </w:pPr>
              </w:p>
            </w:tc>
            <w:tc>
              <w:tcPr>
                <w:tcW w:w="869" w:type="dxa"/>
                <w:shd w:val="clear" w:color="auto" w:fill="auto"/>
                <w:vAlign w:val="center"/>
              </w:tcPr>
              <w:p>
                <w:pPr>
                  <w:overflowPunct w:val="0"/>
                  <w:jc w:val="center"/>
                  <w:textAlignment w:val="baseline"/>
                  <w:rPr>
                    <w:szCs w:val="24"/>
                  </w:rPr>
                </w:pPr>
              </w:p>
            </w:tc>
            <w:tc>
              <w:tcPr>
                <w:tcW w:w="869" w:type="dxa"/>
                <w:shd w:val="clear" w:color="auto" w:fill="auto"/>
                <w:vAlign w:val="center"/>
              </w:tcPr>
              <w:p>
                <w:pPr>
                  <w:overflowPunct w:val="0"/>
                  <w:jc w:val="center"/>
                  <w:textAlignment w:val="baseline"/>
                  <w:rPr>
                    <w:szCs w:val="24"/>
                  </w:rPr>
                </w:pPr>
              </w:p>
            </w:tc>
            <w:tc>
              <w:tcPr>
                <w:tcW w:w="1628" w:type="dxa"/>
                <w:vAlign w:val="center"/>
              </w:tcPr>
              <w:p>
                <w:pPr>
                  <w:overflowPunct w:val="0"/>
                  <w:jc w:val="center"/>
                  <w:textAlignment w:val="baseline"/>
                  <w:rPr>
                    <w:szCs w:val="24"/>
                  </w:rPr>
                </w:pPr>
              </w:p>
            </w:tc>
          </w:tr>
          <w:tr>
            <w:trPr>
              <w:cantSplit/>
              <w:trHeight w:hRule="exact" w:val="255"/>
            </w:trPr>
            <w:tc>
              <w:tcPr>
                <w:tcW w:w="1075" w:type="dxa"/>
                <w:vAlign w:val="center"/>
              </w:tcPr>
              <w:p>
                <w:pPr>
                  <w:overflowPunct w:val="0"/>
                  <w:jc w:val="both"/>
                  <w:textAlignment w:val="baseline"/>
                  <w:rPr>
                    <w:szCs w:val="24"/>
                  </w:rPr>
                </w:pPr>
              </w:p>
            </w:tc>
            <w:tc>
              <w:tcPr>
                <w:tcW w:w="1731" w:type="dxa"/>
                <w:vAlign w:val="center"/>
              </w:tcPr>
              <w:p>
                <w:pPr>
                  <w:overflowPunct w:val="0"/>
                  <w:jc w:val="both"/>
                  <w:textAlignment w:val="baseline"/>
                  <w:rPr>
                    <w:szCs w:val="24"/>
                  </w:rPr>
                </w:pPr>
              </w:p>
            </w:tc>
            <w:tc>
              <w:tcPr>
                <w:tcW w:w="869" w:type="dxa"/>
                <w:vAlign w:val="center"/>
              </w:tcPr>
              <w:p>
                <w:pPr>
                  <w:overflowPunct w:val="0"/>
                  <w:jc w:val="center"/>
                  <w:textAlignment w:val="baseline"/>
                  <w:rPr>
                    <w:szCs w:val="24"/>
                  </w:rPr>
                </w:pPr>
              </w:p>
            </w:tc>
            <w:tc>
              <w:tcPr>
                <w:tcW w:w="869" w:type="dxa"/>
                <w:vAlign w:val="center"/>
              </w:tcPr>
              <w:p>
                <w:pPr>
                  <w:overflowPunct w:val="0"/>
                  <w:jc w:val="center"/>
                  <w:textAlignment w:val="baseline"/>
                  <w:rPr>
                    <w:szCs w:val="24"/>
                  </w:rPr>
                </w:pPr>
              </w:p>
            </w:tc>
            <w:tc>
              <w:tcPr>
                <w:tcW w:w="869" w:type="dxa"/>
                <w:vAlign w:val="center"/>
              </w:tcPr>
              <w:p>
                <w:pPr>
                  <w:overflowPunct w:val="0"/>
                  <w:jc w:val="center"/>
                  <w:textAlignment w:val="baseline"/>
                  <w:rPr>
                    <w:szCs w:val="24"/>
                  </w:rPr>
                </w:pPr>
              </w:p>
            </w:tc>
            <w:tc>
              <w:tcPr>
                <w:tcW w:w="869" w:type="dxa"/>
                <w:vAlign w:val="center"/>
              </w:tcPr>
              <w:p>
                <w:pPr>
                  <w:overflowPunct w:val="0"/>
                  <w:jc w:val="center"/>
                  <w:textAlignment w:val="baseline"/>
                  <w:rPr>
                    <w:szCs w:val="24"/>
                  </w:rPr>
                </w:pPr>
              </w:p>
            </w:tc>
            <w:tc>
              <w:tcPr>
                <w:tcW w:w="869" w:type="dxa"/>
                <w:vAlign w:val="center"/>
              </w:tcPr>
              <w:p>
                <w:pPr>
                  <w:overflowPunct w:val="0"/>
                  <w:jc w:val="center"/>
                  <w:textAlignment w:val="baseline"/>
                  <w:rPr>
                    <w:szCs w:val="24"/>
                  </w:rPr>
                </w:pPr>
              </w:p>
            </w:tc>
            <w:tc>
              <w:tcPr>
                <w:tcW w:w="1391" w:type="dxa"/>
                <w:vAlign w:val="center"/>
              </w:tcPr>
              <w:p>
                <w:pPr>
                  <w:overflowPunct w:val="0"/>
                  <w:jc w:val="center"/>
                  <w:textAlignment w:val="baseline"/>
                  <w:rPr>
                    <w:szCs w:val="24"/>
                  </w:rPr>
                </w:pPr>
              </w:p>
            </w:tc>
            <w:tc>
              <w:tcPr>
                <w:tcW w:w="869" w:type="dxa"/>
                <w:shd w:val="clear" w:color="auto" w:fill="auto"/>
                <w:vAlign w:val="center"/>
              </w:tcPr>
              <w:p>
                <w:pPr>
                  <w:overflowPunct w:val="0"/>
                  <w:jc w:val="center"/>
                  <w:textAlignment w:val="baseline"/>
                  <w:rPr>
                    <w:szCs w:val="24"/>
                  </w:rPr>
                </w:pPr>
              </w:p>
            </w:tc>
            <w:tc>
              <w:tcPr>
                <w:tcW w:w="869" w:type="dxa"/>
                <w:shd w:val="clear" w:color="auto" w:fill="auto"/>
                <w:vAlign w:val="center"/>
              </w:tcPr>
              <w:p>
                <w:pPr>
                  <w:overflowPunct w:val="0"/>
                  <w:jc w:val="center"/>
                  <w:textAlignment w:val="baseline"/>
                  <w:rPr>
                    <w:szCs w:val="24"/>
                  </w:rPr>
                </w:pPr>
              </w:p>
            </w:tc>
            <w:tc>
              <w:tcPr>
                <w:tcW w:w="869" w:type="dxa"/>
                <w:shd w:val="clear" w:color="auto" w:fill="auto"/>
                <w:vAlign w:val="center"/>
              </w:tcPr>
              <w:p>
                <w:pPr>
                  <w:overflowPunct w:val="0"/>
                  <w:jc w:val="center"/>
                  <w:textAlignment w:val="baseline"/>
                  <w:rPr>
                    <w:szCs w:val="24"/>
                  </w:rPr>
                </w:pPr>
              </w:p>
            </w:tc>
            <w:tc>
              <w:tcPr>
                <w:tcW w:w="869" w:type="dxa"/>
                <w:shd w:val="clear" w:color="auto" w:fill="auto"/>
                <w:vAlign w:val="center"/>
              </w:tcPr>
              <w:p>
                <w:pPr>
                  <w:overflowPunct w:val="0"/>
                  <w:jc w:val="center"/>
                  <w:textAlignment w:val="baseline"/>
                  <w:rPr>
                    <w:szCs w:val="24"/>
                  </w:rPr>
                </w:pPr>
              </w:p>
            </w:tc>
            <w:tc>
              <w:tcPr>
                <w:tcW w:w="869" w:type="dxa"/>
                <w:shd w:val="clear" w:color="auto" w:fill="auto"/>
                <w:vAlign w:val="center"/>
              </w:tcPr>
              <w:p>
                <w:pPr>
                  <w:overflowPunct w:val="0"/>
                  <w:jc w:val="center"/>
                  <w:textAlignment w:val="baseline"/>
                  <w:rPr>
                    <w:szCs w:val="24"/>
                  </w:rPr>
                </w:pPr>
              </w:p>
            </w:tc>
            <w:tc>
              <w:tcPr>
                <w:tcW w:w="1628" w:type="dxa"/>
                <w:vAlign w:val="center"/>
              </w:tcPr>
              <w:p>
                <w:pPr>
                  <w:overflowPunct w:val="0"/>
                  <w:jc w:val="center"/>
                  <w:textAlignment w:val="baseline"/>
                  <w:rPr>
                    <w:szCs w:val="24"/>
                  </w:rPr>
                </w:pPr>
              </w:p>
            </w:tc>
          </w:tr>
          <w:tr>
            <w:trPr>
              <w:cantSplit/>
              <w:trHeight w:hRule="exact" w:val="255"/>
            </w:trPr>
            <w:tc>
              <w:tcPr>
                <w:tcW w:w="2806" w:type="dxa"/>
                <w:gridSpan w:val="2"/>
                <w:vAlign w:val="center"/>
              </w:tcPr>
              <w:p>
                <w:pPr>
                  <w:overflowPunct w:val="0"/>
                  <w:jc w:val="both"/>
                  <w:textAlignment w:val="baseline"/>
                  <w:rPr>
                    <w:szCs w:val="24"/>
                  </w:rPr>
                </w:pPr>
                <w:r>
                  <w:rPr>
                    <w:szCs w:val="24"/>
                  </w:rPr>
                  <w:t>Likutis mėn. pabaigoje</w:t>
                </w:r>
              </w:p>
            </w:tc>
            <w:tc>
              <w:tcPr>
                <w:tcW w:w="869" w:type="dxa"/>
                <w:vAlign w:val="center"/>
              </w:tcPr>
              <w:p>
                <w:pPr>
                  <w:overflowPunct w:val="0"/>
                  <w:jc w:val="center"/>
                  <w:textAlignment w:val="baseline"/>
                  <w:rPr>
                    <w:szCs w:val="24"/>
                  </w:rPr>
                </w:pPr>
                <w:r>
                  <w:rPr>
                    <w:szCs w:val="24"/>
                  </w:rPr>
                  <w:t>x</w:t>
                </w:r>
              </w:p>
            </w:tc>
            <w:tc>
              <w:tcPr>
                <w:tcW w:w="869" w:type="dxa"/>
                <w:vAlign w:val="center"/>
              </w:tcPr>
              <w:p>
                <w:pPr>
                  <w:overflowPunct w:val="0"/>
                  <w:jc w:val="center"/>
                  <w:textAlignment w:val="baseline"/>
                  <w:rPr>
                    <w:szCs w:val="24"/>
                  </w:rPr>
                </w:pPr>
                <w:r>
                  <w:rPr>
                    <w:szCs w:val="24"/>
                  </w:rPr>
                  <w:t>x</w:t>
                </w:r>
              </w:p>
            </w:tc>
            <w:tc>
              <w:tcPr>
                <w:tcW w:w="869" w:type="dxa"/>
                <w:vAlign w:val="center"/>
              </w:tcPr>
              <w:p>
                <w:pPr>
                  <w:overflowPunct w:val="0"/>
                  <w:jc w:val="center"/>
                  <w:textAlignment w:val="baseline"/>
                  <w:rPr>
                    <w:szCs w:val="24"/>
                  </w:rPr>
                </w:pPr>
                <w:r>
                  <w:rPr>
                    <w:szCs w:val="24"/>
                  </w:rPr>
                  <w:t>x</w:t>
                </w:r>
              </w:p>
            </w:tc>
            <w:tc>
              <w:tcPr>
                <w:tcW w:w="869" w:type="dxa"/>
                <w:vAlign w:val="center"/>
              </w:tcPr>
              <w:p>
                <w:pPr>
                  <w:overflowPunct w:val="0"/>
                  <w:jc w:val="center"/>
                  <w:textAlignment w:val="baseline"/>
                  <w:rPr>
                    <w:szCs w:val="24"/>
                  </w:rPr>
                </w:pPr>
                <w:r>
                  <w:rPr>
                    <w:szCs w:val="24"/>
                  </w:rPr>
                  <w:t>x</w:t>
                </w:r>
              </w:p>
            </w:tc>
            <w:tc>
              <w:tcPr>
                <w:tcW w:w="869" w:type="dxa"/>
                <w:vAlign w:val="center"/>
              </w:tcPr>
              <w:p>
                <w:pPr>
                  <w:overflowPunct w:val="0"/>
                  <w:jc w:val="center"/>
                  <w:textAlignment w:val="baseline"/>
                  <w:rPr>
                    <w:szCs w:val="24"/>
                  </w:rPr>
                </w:pPr>
                <w:r>
                  <w:rPr>
                    <w:szCs w:val="24"/>
                  </w:rPr>
                  <w:t>x</w:t>
                </w:r>
              </w:p>
            </w:tc>
            <w:tc>
              <w:tcPr>
                <w:tcW w:w="1391" w:type="dxa"/>
                <w:vAlign w:val="center"/>
              </w:tcPr>
              <w:p>
                <w:pPr>
                  <w:overflowPunct w:val="0"/>
                  <w:jc w:val="center"/>
                  <w:textAlignment w:val="baseline"/>
                  <w:rPr>
                    <w:szCs w:val="24"/>
                  </w:rPr>
                </w:pPr>
              </w:p>
            </w:tc>
            <w:tc>
              <w:tcPr>
                <w:tcW w:w="869" w:type="dxa"/>
                <w:shd w:val="clear" w:color="auto" w:fill="auto"/>
                <w:vAlign w:val="center"/>
              </w:tcPr>
              <w:p>
                <w:pPr>
                  <w:overflowPunct w:val="0"/>
                  <w:jc w:val="center"/>
                  <w:textAlignment w:val="baseline"/>
                  <w:rPr>
                    <w:szCs w:val="24"/>
                  </w:rPr>
                </w:pPr>
                <w:r>
                  <w:rPr>
                    <w:szCs w:val="24"/>
                  </w:rPr>
                  <w:t>x</w:t>
                </w:r>
              </w:p>
            </w:tc>
            <w:tc>
              <w:tcPr>
                <w:tcW w:w="869" w:type="dxa"/>
                <w:shd w:val="clear" w:color="auto" w:fill="auto"/>
                <w:vAlign w:val="center"/>
              </w:tcPr>
              <w:p>
                <w:pPr>
                  <w:overflowPunct w:val="0"/>
                  <w:jc w:val="center"/>
                  <w:textAlignment w:val="baseline"/>
                  <w:rPr>
                    <w:szCs w:val="24"/>
                  </w:rPr>
                </w:pPr>
                <w:r>
                  <w:rPr>
                    <w:szCs w:val="24"/>
                  </w:rPr>
                  <w:t>x</w:t>
                </w:r>
              </w:p>
            </w:tc>
            <w:tc>
              <w:tcPr>
                <w:tcW w:w="869" w:type="dxa"/>
                <w:shd w:val="clear" w:color="auto" w:fill="auto"/>
                <w:vAlign w:val="center"/>
              </w:tcPr>
              <w:p>
                <w:pPr>
                  <w:overflowPunct w:val="0"/>
                  <w:jc w:val="center"/>
                  <w:textAlignment w:val="baseline"/>
                  <w:rPr>
                    <w:szCs w:val="24"/>
                  </w:rPr>
                </w:pPr>
                <w:r>
                  <w:rPr>
                    <w:szCs w:val="24"/>
                  </w:rPr>
                  <w:t>x</w:t>
                </w:r>
              </w:p>
            </w:tc>
            <w:tc>
              <w:tcPr>
                <w:tcW w:w="869" w:type="dxa"/>
                <w:shd w:val="clear" w:color="auto" w:fill="auto"/>
                <w:vAlign w:val="center"/>
              </w:tcPr>
              <w:p>
                <w:pPr>
                  <w:overflowPunct w:val="0"/>
                  <w:jc w:val="center"/>
                  <w:textAlignment w:val="baseline"/>
                  <w:rPr>
                    <w:szCs w:val="24"/>
                  </w:rPr>
                </w:pPr>
                <w:r>
                  <w:rPr>
                    <w:szCs w:val="24"/>
                  </w:rPr>
                  <w:t>x</w:t>
                </w:r>
              </w:p>
            </w:tc>
            <w:tc>
              <w:tcPr>
                <w:tcW w:w="869" w:type="dxa"/>
                <w:shd w:val="clear" w:color="auto" w:fill="auto"/>
                <w:vAlign w:val="center"/>
              </w:tcPr>
              <w:p>
                <w:pPr>
                  <w:overflowPunct w:val="0"/>
                  <w:jc w:val="center"/>
                  <w:textAlignment w:val="baseline"/>
                  <w:rPr>
                    <w:szCs w:val="24"/>
                  </w:rPr>
                </w:pPr>
                <w:r>
                  <w:rPr>
                    <w:szCs w:val="24"/>
                  </w:rPr>
                  <w:t>x</w:t>
                </w:r>
              </w:p>
            </w:tc>
            <w:tc>
              <w:tcPr>
                <w:tcW w:w="1628" w:type="dxa"/>
                <w:vAlign w:val="center"/>
              </w:tcPr>
              <w:p>
                <w:pPr>
                  <w:overflowPunct w:val="0"/>
                  <w:jc w:val="center"/>
                  <w:textAlignment w:val="baseline"/>
                  <w:rPr>
                    <w:szCs w:val="24"/>
                  </w:rPr>
                </w:pPr>
                <w:r>
                  <w:rPr>
                    <w:szCs w:val="24"/>
                  </w:rPr>
                  <w:t>x</w:t>
                </w:r>
              </w:p>
            </w:tc>
          </w:tr>
        </w:tbl>
        <w:p>
          <w:pPr>
            <w:overflowPunct w:val="0"/>
            <w:jc w:val="both"/>
            <w:textAlignment w:val="baseline"/>
          </w:pPr>
        </w:p>
        <w:p>
          <w:pPr>
            <w:overflowPunct w:val="0"/>
            <w:jc w:val="both"/>
            <w:textAlignment w:val="baseline"/>
          </w:pPr>
          <w:r>
            <w:t>Ūkininkas</w:t>
            <w:tab/>
            <w:tab/>
            <w:tab/>
            <w:t>_________________</w:t>
            <w:tab/>
            <w:tab/>
            <w:tab/>
            <w:t>_________________________</w:t>
          </w:r>
        </w:p>
        <w:p>
          <w:pPr>
            <w:overflowPunct w:val="0"/>
            <w:ind w:left="2596" w:firstLine="1298"/>
            <w:jc w:val="both"/>
            <w:textAlignment w:val="baseline"/>
            <w:rPr>
              <w:sz w:val="20"/>
            </w:rPr>
          </w:pPr>
          <w:r>
            <w:rPr>
              <w:sz w:val="20"/>
            </w:rPr>
            <w:t>(parašas)</w:t>
            <w:tab/>
          </w:r>
          <w:r>
            <w:tab/>
            <w:tab/>
            <w:tab/>
          </w:r>
          <w:r>
            <w:rPr>
              <w:sz w:val="20"/>
            </w:rPr>
            <w:t>(vardas, pavardė)</w:t>
          </w:r>
        </w:p>
        <w:sdt>
          <w:sdtPr>
            <w:alias w:val="pabaiga"/>
            <w:tag w:val="part_5a109039fcf841a7a50b511aca067dab"/>
            <w:lock w:val="sdtLocked"/>
            <w:richText/>
          </w:sdtPr>
          <w:sdtContent>
            <w:p>
              <w:pPr>
                <w:overflowPunct w:val="0"/>
                <w:jc w:val="center"/>
                <w:textAlignment w:val="baseline"/>
                <w:rPr>
                  <w:bCs/>
                  <w:szCs w:val="24"/>
                </w:rPr>
              </w:pPr>
              <w:r>
                <w:rPr>
                  <w:sz w:val="20"/>
                </w:rPr>
                <w:t>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ba5c0506f11e4a698d921e3e46801">
            <w:r w:rsidRPr="00532B9F">
              <w:rPr>
                <w:rFonts w:ascii="Times New Roman" w:eastAsia="MS Mincho" w:hAnsi="Times New Roman"/>
                <w:sz w:val="20"/>
                <w:i/>
                <w:iCs/>
                <w:color w:val="0000FF" w:themeColor="hyperlink"/>
                <w:u w:val="single"/>
              </w:rPr>
              <w:t>3D-725</w:t>
            </w:r>
          </w:fldSimple>
          <w:r>
            <w:rPr>
              <w:rFonts w:ascii="Times New Roman" w:eastAsia="MS Mincho" w:hAnsi="Times New Roman"/>
              <w:sz w:val="20"/>
              <w:i/>
              <w:iCs/>
            </w:rPr>
            <w:t>,
2014-10-10,
paskelbta TAR 2014-10-10, i. k. 2014-13951            </w:t>
          </w:r>
        </w:p>
        <w:p/>
      </w:sdtContent>
    </w:sdt>
    <w:sdt>
      <w:sdtPr>
        <w:alias w:val="10 pr."/>
        <w:tag w:val="part_28d21673a1d941c99218d5ed73615c59"/>
        <w:lock w:val="sdtLocked"/>
        <w:richText/>
      </w:sdtPr>
      <w:sdtContent>
        <w:p>
          <w:pPr>
            <w:overflowPunct w:val="0"/>
            <w:jc w:val="both"/>
            <w:textAlignment w:val="baseline"/>
          </w:pPr>
          <w:r>
            <w:br w:type="page"/>
          </w:r>
        </w:p>
        <w:p>
          <w:pPr>
            <w:overflowPunct w:val="0"/>
            <w:ind w:left="4820" w:firstLine="4819"/>
            <w:jc w:val="both"/>
            <w:textAlignment w:val="baseline"/>
            <w:rPr>
              <w:szCs w:val="24"/>
            </w:rPr>
          </w:pPr>
          <w:r>
            <w:rPr>
              <w:szCs w:val="24"/>
            </w:rPr>
            <w:t>Ūkininko ūkio veiklos</w:t>
          </w:r>
        </w:p>
        <w:p>
          <w:pPr>
            <w:overflowPunct w:val="0"/>
            <w:ind w:left="9639"/>
            <w:jc w:val="both"/>
            <w:textAlignment w:val="baseline"/>
            <w:rPr>
              <w:szCs w:val="24"/>
            </w:rPr>
          </w:pPr>
          <w:r>
            <w:rPr>
              <w:szCs w:val="24"/>
            </w:rPr>
            <w:t>buhalterinės apskaitos tvarkymo</w:t>
          </w:r>
        </w:p>
        <w:p>
          <w:pPr>
            <w:overflowPunct w:val="0"/>
            <w:ind w:left="9639"/>
            <w:jc w:val="both"/>
            <w:textAlignment w:val="baseline"/>
            <w:rPr>
              <w:szCs w:val="24"/>
            </w:rPr>
          </w:pPr>
          <w:r>
            <w:rPr>
              <w:szCs w:val="24"/>
            </w:rPr>
            <w:t xml:space="preserve">supaprastintąja apskaitos sistema rekomendacijų </w:t>
          </w:r>
        </w:p>
        <w:p>
          <w:pPr>
            <w:overflowPunct w:val="0"/>
            <w:ind w:left="9639"/>
            <w:jc w:val="both"/>
            <w:textAlignment w:val="baseline"/>
            <w:rPr>
              <w:szCs w:val="24"/>
            </w:rPr>
          </w:pPr>
          <w:sdt>
            <w:sdtPr>
              <w:alias w:val="Numeris"/>
              <w:tag w:val="nr_28d21673a1d941c99218d5ed73615c59"/>
              <w:lock w:val="sdtLocked"/>
              <w:richText/>
            </w:sdtPr>
            <w:sdtContent>
              <w:r>
                <w:rPr>
                  <w:szCs w:val="24"/>
                </w:rPr>
                <w:t>10</w:t>
              </w:r>
            </w:sdtContent>
          </w:sdt>
          <w:r>
            <w:rPr>
              <w:szCs w:val="24"/>
            </w:rPr>
            <w:t xml:space="preserve">  priedas</w:t>
          </w:r>
        </w:p>
        <w:p>
          <w:pPr>
            <w:keepNext/>
            <w:overflowPunct w:val="0"/>
            <w:spacing w:line="276" w:lineRule="auto"/>
            <w:jc w:val="center"/>
            <w:textAlignment w:val="baseline"/>
            <w:rPr>
              <w:b/>
            </w:rPr>
          </w:pPr>
        </w:p>
        <w:p>
          <w:pPr>
            <w:overflowPunct w:val="0"/>
            <w:spacing w:line="276" w:lineRule="auto"/>
            <w:jc w:val="center"/>
            <w:textAlignment w:val="baseline"/>
          </w:pPr>
          <w:r>
            <w:t>Ūkininko ________________________________ ūkis</w:t>
          </w:r>
        </w:p>
        <w:p>
          <w:pPr>
            <w:keepNext/>
            <w:overflowPunct w:val="0"/>
            <w:spacing w:line="276" w:lineRule="auto"/>
            <w:jc w:val="center"/>
            <w:textAlignment w:val="baseline"/>
            <w:rPr>
              <w:b/>
              <w:szCs w:val="22"/>
            </w:rPr>
          </w:pPr>
          <w:r>
            <w:rPr>
              <w:b/>
              <w:szCs w:val="22"/>
            </w:rPr>
            <w:t>SAMDOMŲ ASMENŲ DARBO UŽMOKESČIO APSKAIČIAVIMO ŽINIARAŠTIS</w:t>
          </w:r>
        </w:p>
        <w:p>
          <w:pPr>
            <w:overflowPunct w:val="0"/>
            <w:spacing w:line="276" w:lineRule="auto"/>
            <w:jc w:val="center"/>
            <w:textAlignment w:val="baseline"/>
          </w:pPr>
          <w:r>
            <w:t>_____________ Nr. _____________</w:t>
          </w:r>
        </w:p>
        <w:p>
          <w:pPr>
            <w:overflowPunct w:val="0"/>
            <w:spacing w:line="276" w:lineRule="auto"/>
            <w:ind w:left="5812"/>
            <w:jc w:val="both"/>
            <w:textAlignment w:val="baseline"/>
            <w:rPr>
              <w:sz w:val="20"/>
            </w:rPr>
          </w:pPr>
          <w:r>
            <w:rPr>
              <w:sz w:val="20"/>
            </w:rPr>
            <w:t>(data)</w:t>
          </w:r>
        </w:p>
        <w:p>
          <w:pPr>
            <w:overflowPunct w:val="0"/>
            <w:spacing w:line="276" w:lineRule="auto"/>
            <w:ind w:left="5812"/>
            <w:jc w:val="both"/>
            <w:textAlignment w:val="baseline"/>
            <w:rPr>
              <w:sz w:val="20"/>
            </w:rPr>
          </w:pPr>
        </w:p>
        <w:tbl>
          <w:tblPr>
            <w:tblW w:w="15309" w:type="dxa"/>
            <w:tblInd w:w="2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865"/>
            <w:gridCol w:w="1587"/>
            <w:gridCol w:w="865"/>
            <w:gridCol w:w="865"/>
            <w:gridCol w:w="780"/>
            <w:gridCol w:w="862"/>
            <w:gridCol w:w="864"/>
            <w:gridCol w:w="1016"/>
            <w:gridCol w:w="807"/>
            <w:gridCol w:w="1036"/>
            <w:gridCol w:w="807"/>
            <w:gridCol w:w="807"/>
            <w:gridCol w:w="807"/>
            <w:gridCol w:w="807"/>
            <w:gridCol w:w="828"/>
            <w:gridCol w:w="864"/>
            <w:gridCol w:w="842"/>
          </w:tblGrid>
          <w:tr>
            <w:trPr>
              <w:cantSplit/>
              <w:trHeight w:hRule="exact" w:val="255"/>
            </w:trPr>
            <w:tc>
              <w:tcPr>
                <w:tcW w:w="865" w:type="dxa"/>
                <w:vMerge w:val="restart"/>
                <w:vAlign w:val="center"/>
              </w:tcPr>
              <w:p>
                <w:pPr>
                  <w:overflowPunct w:val="0"/>
                  <w:jc w:val="center"/>
                  <w:textAlignment w:val="baseline"/>
                  <w:rPr>
                    <w:sz w:val="22"/>
                  </w:rPr>
                </w:pPr>
                <w:r>
                  <w:rPr>
                    <w:sz w:val="22"/>
                  </w:rPr>
                  <w:t>Data</w:t>
                </w:r>
              </w:p>
            </w:tc>
            <w:tc>
              <w:tcPr>
                <w:tcW w:w="1587" w:type="dxa"/>
                <w:vMerge w:val="restart"/>
                <w:vAlign w:val="center"/>
              </w:tcPr>
              <w:p>
                <w:pPr>
                  <w:overflowPunct w:val="0"/>
                  <w:jc w:val="center"/>
                  <w:textAlignment w:val="baseline"/>
                  <w:rPr>
                    <w:sz w:val="22"/>
                  </w:rPr>
                </w:pPr>
                <w:r>
                  <w:rPr>
                    <w:sz w:val="22"/>
                  </w:rPr>
                  <w:t>Vardas, pavardė</w:t>
                </w:r>
              </w:p>
            </w:tc>
            <w:tc>
              <w:tcPr>
                <w:tcW w:w="865" w:type="dxa"/>
                <w:vMerge w:val="restart"/>
                <w:vAlign w:val="center"/>
              </w:tcPr>
              <w:p>
                <w:pPr>
                  <w:overflowPunct w:val="0"/>
                  <w:jc w:val="center"/>
                  <w:textAlignment w:val="baseline"/>
                  <w:rPr>
                    <w:sz w:val="22"/>
                  </w:rPr>
                </w:pPr>
                <w:r>
                  <w:rPr>
                    <w:sz w:val="22"/>
                  </w:rPr>
                  <w:t>Dirbta dienų / valandų</w:t>
                </w:r>
              </w:p>
            </w:tc>
            <w:tc>
              <w:tcPr>
                <w:tcW w:w="3371" w:type="dxa"/>
                <w:gridSpan w:val="4"/>
                <w:vAlign w:val="center"/>
              </w:tcPr>
              <w:p>
                <w:pPr>
                  <w:overflowPunct w:val="0"/>
                  <w:jc w:val="center"/>
                  <w:textAlignment w:val="baseline"/>
                  <w:rPr>
                    <w:sz w:val="22"/>
                  </w:rPr>
                </w:pPr>
                <w:r>
                  <w:rPr>
                    <w:sz w:val="22"/>
                  </w:rPr>
                  <w:t>Apskaičiuota, Eur</w:t>
                </w:r>
              </w:p>
            </w:tc>
            <w:tc>
              <w:tcPr>
                <w:tcW w:w="2859" w:type="dxa"/>
                <w:gridSpan w:val="3"/>
                <w:vAlign w:val="center"/>
              </w:tcPr>
              <w:p>
                <w:pPr>
                  <w:overflowPunct w:val="0"/>
                  <w:jc w:val="center"/>
                  <w:textAlignment w:val="baseline"/>
                  <w:rPr>
                    <w:sz w:val="22"/>
                  </w:rPr>
                </w:pPr>
                <w:r>
                  <w:rPr>
                    <w:sz w:val="22"/>
                  </w:rPr>
                  <w:t>Įmokos iš darbdavio lėšų, Eur</w:t>
                </w:r>
              </w:p>
            </w:tc>
            <w:tc>
              <w:tcPr>
                <w:tcW w:w="4056" w:type="dxa"/>
                <w:gridSpan w:val="5"/>
                <w:vAlign w:val="center"/>
              </w:tcPr>
              <w:p>
                <w:pPr>
                  <w:overflowPunct w:val="0"/>
                  <w:jc w:val="center"/>
                  <w:textAlignment w:val="baseline"/>
                  <w:rPr>
                    <w:sz w:val="22"/>
                  </w:rPr>
                </w:pPr>
                <w:r>
                  <w:rPr>
                    <w:sz w:val="22"/>
                  </w:rPr>
                  <w:t>Išskaičiuota, Eur</w:t>
                </w:r>
              </w:p>
            </w:tc>
            <w:tc>
              <w:tcPr>
                <w:tcW w:w="864" w:type="dxa"/>
                <w:vMerge w:val="restart"/>
                <w:vAlign w:val="center"/>
              </w:tcPr>
              <w:p>
                <w:pPr>
                  <w:overflowPunct w:val="0"/>
                  <w:jc w:val="center"/>
                  <w:textAlignment w:val="baseline"/>
                  <w:rPr>
                    <w:sz w:val="22"/>
                  </w:rPr>
                </w:pPr>
                <w:r>
                  <w:rPr>
                    <w:sz w:val="22"/>
                  </w:rPr>
                  <w:t xml:space="preserve">Išmo-kėta suma, Eur </w:t>
                  <w:br/>
                  <w:t>(7-15)</w:t>
                </w:r>
              </w:p>
            </w:tc>
            <w:tc>
              <w:tcPr>
                <w:tcW w:w="842" w:type="dxa"/>
                <w:vMerge w:val="restart"/>
                <w:vAlign w:val="center"/>
              </w:tcPr>
              <w:p>
                <w:pPr>
                  <w:overflowPunct w:val="0"/>
                  <w:jc w:val="center"/>
                  <w:textAlignment w:val="baseline"/>
                  <w:rPr>
                    <w:sz w:val="22"/>
                  </w:rPr>
                </w:pPr>
                <w:r>
                  <w:rPr>
                    <w:sz w:val="22"/>
                  </w:rPr>
                  <w:t>Parašas</w:t>
                </w:r>
              </w:p>
            </w:tc>
          </w:tr>
          <w:tr>
            <w:trPr>
              <w:cantSplit/>
              <w:trHeight w:hRule="exact" w:val="616"/>
            </w:trPr>
            <w:tc>
              <w:tcPr>
                <w:tcW w:w="865" w:type="dxa"/>
                <w:vMerge/>
                <w:vAlign w:val="center"/>
              </w:tcPr>
              <w:p>
                <w:pPr>
                  <w:overflowPunct w:val="0"/>
                  <w:jc w:val="center"/>
                  <w:textAlignment w:val="baseline"/>
                  <w:rPr>
                    <w:sz w:val="22"/>
                  </w:rPr>
                </w:pPr>
              </w:p>
            </w:tc>
            <w:tc>
              <w:tcPr>
                <w:tcW w:w="1587" w:type="dxa"/>
                <w:vMerge/>
                <w:vAlign w:val="center"/>
              </w:tcPr>
              <w:p>
                <w:pPr>
                  <w:overflowPunct w:val="0"/>
                  <w:jc w:val="center"/>
                  <w:textAlignment w:val="baseline"/>
                  <w:rPr>
                    <w:sz w:val="22"/>
                  </w:rPr>
                </w:pPr>
              </w:p>
            </w:tc>
            <w:tc>
              <w:tcPr>
                <w:tcW w:w="865" w:type="dxa"/>
                <w:vMerge/>
                <w:vAlign w:val="center"/>
              </w:tcPr>
              <w:p>
                <w:pPr>
                  <w:overflowPunct w:val="0"/>
                  <w:jc w:val="center"/>
                  <w:textAlignment w:val="baseline"/>
                  <w:rPr>
                    <w:sz w:val="22"/>
                  </w:rPr>
                </w:pPr>
              </w:p>
            </w:tc>
            <w:tc>
              <w:tcPr>
                <w:tcW w:w="865" w:type="dxa"/>
                <w:vMerge w:val="restart"/>
                <w:vAlign w:val="center"/>
              </w:tcPr>
              <w:p>
                <w:pPr>
                  <w:overflowPunct w:val="0"/>
                  <w:jc w:val="center"/>
                  <w:textAlignment w:val="baseline"/>
                  <w:rPr>
                    <w:sz w:val="22"/>
                  </w:rPr>
                </w:pPr>
                <w:r>
                  <w:rPr>
                    <w:sz w:val="22"/>
                  </w:rPr>
                  <w:t>uždarbis</w:t>
                </w:r>
              </w:p>
            </w:tc>
            <w:tc>
              <w:tcPr>
                <w:tcW w:w="780" w:type="dxa"/>
                <w:vMerge w:val="restart"/>
                <w:vAlign w:val="center"/>
              </w:tcPr>
              <w:p>
                <w:pPr>
                  <w:overflowPunct w:val="0"/>
                  <w:jc w:val="center"/>
                  <w:textAlignment w:val="baseline"/>
                  <w:rPr>
                    <w:sz w:val="22"/>
                  </w:rPr>
                </w:pPr>
                <w:r>
                  <w:rPr>
                    <w:sz w:val="22"/>
                  </w:rPr>
                  <w:t>atos-togos</w:t>
                </w:r>
              </w:p>
            </w:tc>
            <w:tc>
              <w:tcPr>
                <w:tcW w:w="862" w:type="dxa"/>
                <w:vMerge w:val="restart"/>
                <w:vAlign w:val="center"/>
              </w:tcPr>
              <w:p>
                <w:pPr>
                  <w:overflowPunct w:val="0"/>
                  <w:jc w:val="center"/>
                  <w:textAlignment w:val="baseline"/>
                  <w:rPr>
                    <w:sz w:val="22"/>
                  </w:rPr>
                </w:pPr>
                <w:r>
                  <w:rPr>
                    <w:sz w:val="22"/>
                  </w:rPr>
                  <w:t>ligos pašalpa už 2 darbo dienas</w:t>
                </w:r>
              </w:p>
            </w:tc>
            <w:tc>
              <w:tcPr>
                <w:tcW w:w="864" w:type="dxa"/>
                <w:vMerge w:val="restart"/>
                <w:vAlign w:val="center"/>
              </w:tcPr>
              <w:p>
                <w:pPr>
                  <w:overflowPunct w:val="0"/>
                  <w:jc w:val="center"/>
                  <w:textAlignment w:val="baseline"/>
                  <w:rPr>
                    <w:sz w:val="22"/>
                  </w:rPr>
                </w:pPr>
                <w:r>
                  <w:rPr>
                    <w:sz w:val="22"/>
                  </w:rPr>
                  <w:t>iš viso (4+5+6)</w:t>
                </w:r>
              </w:p>
            </w:tc>
            <w:tc>
              <w:tcPr>
                <w:tcW w:w="1016" w:type="dxa"/>
                <w:vAlign w:val="center"/>
              </w:tcPr>
              <w:p>
                <w:pPr>
                  <w:overflowPunct w:val="0"/>
                  <w:jc w:val="center"/>
                  <w:textAlignment w:val="baseline"/>
                  <w:rPr>
                    <w:sz w:val="22"/>
                  </w:rPr>
                </w:pPr>
                <w:r>
                  <w:rPr>
                    <w:sz w:val="22"/>
                  </w:rPr>
                  <w:t>VSD</w:t>
                </w:r>
              </w:p>
            </w:tc>
            <w:tc>
              <w:tcPr>
                <w:tcW w:w="807" w:type="dxa"/>
                <w:vAlign w:val="center"/>
              </w:tcPr>
              <w:p>
                <w:pPr>
                  <w:overflowPunct w:val="0"/>
                  <w:jc w:val="center"/>
                  <w:textAlignment w:val="baseline"/>
                  <w:rPr>
                    <w:sz w:val="22"/>
                  </w:rPr>
                </w:pPr>
                <w:r>
                  <w:rPr>
                    <w:sz w:val="22"/>
                  </w:rPr>
                  <w:t>PSD</w:t>
                </w:r>
              </w:p>
            </w:tc>
            <w:tc>
              <w:tcPr>
                <w:tcW w:w="1036" w:type="dxa"/>
                <w:vAlign w:val="center"/>
              </w:tcPr>
              <w:p>
                <w:pPr>
                  <w:overflowPunct w:val="0"/>
                  <w:jc w:val="center"/>
                  <w:textAlignment w:val="baseline"/>
                  <w:rPr>
                    <w:sz w:val="22"/>
                  </w:rPr>
                </w:pPr>
                <w:r>
                  <w:rPr>
                    <w:sz w:val="22"/>
                  </w:rPr>
                  <w:t>Į garantinį fondą</w:t>
                </w:r>
              </w:p>
            </w:tc>
            <w:tc>
              <w:tcPr>
                <w:tcW w:w="807" w:type="dxa"/>
                <w:vAlign w:val="center"/>
              </w:tcPr>
              <w:p>
                <w:pPr>
                  <w:overflowPunct w:val="0"/>
                  <w:jc w:val="center"/>
                  <w:textAlignment w:val="baseline"/>
                  <w:rPr>
                    <w:sz w:val="22"/>
                  </w:rPr>
                </w:pPr>
                <w:r>
                  <w:rPr>
                    <w:sz w:val="22"/>
                  </w:rPr>
                  <w:t xml:space="preserve">GPM </w:t>
                </w:r>
              </w:p>
            </w:tc>
            <w:tc>
              <w:tcPr>
                <w:tcW w:w="807" w:type="dxa"/>
                <w:vAlign w:val="center"/>
              </w:tcPr>
              <w:p>
                <w:pPr>
                  <w:overflowPunct w:val="0"/>
                  <w:jc w:val="center"/>
                  <w:textAlignment w:val="baseline"/>
                  <w:rPr>
                    <w:sz w:val="22"/>
                  </w:rPr>
                </w:pPr>
                <w:r>
                  <w:rPr>
                    <w:sz w:val="22"/>
                  </w:rPr>
                  <w:t xml:space="preserve">VSD  </w:t>
                </w:r>
              </w:p>
            </w:tc>
            <w:tc>
              <w:tcPr>
                <w:tcW w:w="807" w:type="dxa"/>
                <w:vAlign w:val="center"/>
              </w:tcPr>
              <w:p>
                <w:pPr>
                  <w:overflowPunct w:val="0"/>
                  <w:jc w:val="center"/>
                  <w:textAlignment w:val="baseline"/>
                  <w:rPr>
                    <w:sz w:val="22"/>
                  </w:rPr>
                </w:pPr>
                <w:r>
                  <w:rPr>
                    <w:sz w:val="22"/>
                  </w:rPr>
                  <w:t>PSD</w:t>
                </w:r>
              </w:p>
            </w:tc>
            <w:tc>
              <w:tcPr>
                <w:tcW w:w="807" w:type="dxa"/>
                <w:vMerge w:val="restart"/>
                <w:vAlign w:val="center"/>
              </w:tcPr>
              <w:p>
                <w:pPr>
                  <w:overflowPunct w:val="0"/>
                  <w:jc w:val="center"/>
                  <w:textAlignment w:val="baseline"/>
                  <w:rPr>
                    <w:sz w:val="22"/>
                  </w:rPr>
                </w:pPr>
              </w:p>
            </w:tc>
            <w:tc>
              <w:tcPr>
                <w:tcW w:w="828" w:type="dxa"/>
                <w:vMerge w:val="restart"/>
                <w:vAlign w:val="center"/>
              </w:tcPr>
              <w:p>
                <w:pPr>
                  <w:overflowPunct w:val="0"/>
                  <w:jc w:val="center"/>
                  <w:textAlignment w:val="baseline"/>
                  <w:rPr>
                    <w:sz w:val="22"/>
                  </w:rPr>
                </w:pPr>
                <w:r>
                  <w:rPr>
                    <w:sz w:val="22"/>
                  </w:rPr>
                  <w:t>iš viso (11+12+13+14)</w:t>
                </w:r>
              </w:p>
            </w:tc>
            <w:tc>
              <w:tcPr>
                <w:tcW w:w="864" w:type="dxa"/>
                <w:vMerge/>
                <w:vAlign w:val="center"/>
              </w:tcPr>
              <w:p>
                <w:pPr>
                  <w:overflowPunct w:val="0"/>
                  <w:jc w:val="center"/>
                  <w:textAlignment w:val="baseline"/>
                  <w:rPr>
                    <w:sz w:val="22"/>
                  </w:rPr>
                </w:pPr>
              </w:p>
            </w:tc>
            <w:tc>
              <w:tcPr>
                <w:tcW w:w="842" w:type="dxa"/>
                <w:vMerge/>
                <w:vAlign w:val="center"/>
              </w:tcPr>
              <w:p>
                <w:pPr>
                  <w:overflowPunct w:val="0"/>
                  <w:jc w:val="center"/>
                  <w:textAlignment w:val="baseline"/>
                  <w:rPr>
                    <w:sz w:val="22"/>
                  </w:rPr>
                </w:pPr>
              </w:p>
            </w:tc>
          </w:tr>
          <w:tr>
            <w:trPr>
              <w:cantSplit/>
              <w:trHeight w:hRule="exact" w:val="1135"/>
            </w:trPr>
            <w:tc>
              <w:tcPr>
                <w:tcW w:w="865" w:type="dxa"/>
                <w:vMerge/>
                <w:vAlign w:val="center"/>
              </w:tcPr>
              <w:p>
                <w:pPr>
                  <w:overflowPunct w:val="0"/>
                  <w:jc w:val="center"/>
                  <w:textAlignment w:val="baseline"/>
                  <w:rPr>
                    <w:sz w:val="22"/>
                  </w:rPr>
                </w:pPr>
              </w:p>
            </w:tc>
            <w:tc>
              <w:tcPr>
                <w:tcW w:w="1587" w:type="dxa"/>
                <w:vMerge/>
                <w:vAlign w:val="center"/>
              </w:tcPr>
              <w:p>
                <w:pPr>
                  <w:overflowPunct w:val="0"/>
                  <w:jc w:val="center"/>
                  <w:textAlignment w:val="baseline"/>
                  <w:rPr>
                    <w:sz w:val="22"/>
                  </w:rPr>
                </w:pPr>
              </w:p>
            </w:tc>
            <w:tc>
              <w:tcPr>
                <w:tcW w:w="865" w:type="dxa"/>
                <w:vMerge/>
                <w:vAlign w:val="center"/>
              </w:tcPr>
              <w:p>
                <w:pPr>
                  <w:overflowPunct w:val="0"/>
                  <w:jc w:val="center"/>
                  <w:textAlignment w:val="baseline"/>
                  <w:rPr>
                    <w:sz w:val="22"/>
                  </w:rPr>
                </w:pPr>
              </w:p>
            </w:tc>
            <w:tc>
              <w:tcPr>
                <w:tcW w:w="865" w:type="dxa"/>
                <w:vMerge/>
                <w:vAlign w:val="center"/>
              </w:tcPr>
              <w:p>
                <w:pPr>
                  <w:overflowPunct w:val="0"/>
                  <w:jc w:val="center"/>
                  <w:textAlignment w:val="baseline"/>
                  <w:rPr>
                    <w:sz w:val="22"/>
                  </w:rPr>
                </w:pPr>
              </w:p>
            </w:tc>
            <w:tc>
              <w:tcPr>
                <w:tcW w:w="780" w:type="dxa"/>
                <w:vMerge/>
                <w:vAlign w:val="center"/>
              </w:tcPr>
              <w:p>
                <w:pPr>
                  <w:overflowPunct w:val="0"/>
                  <w:jc w:val="center"/>
                  <w:textAlignment w:val="baseline"/>
                  <w:rPr>
                    <w:sz w:val="22"/>
                  </w:rPr>
                </w:pPr>
              </w:p>
            </w:tc>
            <w:tc>
              <w:tcPr>
                <w:tcW w:w="862" w:type="dxa"/>
                <w:vMerge/>
                <w:vAlign w:val="center"/>
              </w:tcPr>
              <w:p>
                <w:pPr>
                  <w:overflowPunct w:val="0"/>
                  <w:jc w:val="center"/>
                  <w:textAlignment w:val="baseline"/>
                  <w:rPr>
                    <w:sz w:val="22"/>
                  </w:rPr>
                </w:pPr>
              </w:p>
            </w:tc>
            <w:tc>
              <w:tcPr>
                <w:tcW w:w="864" w:type="dxa"/>
                <w:vMerge/>
                <w:vAlign w:val="center"/>
              </w:tcPr>
              <w:p>
                <w:pPr>
                  <w:overflowPunct w:val="0"/>
                  <w:jc w:val="center"/>
                  <w:textAlignment w:val="baseline"/>
                  <w:rPr>
                    <w:sz w:val="22"/>
                  </w:rPr>
                </w:pPr>
              </w:p>
            </w:tc>
            <w:tc>
              <w:tcPr>
                <w:tcW w:w="1016" w:type="dxa"/>
                <w:vAlign w:val="center"/>
              </w:tcPr>
              <w:p>
                <w:pPr>
                  <w:overflowPunct w:val="0"/>
                  <w:jc w:val="center"/>
                  <w:textAlignment w:val="baseline"/>
                  <w:rPr>
                    <w:sz w:val="16"/>
                    <w:szCs w:val="16"/>
                  </w:rPr>
                </w:pPr>
                <w:r>
                  <w:rPr>
                    <w:sz w:val="16"/>
                    <w:szCs w:val="16"/>
                  </w:rPr>
                  <w:t>Tarifai pagal grupes:</w:t>
                </w:r>
              </w:p>
              <w:p>
                <w:pPr>
                  <w:overflowPunct w:val="0"/>
                  <w:jc w:val="center"/>
                  <w:textAlignment w:val="baseline"/>
                  <w:rPr>
                    <w:sz w:val="22"/>
                  </w:rPr>
                </w:pPr>
                <w:r>
                  <w:rPr>
                    <w:sz w:val="16"/>
                    <w:szCs w:val="16"/>
                  </w:rPr>
                  <w:t xml:space="preserve">I gr. 27,98 %;  II gr. 28,17 %; III gr. 28,7 %; IV gr. 29,6 %</w:t>
                </w:r>
              </w:p>
            </w:tc>
            <w:tc>
              <w:tcPr>
                <w:tcW w:w="807" w:type="dxa"/>
                <w:vAlign w:val="center"/>
              </w:tcPr>
              <w:p>
                <w:pPr>
                  <w:overflowPunct w:val="0"/>
                  <w:jc w:val="center"/>
                  <w:textAlignment w:val="baseline"/>
                  <w:rPr>
                    <w:sz w:val="22"/>
                  </w:rPr>
                </w:pPr>
                <w:r>
                  <w:rPr>
                    <w:sz w:val="22"/>
                  </w:rPr>
                  <w:t>3 %</w:t>
                </w:r>
              </w:p>
            </w:tc>
            <w:tc>
              <w:tcPr>
                <w:tcW w:w="1036" w:type="dxa"/>
                <w:vAlign w:val="center"/>
              </w:tcPr>
              <w:p>
                <w:pPr>
                  <w:overflowPunct w:val="0"/>
                  <w:jc w:val="center"/>
                  <w:textAlignment w:val="baseline"/>
                  <w:rPr>
                    <w:sz w:val="22"/>
                  </w:rPr>
                </w:pPr>
                <w:r>
                  <w:rPr>
                    <w:sz w:val="22"/>
                  </w:rPr>
                  <w:t>0,2 %</w:t>
                </w:r>
              </w:p>
            </w:tc>
            <w:tc>
              <w:tcPr>
                <w:tcW w:w="807" w:type="dxa"/>
                <w:vAlign w:val="center"/>
              </w:tcPr>
              <w:p>
                <w:pPr>
                  <w:overflowPunct w:val="0"/>
                  <w:jc w:val="center"/>
                  <w:textAlignment w:val="baseline"/>
                  <w:rPr>
                    <w:sz w:val="22"/>
                  </w:rPr>
                </w:pPr>
                <w:r>
                  <w:rPr>
                    <w:sz w:val="22"/>
                  </w:rPr>
                  <w:t>15 %</w:t>
                </w:r>
              </w:p>
            </w:tc>
            <w:tc>
              <w:tcPr>
                <w:tcW w:w="807" w:type="dxa"/>
                <w:vAlign w:val="center"/>
              </w:tcPr>
              <w:p>
                <w:pPr>
                  <w:overflowPunct w:val="0"/>
                  <w:jc w:val="center"/>
                  <w:textAlignment w:val="baseline"/>
                  <w:rPr>
                    <w:sz w:val="22"/>
                  </w:rPr>
                </w:pPr>
                <w:r>
                  <w:rPr>
                    <w:sz w:val="22"/>
                  </w:rPr>
                  <w:t>3 %</w:t>
                </w:r>
              </w:p>
            </w:tc>
            <w:tc>
              <w:tcPr>
                <w:tcW w:w="807" w:type="dxa"/>
                <w:vAlign w:val="center"/>
              </w:tcPr>
              <w:p>
                <w:pPr>
                  <w:overflowPunct w:val="0"/>
                  <w:jc w:val="center"/>
                  <w:textAlignment w:val="baseline"/>
                  <w:rPr>
                    <w:sz w:val="22"/>
                  </w:rPr>
                </w:pPr>
                <w:r>
                  <w:rPr>
                    <w:sz w:val="22"/>
                  </w:rPr>
                  <w:t>6 %</w:t>
                </w:r>
              </w:p>
            </w:tc>
            <w:tc>
              <w:tcPr>
                <w:tcW w:w="807" w:type="dxa"/>
                <w:vMerge/>
                <w:vAlign w:val="center"/>
              </w:tcPr>
              <w:p>
                <w:pPr>
                  <w:overflowPunct w:val="0"/>
                  <w:jc w:val="center"/>
                  <w:textAlignment w:val="baseline"/>
                  <w:rPr>
                    <w:sz w:val="22"/>
                  </w:rPr>
                </w:pPr>
              </w:p>
            </w:tc>
            <w:tc>
              <w:tcPr>
                <w:tcW w:w="828" w:type="dxa"/>
                <w:vMerge/>
                <w:vAlign w:val="center"/>
              </w:tcPr>
              <w:p>
                <w:pPr>
                  <w:overflowPunct w:val="0"/>
                  <w:jc w:val="center"/>
                  <w:textAlignment w:val="baseline"/>
                  <w:rPr>
                    <w:sz w:val="22"/>
                  </w:rPr>
                </w:pPr>
              </w:p>
            </w:tc>
            <w:tc>
              <w:tcPr>
                <w:tcW w:w="864" w:type="dxa"/>
                <w:vMerge/>
                <w:vAlign w:val="center"/>
              </w:tcPr>
              <w:p>
                <w:pPr>
                  <w:overflowPunct w:val="0"/>
                  <w:jc w:val="center"/>
                  <w:textAlignment w:val="baseline"/>
                  <w:rPr>
                    <w:sz w:val="22"/>
                  </w:rPr>
                </w:pPr>
              </w:p>
            </w:tc>
            <w:tc>
              <w:tcPr>
                <w:tcW w:w="842" w:type="dxa"/>
                <w:vMerge/>
                <w:vAlign w:val="center"/>
              </w:tcPr>
              <w:p>
                <w:pPr>
                  <w:overflowPunct w:val="0"/>
                  <w:jc w:val="center"/>
                  <w:textAlignment w:val="baseline"/>
                  <w:rPr>
                    <w:sz w:val="22"/>
                  </w:rPr>
                </w:pPr>
              </w:p>
            </w:tc>
          </w:tr>
          <w:tr>
            <w:trPr>
              <w:cantSplit/>
              <w:trHeight w:hRule="exact" w:val="255"/>
            </w:trPr>
            <w:tc>
              <w:tcPr>
                <w:tcW w:w="865" w:type="dxa"/>
              </w:tcPr>
              <w:p>
                <w:pPr>
                  <w:overflowPunct w:val="0"/>
                  <w:jc w:val="center"/>
                  <w:textAlignment w:val="baseline"/>
                </w:pPr>
                <w:r>
                  <w:t>1</w:t>
                </w:r>
              </w:p>
            </w:tc>
            <w:tc>
              <w:tcPr>
                <w:tcW w:w="1587" w:type="dxa"/>
              </w:tcPr>
              <w:p>
                <w:pPr>
                  <w:overflowPunct w:val="0"/>
                  <w:jc w:val="center"/>
                  <w:textAlignment w:val="baseline"/>
                </w:pPr>
                <w:r>
                  <w:t>2</w:t>
                </w:r>
              </w:p>
            </w:tc>
            <w:tc>
              <w:tcPr>
                <w:tcW w:w="865" w:type="dxa"/>
              </w:tcPr>
              <w:p>
                <w:pPr>
                  <w:overflowPunct w:val="0"/>
                  <w:jc w:val="center"/>
                  <w:textAlignment w:val="baseline"/>
                </w:pPr>
                <w:r>
                  <w:t>3</w:t>
                </w:r>
              </w:p>
            </w:tc>
            <w:tc>
              <w:tcPr>
                <w:tcW w:w="865" w:type="dxa"/>
              </w:tcPr>
              <w:p>
                <w:pPr>
                  <w:overflowPunct w:val="0"/>
                  <w:jc w:val="center"/>
                  <w:textAlignment w:val="baseline"/>
                </w:pPr>
                <w:r>
                  <w:t>4</w:t>
                </w:r>
              </w:p>
            </w:tc>
            <w:tc>
              <w:tcPr>
                <w:tcW w:w="780" w:type="dxa"/>
              </w:tcPr>
              <w:p>
                <w:pPr>
                  <w:overflowPunct w:val="0"/>
                  <w:jc w:val="center"/>
                  <w:textAlignment w:val="baseline"/>
                </w:pPr>
                <w:r>
                  <w:t>5</w:t>
                </w:r>
              </w:p>
            </w:tc>
            <w:tc>
              <w:tcPr>
                <w:tcW w:w="862" w:type="dxa"/>
              </w:tcPr>
              <w:p>
                <w:pPr>
                  <w:overflowPunct w:val="0"/>
                  <w:jc w:val="center"/>
                  <w:textAlignment w:val="baseline"/>
                </w:pPr>
                <w:r>
                  <w:t>6</w:t>
                </w:r>
              </w:p>
            </w:tc>
            <w:tc>
              <w:tcPr>
                <w:tcW w:w="864" w:type="dxa"/>
              </w:tcPr>
              <w:p>
                <w:pPr>
                  <w:overflowPunct w:val="0"/>
                  <w:jc w:val="center"/>
                  <w:textAlignment w:val="baseline"/>
                </w:pPr>
                <w:r>
                  <w:t>7</w:t>
                </w:r>
              </w:p>
            </w:tc>
            <w:tc>
              <w:tcPr>
                <w:tcW w:w="1016" w:type="dxa"/>
              </w:tcPr>
              <w:p>
                <w:pPr>
                  <w:overflowPunct w:val="0"/>
                  <w:jc w:val="center"/>
                  <w:textAlignment w:val="baseline"/>
                </w:pPr>
                <w:r>
                  <w:t>8</w:t>
                </w:r>
              </w:p>
            </w:tc>
            <w:tc>
              <w:tcPr>
                <w:tcW w:w="807" w:type="dxa"/>
              </w:tcPr>
              <w:p>
                <w:pPr>
                  <w:overflowPunct w:val="0"/>
                  <w:jc w:val="center"/>
                  <w:textAlignment w:val="baseline"/>
                </w:pPr>
                <w:r>
                  <w:t>9</w:t>
                </w:r>
              </w:p>
            </w:tc>
            <w:tc>
              <w:tcPr>
                <w:tcW w:w="1036" w:type="dxa"/>
              </w:tcPr>
              <w:p>
                <w:pPr>
                  <w:overflowPunct w:val="0"/>
                  <w:jc w:val="center"/>
                  <w:textAlignment w:val="baseline"/>
                </w:pPr>
                <w:r>
                  <w:t>10</w:t>
                </w:r>
              </w:p>
            </w:tc>
            <w:tc>
              <w:tcPr>
                <w:tcW w:w="807" w:type="dxa"/>
              </w:tcPr>
              <w:p>
                <w:pPr>
                  <w:overflowPunct w:val="0"/>
                  <w:jc w:val="center"/>
                  <w:textAlignment w:val="baseline"/>
                </w:pPr>
                <w:r>
                  <w:t>11</w:t>
                </w:r>
              </w:p>
            </w:tc>
            <w:tc>
              <w:tcPr>
                <w:tcW w:w="807" w:type="dxa"/>
              </w:tcPr>
              <w:p>
                <w:pPr>
                  <w:overflowPunct w:val="0"/>
                  <w:jc w:val="center"/>
                  <w:textAlignment w:val="baseline"/>
                </w:pPr>
                <w:r>
                  <w:t>12</w:t>
                </w:r>
              </w:p>
            </w:tc>
            <w:tc>
              <w:tcPr>
                <w:tcW w:w="807" w:type="dxa"/>
              </w:tcPr>
              <w:p>
                <w:pPr>
                  <w:overflowPunct w:val="0"/>
                  <w:jc w:val="center"/>
                  <w:textAlignment w:val="baseline"/>
                </w:pPr>
                <w:r>
                  <w:t>13</w:t>
                </w:r>
              </w:p>
            </w:tc>
            <w:tc>
              <w:tcPr>
                <w:tcW w:w="807" w:type="dxa"/>
              </w:tcPr>
              <w:p>
                <w:pPr>
                  <w:overflowPunct w:val="0"/>
                  <w:jc w:val="center"/>
                  <w:textAlignment w:val="baseline"/>
                </w:pPr>
                <w:r>
                  <w:t>14</w:t>
                </w:r>
              </w:p>
            </w:tc>
            <w:tc>
              <w:tcPr>
                <w:tcW w:w="828" w:type="dxa"/>
              </w:tcPr>
              <w:p>
                <w:pPr>
                  <w:overflowPunct w:val="0"/>
                  <w:jc w:val="center"/>
                  <w:textAlignment w:val="baseline"/>
                </w:pPr>
                <w:r>
                  <w:t>15</w:t>
                </w:r>
              </w:p>
            </w:tc>
            <w:tc>
              <w:tcPr>
                <w:tcW w:w="864" w:type="dxa"/>
              </w:tcPr>
              <w:p>
                <w:pPr>
                  <w:overflowPunct w:val="0"/>
                  <w:jc w:val="center"/>
                  <w:textAlignment w:val="baseline"/>
                </w:pPr>
                <w:r>
                  <w:t>16</w:t>
                </w:r>
              </w:p>
            </w:tc>
            <w:tc>
              <w:tcPr>
                <w:tcW w:w="842" w:type="dxa"/>
              </w:tcPr>
              <w:p>
                <w:pPr>
                  <w:overflowPunct w:val="0"/>
                  <w:jc w:val="center"/>
                  <w:textAlignment w:val="baseline"/>
                </w:pPr>
                <w:r>
                  <w:t>17</w:t>
                </w:r>
              </w:p>
            </w:tc>
          </w:tr>
          <w:tr>
            <w:trPr>
              <w:cantSplit/>
              <w:trHeight w:hRule="exact" w:val="255"/>
            </w:trPr>
            <w:tc>
              <w:tcPr>
                <w:tcW w:w="865" w:type="dxa"/>
                <w:vAlign w:val="center"/>
              </w:tcPr>
              <w:p>
                <w:pPr>
                  <w:overflowPunct w:val="0"/>
                  <w:spacing w:line="360" w:lineRule="auto"/>
                  <w:jc w:val="both"/>
                  <w:textAlignment w:val="baseline"/>
                </w:pPr>
              </w:p>
            </w:tc>
            <w:tc>
              <w:tcPr>
                <w:tcW w:w="1587" w:type="dxa"/>
                <w:vAlign w:val="center"/>
              </w:tcPr>
              <w:p>
                <w:pPr>
                  <w:overflowPunct w:val="0"/>
                  <w:spacing w:line="360" w:lineRule="auto"/>
                  <w:jc w:val="both"/>
                  <w:textAlignment w:val="baseline"/>
                </w:pPr>
              </w:p>
            </w:tc>
            <w:tc>
              <w:tcPr>
                <w:tcW w:w="865" w:type="dxa"/>
                <w:vAlign w:val="center"/>
              </w:tcPr>
              <w:p>
                <w:pPr>
                  <w:overflowPunct w:val="0"/>
                  <w:spacing w:line="360" w:lineRule="auto"/>
                  <w:jc w:val="both"/>
                  <w:textAlignment w:val="baseline"/>
                </w:pPr>
              </w:p>
            </w:tc>
            <w:tc>
              <w:tcPr>
                <w:tcW w:w="865" w:type="dxa"/>
                <w:vAlign w:val="center"/>
              </w:tcPr>
              <w:p>
                <w:pPr>
                  <w:overflowPunct w:val="0"/>
                  <w:spacing w:line="360" w:lineRule="auto"/>
                  <w:jc w:val="both"/>
                  <w:textAlignment w:val="baseline"/>
                </w:pPr>
              </w:p>
            </w:tc>
            <w:tc>
              <w:tcPr>
                <w:tcW w:w="780" w:type="dxa"/>
                <w:vAlign w:val="center"/>
              </w:tcPr>
              <w:p>
                <w:pPr>
                  <w:overflowPunct w:val="0"/>
                  <w:spacing w:line="360" w:lineRule="auto"/>
                  <w:jc w:val="both"/>
                  <w:textAlignment w:val="baseline"/>
                </w:pPr>
              </w:p>
            </w:tc>
            <w:tc>
              <w:tcPr>
                <w:tcW w:w="862" w:type="dxa"/>
                <w:vAlign w:val="center"/>
              </w:tcPr>
              <w:p>
                <w:pPr>
                  <w:overflowPunct w:val="0"/>
                  <w:spacing w:line="360" w:lineRule="auto"/>
                  <w:jc w:val="both"/>
                  <w:textAlignment w:val="baseline"/>
                </w:pPr>
              </w:p>
            </w:tc>
            <w:tc>
              <w:tcPr>
                <w:tcW w:w="864" w:type="dxa"/>
                <w:vAlign w:val="center"/>
              </w:tcPr>
              <w:p>
                <w:pPr>
                  <w:overflowPunct w:val="0"/>
                  <w:spacing w:line="360" w:lineRule="auto"/>
                  <w:jc w:val="both"/>
                  <w:textAlignment w:val="baseline"/>
                </w:pPr>
              </w:p>
            </w:tc>
            <w:tc>
              <w:tcPr>
                <w:tcW w:w="1016" w:type="dxa"/>
              </w:tcPr>
              <w:p>
                <w:pPr>
                  <w:overflowPunct w:val="0"/>
                  <w:spacing w:line="360" w:lineRule="auto"/>
                  <w:jc w:val="both"/>
                  <w:textAlignment w:val="baseline"/>
                </w:pPr>
              </w:p>
            </w:tc>
            <w:tc>
              <w:tcPr>
                <w:tcW w:w="807" w:type="dxa"/>
              </w:tcPr>
              <w:p>
                <w:pPr>
                  <w:overflowPunct w:val="0"/>
                  <w:spacing w:line="360" w:lineRule="auto"/>
                  <w:jc w:val="both"/>
                  <w:textAlignment w:val="baseline"/>
                </w:pPr>
              </w:p>
            </w:tc>
            <w:tc>
              <w:tcPr>
                <w:tcW w:w="1036" w:type="dxa"/>
              </w:tcPr>
              <w:p>
                <w:pPr>
                  <w:overflowPunct w:val="0"/>
                  <w:spacing w:line="360" w:lineRule="auto"/>
                  <w:jc w:val="both"/>
                  <w:textAlignment w:val="baseline"/>
                </w:pPr>
              </w:p>
            </w:tc>
            <w:tc>
              <w:tcPr>
                <w:tcW w:w="807" w:type="dxa"/>
                <w:vAlign w:val="center"/>
              </w:tcPr>
              <w:p>
                <w:pPr>
                  <w:overflowPunct w:val="0"/>
                  <w:spacing w:line="360" w:lineRule="auto"/>
                  <w:jc w:val="both"/>
                  <w:textAlignment w:val="baseline"/>
                </w:pPr>
              </w:p>
            </w:tc>
            <w:tc>
              <w:tcPr>
                <w:tcW w:w="807" w:type="dxa"/>
                <w:vAlign w:val="center"/>
              </w:tcPr>
              <w:p>
                <w:pPr>
                  <w:overflowPunct w:val="0"/>
                  <w:spacing w:line="360" w:lineRule="auto"/>
                  <w:jc w:val="both"/>
                  <w:textAlignment w:val="baseline"/>
                </w:pPr>
              </w:p>
            </w:tc>
            <w:tc>
              <w:tcPr>
                <w:tcW w:w="807" w:type="dxa"/>
                <w:vAlign w:val="center"/>
              </w:tcPr>
              <w:p>
                <w:pPr>
                  <w:overflowPunct w:val="0"/>
                  <w:spacing w:line="360" w:lineRule="auto"/>
                  <w:jc w:val="both"/>
                  <w:textAlignment w:val="baseline"/>
                </w:pPr>
              </w:p>
            </w:tc>
            <w:tc>
              <w:tcPr>
                <w:tcW w:w="807" w:type="dxa"/>
                <w:vAlign w:val="center"/>
              </w:tcPr>
              <w:p>
                <w:pPr>
                  <w:overflowPunct w:val="0"/>
                  <w:spacing w:line="360" w:lineRule="auto"/>
                  <w:jc w:val="both"/>
                  <w:textAlignment w:val="baseline"/>
                </w:pPr>
              </w:p>
            </w:tc>
            <w:tc>
              <w:tcPr>
                <w:tcW w:w="828" w:type="dxa"/>
                <w:vAlign w:val="center"/>
              </w:tcPr>
              <w:p>
                <w:pPr>
                  <w:overflowPunct w:val="0"/>
                  <w:spacing w:line="360" w:lineRule="auto"/>
                  <w:jc w:val="both"/>
                  <w:textAlignment w:val="baseline"/>
                </w:pPr>
              </w:p>
            </w:tc>
            <w:tc>
              <w:tcPr>
                <w:tcW w:w="864" w:type="dxa"/>
                <w:vAlign w:val="center"/>
              </w:tcPr>
              <w:p>
                <w:pPr>
                  <w:overflowPunct w:val="0"/>
                  <w:spacing w:line="360" w:lineRule="auto"/>
                  <w:jc w:val="both"/>
                  <w:textAlignment w:val="baseline"/>
                </w:pPr>
              </w:p>
            </w:tc>
            <w:tc>
              <w:tcPr>
                <w:tcW w:w="842" w:type="dxa"/>
                <w:vAlign w:val="center"/>
              </w:tcPr>
              <w:p>
                <w:pPr>
                  <w:overflowPunct w:val="0"/>
                  <w:spacing w:line="360" w:lineRule="auto"/>
                  <w:jc w:val="both"/>
                  <w:textAlignment w:val="baseline"/>
                </w:pPr>
              </w:p>
            </w:tc>
          </w:tr>
          <w:tr>
            <w:trPr>
              <w:cantSplit/>
              <w:trHeight w:hRule="exact" w:val="255"/>
            </w:trPr>
            <w:tc>
              <w:tcPr>
                <w:tcW w:w="865" w:type="dxa"/>
                <w:vAlign w:val="center"/>
              </w:tcPr>
              <w:p>
                <w:pPr>
                  <w:overflowPunct w:val="0"/>
                  <w:spacing w:line="360" w:lineRule="auto"/>
                  <w:jc w:val="both"/>
                  <w:textAlignment w:val="baseline"/>
                </w:pPr>
              </w:p>
            </w:tc>
            <w:tc>
              <w:tcPr>
                <w:tcW w:w="1587" w:type="dxa"/>
                <w:vAlign w:val="center"/>
              </w:tcPr>
              <w:p>
                <w:pPr>
                  <w:overflowPunct w:val="0"/>
                  <w:spacing w:line="360" w:lineRule="auto"/>
                  <w:jc w:val="both"/>
                  <w:textAlignment w:val="baseline"/>
                </w:pPr>
              </w:p>
            </w:tc>
            <w:tc>
              <w:tcPr>
                <w:tcW w:w="865" w:type="dxa"/>
                <w:vAlign w:val="center"/>
              </w:tcPr>
              <w:p>
                <w:pPr>
                  <w:overflowPunct w:val="0"/>
                  <w:spacing w:line="360" w:lineRule="auto"/>
                  <w:jc w:val="both"/>
                  <w:textAlignment w:val="baseline"/>
                </w:pPr>
              </w:p>
            </w:tc>
            <w:tc>
              <w:tcPr>
                <w:tcW w:w="865" w:type="dxa"/>
                <w:vAlign w:val="center"/>
              </w:tcPr>
              <w:p>
                <w:pPr>
                  <w:overflowPunct w:val="0"/>
                  <w:spacing w:line="360" w:lineRule="auto"/>
                  <w:jc w:val="both"/>
                  <w:textAlignment w:val="baseline"/>
                </w:pPr>
              </w:p>
            </w:tc>
            <w:tc>
              <w:tcPr>
                <w:tcW w:w="780" w:type="dxa"/>
                <w:vAlign w:val="center"/>
              </w:tcPr>
              <w:p>
                <w:pPr>
                  <w:overflowPunct w:val="0"/>
                  <w:spacing w:line="360" w:lineRule="auto"/>
                  <w:jc w:val="both"/>
                  <w:textAlignment w:val="baseline"/>
                </w:pPr>
              </w:p>
            </w:tc>
            <w:tc>
              <w:tcPr>
                <w:tcW w:w="862" w:type="dxa"/>
                <w:vAlign w:val="center"/>
              </w:tcPr>
              <w:p>
                <w:pPr>
                  <w:overflowPunct w:val="0"/>
                  <w:spacing w:line="360" w:lineRule="auto"/>
                  <w:jc w:val="both"/>
                  <w:textAlignment w:val="baseline"/>
                </w:pPr>
              </w:p>
            </w:tc>
            <w:tc>
              <w:tcPr>
                <w:tcW w:w="864" w:type="dxa"/>
                <w:vAlign w:val="center"/>
              </w:tcPr>
              <w:p>
                <w:pPr>
                  <w:overflowPunct w:val="0"/>
                  <w:spacing w:line="360" w:lineRule="auto"/>
                  <w:jc w:val="both"/>
                  <w:textAlignment w:val="baseline"/>
                </w:pPr>
              </w:p>
            </w:tc>
            <w:tc>
              <w:tcPr>
                <w:tcW w:w="1016" w:type="dxa"/>
              </w:tcPr>
              <w:p>
                <w:pPr>
                  <w:overflowPunct w:val="0"/>
                  <w:spacing w:line="360" w:lineRule="auto"/>
                  <w:jc w:val="both"/>
                  <w:textAlignment w:val="baseline"/>
                </w:pPr>
              </w:p>
            </w:tc>
            <w:tc>
              <w:tcPr>
                <w:tcW w:w="807" w:type="dxa"/>
              </w:tcPr>
              <w:p>
                <w:pPr>
                  <w:overflowPunct w:val="0"/>
                  <w:spacing w:line="360" w:lineRule="auto"/>
                  <w:jc w:val="both"/>
                  <w:textAlignment w:val="baseline"/>
                </w:pPr>
              </w:p>
            </w:tc>
            <w:tc>
              <w:tcPr>
                <w:tcW w:w="1036" w:type="dxa"/>
              </w:tcPr>
              <w:p>
                <w:pPr>
                  <w:overflowPunct w:val="0"/>
                  <w:spacing w:line="360" w:lineRule="auto"/>
                  <w:jc w:val="both"/>
                  <w:textAlignment w:val="baseline"/>
                </w:pPr>
              </w:p>
            </w:tc>
            <w:tc>
              <w:tcPr>
                <w:tcW w:w="807" w:type="dxa"/>
                <w:vAlign w:val="center"/>
              </w:tcPr>
              <w:p>
                <w:pPr>
                  <w:overflowPunct w:val="0"/>
                  <w:spacing w:line="360" w:lineRule="auto"/>
                  <w:jc w:val="both"/>
                  <w:textAlignment w:val="baseline"/>
                </w:pPr>
              </w:p>
            </w:tc>
            <w:tc>
              <w:tcPr>
                <w:tcW w:w="807" w:type="dxa"/>
                <w:vAlign w:val="center"/>
              </w:tcPr>
              <w:p>
                <w:pPr>
                  <w:overflowPunct w:val="0"/>
                  <w:spacing w:line="360" w:lineRule="auto"/>
                  <w:jc w:val="both"/>
                  <w:textAlignment w:val="baseline"/>
                </w:pPr>
              </w:p>
            </w:tc>
            <w:tc>
              <w:tcPr>
                <w:tcW w:w="807" w:type="dxa"/>
                <w:vAlign w:val="center"/>
              </w:tcPr>
              <w:p>
                <w:pPr>
                  <w:overflowPunct w:val="0"/>
                  <w:spacing w:line="360" w:lineRule="auto"/>
                  <w:jc w:val="both"/>
                  <w:textAlignment w:val="baseline"/>
                </w:pPr>
              </w:p>
            </w:tc>
            <w:tc>
              <w:tcPr>
                <w:tcW w:w="807" w:type="dxa"/>
                <w:vAlign w:val="center"/>
              </w:tcPr>
              <w:p>
                <w:pPr>
                  <w:overflowPunct w:val="0"/>
                  <w:spacing w:line="360" w:lineRule="auto"/>
                  <w:jc w:val="both"/>
                  <w:textAlignment w:val="baseline"/>
                </w:pPr>
              </w:p>
            </w:tc>
            <w:tc>
              <w:tcPr>
                <w:tcW w:w="828" w:type="dxa"/>
                <w:vAlign w:val="center"/>
              </w:tcPr>
              <w:p>
                <w:pPr>
                  <w:overflowPunct w:val="0"/>
                  <w:spacing w:line="360" w:lineRule="auto"/>
                  <w:jc w:val="both"/>
                  <w:textAlignment w:val="baseline"/>
                </w:pPr>
              </w:p>
            </w:tc>
            <w:tc>
              <w:tcPr>
                <w:tcW w:w="864" w:type="dxa"/>
                <w:vAlign w:val="center"/>
              </w:tcPr>
              <w:p>
                <w:pPr>
                  <w:overflowPunct w:val="0"/>
                  <w:spacing w:line="360" w:lineRule="auto"/>
                  <w:jc w:val="both"/>
                  <w:textAlignment w:val="baseline"/>
                </w:pPr>
              </w:p>
            </w:tc>
            <w:tc>
              <w:tcPr>
                <w:tcW w:w="842" w:type="dxa"/>
                <w:vAlign w:val="center"/>
              </w:tcPr>
              <w:p>
                <w:pPr>
                  <w:overflowPunct w:val="0"/>
                  <w:spacing w:line="360" w:lineRule="auto"/>
                  <w:jc w:val="both"/>
                  <w:textAlignment w:val="baseline"/>
                </w:pPr>
              </w:p>
            </w:tc>
          </w:tr>
          <w:tr>
            <w:trPr>
              <w:cantSplit/>
              <w:trHeight w:hRule="exact" w:val="255"/>
            </w:trPr>
            <w:tc>
              <w:tcPr>
                <w:tcW w:w="865" w:type="dxa"/>
                <w:vAlign w:val="center"/>
              </w:tcPr>
              <w:p>
                <w:pPr>
                  <w:overflowPunct w:val="0"/>
                  <w:spacing w:line="360" w:lineRule="auto"/>
                  <w:jc w:val="both"/>
                  <w:textAlignment w:val="baseline"/>
                </w:pPr>
              </w:p>
            </w:tc>
            <w:tc>
              <w:tcPr>
                <w:tcW w:w="1587" w:type="dxa"/>
                <w:vAlign w:val="center"/>
              </w:tcPr>
              <w:p>
                <w:pPr>
                  <w:overflowPunct w:val="0"/>
                  <w:spacing w:line="360" w:lineRule="auto"/>
                  <w:jc w:val="both"/>
                  <w:textAlignment w:val="baseline"/>
                </w:pPr>
              </w:p>
            </w:tc>
            <w:tc>
              <w:tcPr>
                <w:tcW w:w="865" w:type="dxa"/>
                <w:vAlign w:val="center"/>
              </w:tcPr>
              <w:p>
                <w:pPr>
                  <w:overflowPunct w:val="0"/>
                  <w:spacing w:line="360" w:lineRule="auto"/>
                  <w:jc w:val="both"/>
                  <w:textAlignment w:val="baseline"/>
                </w:pPr>
              </w:p>
            </w:tc>
            <w:tc>
              <w:tcPr>
                <w:tcW w:w="865" w:type="dxa"/>
                <w:vAlign w:val="center"/>
              </w:tcPr>
              <w:p>
                <w:pPr>
                  <w:overflowPunct w:val="0"/>
                  <w:spacing w:line="360" w:lineRule="auto"/>
                  <w:jc w:val="both"/>
                  <w:textAlignment w:val="baseline"/>
                </w:pPr>
              </w:p>
            </w:tc>
            <w:tc>
              <w:tcPr>
                <w:tcW w:w="780" w:type="dxa"/>
                <w:vAlign w:val="center"/>
              </w:tcPr>
              <w:p>
                <w:pPr>
                  <w:overflowPunct w:val="0"/>
                  <w:spacing w:line="360" w:lineRule="auto"/>
                  <w:jc w:val="both"/>
                  <w:textAlignment w:val="baseline"/>
                </w:pPr>
              </w:p>
            </w:tc>
            <w:tc>
              <w:tcPr>
                <w:tcW w:w="862" w:type="dxa"/>
                <w:vAlign w:val="center"/>
              </w:tcPr>
              <w:p>
                <w:pPr>
                  <w:overflowPunct w:val="0"/>
                  <w:spacing w:line="360" w:lineRule="auto"/>
                  <w:jc w:val="both"/>
                  <w:textAlignment w:val="baseline"/>
                </w:pPr>
              </w:p>
            </w:tc>
            <w:tc>
              <w:tcPr>
                <w:tcW w:w="864" w:type="dxa"/>
                <w:vAlign w:val="center"/>
              </w:tcPr>
              <w:p>
                <w:pPr>
                  <w:overflowPunct w:val="0"/>
                  <w:spacing w:line="360" w:lineRule="auto"/>
                  <w:jc w:val="both"/>
                  <w:textAlignment w:val="baseline"/>
                </w:pPr>
              </w:p>
            </w:tc>
            <w:tc>
              <w:tcPr>
                <w:tcW w:w="1016" w:type="dxa"/>
              </w:tcPr>
              <w:p>
                <w:pPr>
                  <w:overflowPunct w:val="0"/>
                  <w:spacing w:line="360" w:lineRule="auto"/>
                  <w:jc w:val="both"/>
                  <w:textAlignment w:val="baseline"/>
                </w:pPr>
              </w:p>
            </w:tc>
            <w:tc>
              <w:tcPr>
                <w:tcW w:w="807" w:type="dxa"/>
              </w:tcPr>
              <w:p>
                <w:pPr>
                  <w:overflowPunct w:val="0"/>
                  <w:spacing w:line="360" w:lineRule="auto"/>
                  <w:jc w:val="both"/>
                  <w:textAlignment w:val="baseline"/>
                </w:pPr>
              </w:p>
            </w:tc>
            <w:tc>
              <w:tcPr>
                <w:tcW w:w="1036" w:type="dxa"/>
              </w:tcPr>
              <w:p>
                <w:pPr>
                  <w:overflowPunct w:val="0"/>
                  <w:spacing w:line="360" w:lineRule="auto"/>
                  <w:jc w:val="both"/>
                  <w:textAlignment w:val="baseline"/>
                </w:pPr>
              </w:p>
            </w:tc>
            <w:tc>
              <w:tcPr>
                <w:tcW w:w="807" w:type="dxa"/>
                <w:vAlign w:val="center"/>
              </w:tcPr>
              <w:p>
                <w:pPr>
                  <w:overflowPunct w:val="0"/>
                  <w:spacing w:line="360" w:lineRule="auto"/>
                  <w:jc w:val="both"/>
                  <w:textAlignment w:val="baseline"/>
                </w:pPr>
              </w:p>
            </w:tc>
            <w:tc>
              <w:tcPr>
                <w:tcW w:w="807" w:type="dxa"/>
                <w:vAlign w:val="center"/>
              </w:tcPr>
              <w:p>
                <w:pPr>
                  <w:overflowPunct w:val="0"/>
                  <w:spacing w:line="360" w:lineRule="auto"/>
                  <w:jc w:val="both"/>
                  <w:textAlignment w:val="baseline"/>
                </w:pPr>
              </w:p>
            </w:tc>
            <w:tc>
              <w:tcPr>
                <w:tcW w:w="807" w:type="dxa"/>
                <w:vAlign w:val="center"/>
              </w:tcPr>
              <w:p>
                <w:pPr>
                  <w:overflowPunct w:val="0"/>
                  <w:spacing w:line="360" w:lineRule="auto"/>
                  <w:jc w:val="both"/>
                  <w:textAlignment w:val="baseline"/>
                </w:pPr>
              </w:p>
            </w:tc>
            <w:tc>
              <w:tcPr>
                <w:tcW w:w="807" w:type="dxa"/>
                <w:vAlign w:val="center"/>
              </w:tcPr>
              <w:p>
                <w:pPr>
                  <w:overflowPunct w:val="0"/>
                  <w:spacing w:line="360" w:lineRule="auto"/>
                  <w:jc w:val="both"/>
                  <w:textAlignment w:val="baseline"/>
                </w:pPr>
              </w:p>
            </w:tc>
            <w:tc>
              <w:tcPr>
                <w:tcW w:w="828" w:type="dxa"/>
                <w:vAlign w:val="center"/>
              </w:tcPr>
              <w:p>
                <w:pPr>
                  <w:overflowPunct w:val="0"/>
                  <w:spacing w:line="360" w:lineRule="auto"/>
                  <w:jc w:val="both"/>
                  <w:textAlignment w:val="baseline"/>
                </w:pPr>
              </w:p>
            </w:tc>
            <w:tc>
              <w:tcPr>
                <w:tcW w:w="864" w:type="dxa"/>
                <w:vAlign w:val="center"/>
              </w:tcPr>
              <w:p>
                <w:pPr>
                  <w:overflowPunct w:val="0"/>
                  <w:spacing w:line="360" w:lineRule="auto"/>
                  <w:jc w:val="both"/>
                  <w:textAlignment w:val="baseline"/>
                </w:pPr>
              </w:p>
            </w:tc>
            <w:tc>
              <w:tcPr>
                <w:tcW w:w="842" w:type="dxa"/>
                <w:vAlign w:val="center"/>
              </w:tcPr>
              <w:p>
                <w:pPr>
                  <w:overflowPunct w:val="0"/>
                  <w:spacing w:line="360" w:lineRule="auto"/>
                  <w:jc w:val="both"/>
                  <w:textAlignment w:val="baseline"/>
                </w:pPr>
              </w:p>
            </w:tc>
          </w:tr>
          <w:tr>
            <w:trPr>
              <w:cantSplit/>
              <w:trHeight w:hRule="exact" w:val="255"/>
            </w:trPr>
            <w:tc>
              <w:tcPr>
                <w:tcW w:w="865" w:type="dxa"/>
                <w:vAlign w:val="center"/>
              </w:tcPr>
              <w:p>
                <w:pPr>
                  <w:overflowPunct w:val="0"/>
                  <w:spacing w:line="360" w:lineRule="auto"/>
                  <w:jc w:val="both"/>
                  <w:textAlignment w:val="baseline"/>
                </w:pPr>
              </w:p>
            </w:tc>
            <w:tc>
              <w:tcPr>
                <w:tcW w:w="1587" w:type="dxa"/>
                <w:vAlign w:val="center"/>
              </w:tcPr>
              <w:p>
                <w:pPr>
                  <w:overflowPunct w:val="0"/>
                  <w:spacing w:line="360" w:lineRule="auto"/>
                  <w:jc w:val="both"/>
                  <w:textAlignment w:val="baseline"/>
                </w:pPr>
              </w:p>
            </w:tc>
            <w:tc>
              <w:tcPr>
                <w:tcW w:w="865" w:type="dxa"/>
                <w:vAlign w:val="center"/>
              </w:tcPr>
              <w:p>
                <w:pPr>
                  <w:overflowPunct w:val="0"/>
                  <w:spacing w:line="360" w:lineRule="auto"/>
                  <w:jc w:val="both"/>
                  <w:textAlignment w:val="baseline"/>
                </w:pPr>
              </w:p>
            </w:tc>
            <w:tc>
              <w:tcPr>
                <w:tcW w:w="865" w:type="dxa"/>
                <w:vAlign w:val="center"/>
              </w:tcPr>
              <w:p>
                <w:pPr>
                  <w:overflowPunct w:val="0"/>
                  <w:spacing w:line="360" w:lineRule="auto"/>
                  <w:jc w:val="both"/>
                  <w:textAlignment w:val="baseline"/>
                </w:pPr>
              </w:p>
            </w:tc>
            <w:tc>
              <w:tcPr>
                <w:tcW w:w="780" w:type="dxa"/>
                <w:vAlign w:val="center"/>
              </w:tcPr>
              <w:p>
                <w:pPr>
                  <w:overflowPunct w:val="0"/>
                  <w:spacing w:line="360" w:lineRule="auto"/>
                  <w:jc w:val="both"/>
                  <w:textAlignment w:val="baseline"/>
                </w:pPr>
              </w:p>
            </w:tc>
            <w:tc>
              <w:tcPr>
                <w:tcW w:w="862" w:type="dxa"/>
                <w:vAlign w:val="center"/>
              </w:tcPr>
              <w:p>
                <w:pPr>
                  <w:overflowPunct w:val="0"/>
                  <w:spacing w:line="360" w:lineRule="auto"/>
                  <w:jc w:val="both"/>
                  <w:textAlignment w:val="baseline"/>
                </w:pPr>
              </w:p>
            </w:tc>
            <w:tc>
              <w:tcPr>
                <w:tcW w:w="864" w:type="dxa"/>
                <w:vAlign w:val="center"/>
              </w:tcPr>
              <w:p>
                <w:pPr>
                  <w:overflowPunct w:val="0"/>
                  <w:spacing w:line="360" w:lineRule="auto"/>
                  <w:jc w:val="both"/>
                  <w:textAlignment w:val="baseline"/>
                </w:pPr>
              </w:p>
            </w:tc>
            <w:tc>
              <w:tcPr>
                <w:tcW w:w="1016" w:type="dxa"/>
              </w:tcPr>
              <w:p>
                <w:pPr>
                  <w:overflowPunct w:val="0"/>
                  <w:spacing w:line="360" w:lineRule="auto"/>
                  <w:jc w:val="both"/>
                  <w:textAlignment w:val="baseline"/>
                </w:pPr>
              </w:p>
            </w:tc>
            <w:tc>
              <w:tcPr>
                <w:tcW w:w="807" w:type="dxa"/>
              </w:tcPr>
              <w:p>
                <w:pPr>
                  <w:overflowPunct w:val="0"/>
                  <w:spacing w:line="360" w:lineRule="auto"/>
                  <w:jc w:val="both"/>
                  <w:textAlignment w:val="baseline"/>
                </w:pPr>
              </w:p>
            </w:tc>
            <w:tc>
              <w:tcPr>
                <w:tcW w:w="1036" w:type="dxa"/>
              </w:tcPr>
              <w:p>
                <w:pPr>
                  <w:overflowPunct w:val="0"/>
                  <w:spacing w:line="360" w:lineRule="auto"/>
                  <w:jc w:val="both"/>
                  <w:textAlignment w:val="baseline"/>
                </w:pPr>
              </w:p>
            </w:tc>
            <w:tc>
              <w:tcPr>
                <w:tcW w:w="807" w:type="dxa"/>
                <w:vAlign w:val="center"/>
              </w:tcPr>
              <w:p>
                <w:pPr>
                  <w:overflowPunct w:val="0"/>
                  <w:spacing w:line="360" w:lineRule="auto"/>
                  <w:jc w:val="both"/>
                  <w:textAlignment w:val="baseline"/>
                </w:pPr>
              </w:p>
            </w:tc>
            <w:tc>
              <w:tcPr>
                <w:tcW w:w="807" w:type="dxa"/>
                <w:vAlign w:val="center"/>
              </w:tcPr>
              <w:p>
                <w:pPr>
                  <w:overflowPunct w:val="0"/>
                  <w:spacing w:line="360" w:lineRule="auto"/>
                  <w:jc w:val="both"/>
                  <w:textAlignment w:val="baseline"/>
                </w:pPr>
              </w:p>
            </w:tc>
            <w:tc>
              <w:tcPr>
                <w:tcW w:w="807" w:type="dxa"/>
                <w:vAlign w:val="center"/>
              </w:tcPr>
              <w:p>
                <w:pPr>
                  <w:overflowPunct w:val="0"/>
                  <w:spacing w:line="360" w:lineRule="auto"/>
                  <w:jc w:val="both"/>
                  <w:textAlignment w:val="baseline"/>
                </w:pPr>
              </w:p>
            </w:tc>
            <w:tc>
              <w:tcPr>
                <w:tcW w:w="807" w:type="dxa"/>
                <w:vAlign w:val="center"/>
              </w:tcPr>
              <w:p>
                <w:pPr>
                  <w:overflowPunct w:val="0"/>
                  <w:spacing w:line="360" w:lineRule="auto"/>
                  <w:jc w:val="both"/>
                  <w:textAlignment w:val="baseline"/>
                </w:pPr>
              </w:p>
            </w:tc>
            <w:tc>
              <w:tcPr>
                <w:tcW w:w="828" w:type="dxa"/>
                <w:vAlign w:val="center"/>
              </w:tcPr>
              <w:p>
                <w:pPr>
                  <w:overflowPunct w:val="0"/>
                  <w:spacing w:line="360" w:lineRule="auto"/>
                  <w:jc w:val="both"/>
                  <w:textAlignment w:val="baseline"/>
                </w:pPr>
              </w:p>
            </w:tc>
            <w:tc>
              <w:tcPr>
                <w:tcW w:w="864" w:type="dxa"/>
                <w:vAlign w:val="center"/>
              </w:tcPr>
              <w:p>
                <w:pPr>
                  <w:overflowPunct w:val="0"/>
                  <w:spacing w:line="360" w:lineRule="auto"/>
                  <w:jc w:val="both"/>
                  <w:textAlignment w:val="baseline"/>
                </w:pPr>
              </w:p>
            </w:tc>
            <w:tc>
              <w:tcPr>
                <w:tcW w:w="842" w:type="dxa"/>
                <w:vAlign w:val="center"/>
              </w:tcPr>
              <w:p>
                <w:pPr>
                  <w:overflowPunct w:val="0"/>
                  <w:spacing w:line="360" w:lineRule="auto"/>
                  <w:jc w:val="both"/>
                  <w:textAlignment w:val="baseline"/>
                </w:pPr>
              </w:p>
            </w:tc>
          </w:tr>
          <w:tr>
            <w:trPr>
              <w:cantSplit/>
              <w:trHeight w:hRule="exact" w:val="255"/>
            </w:trPr>
            <w:tc>
              <w:tcPr>
                <w:tcW w:w="865" w:type="dxa"/>
                <w:vAlign w:val="center"/>
              </w:tcPr>
              <w:p>
                <w:pPr>
                  <w:overflowPunct w:val="0"/>
                  <w:spacing w:line="360" w:lineRule="auto"/>
                  <w:jc w:val="both"/>
                  <w:textAlignment w:val="baseline"/>
                </w:pPr>
              </w:p>
            </w:tc>
            <w:tc>
              <w:tcPr>
                <w:tcW w:w="1587" w:type="dxa"/>
                <w:vAlign w:val="center"/>
              </w:tcPr>
              <w:p>
                <w:pPr>
                  <w:overflowPunct w:val="0"/>
                  <w:spacing w:line="360" w:lineRule="auto"/>
                  <w:jc w:val="both"/>
                  <w:textAlignment w:val="baseline"/>
                </w:pPr>
              </w:p>
            </w:tc>
            <w:tc>
              <w:tcPr>
                <w:tcW w:w="865" w:type="dxa"/>
                <w:vAlign w:val="center"/>
              </w:tcPr>
              <w:p>
                <w:pPr>
                  <w:overflowPunct w:val="0"/>
                  <w:spacing w:line="360" w:lineRule="auto"/>
                  <w:jc w:val="both"/>
                  <w:textAlignment w:val="baseline"/>
                </w:pPr>
              </w:p>
            </w:tc>
            <w:tc>
              <w:tcPr>
                <w:tcW w:w="865" w:type="dxa"/>
                <w:vAlign w:val="center"/>
              </w:tcPr>
              <w:p>
                <w:pPr>
                  <w:overflowPunct w:val="0"/>
                  <w:spacing w:line="360" w:lineRule="auto"/>
                  <w:jc w:val="both"/>
                  <w:textAlignment w:val="baseline"/>
                </w:pPr>
              </w:p>
            </w:tc>
            <w:tc>
              <w:tcPr>
                <w:tcW w:w="780" w:type="dxa"/>
                <w:vAlign w:val="center"/>
              </w:tcPr>
              <w:p>
                <w:pPr>
                  <w:overflowPunct w:val="0"/>
                  <w:spacing w:line="360" w:lineRule="auto"/>
                  <w:jc w:val="both"/>
                  <w:textAlignment w:val="baseline"/>
                </w:pPr>
              </w:p>
            </w:tc>
            <w:tc>
              <w:tcPr>
                <w:tcW w:w="862" w:type="dxa"/>
                <w:vAlign w:val="center"/>
              </w:tcPr>
              <w:p>
                <w:pPr>
                  <w:overflowPunct w:val="0"/>
                  <w:spacing w:line="360" w:lineRule="auto"/>
                  <w:jc w:val="both"/>
                  <w:textAlignment w:val="baseline"/>
                </w:pPr>
              </w:p>
            </w:tc>
            <w:tc>
              <w:tcPr>
                <w:tcW w:w="864" w:type="dxa"/>
                <w:vAlign w:val="center"/>
              </w:tcPr>
              <w:p>
                <w:pPr>
                  <w:overflowPunct w:val="0"/>
                  <w:spacing w:line="360" w:lineRule="auto"/>
                  <w:jc w:val="both"/>
                  <w:textAlignment w:val="baseline"/>
                </w:pPr>
              </w:p>
            </w:tc>
            <w:tc>
              <w:tcPr>
                <w:tcW w:w="1016" w:type="dxa"/>
              </w:tcPr>
              <w:p>
                <w:pPr>
                  <w:overflowPunct w:val="0"/>
                  <w:spacing w:line="360" w:lineRule="auto"/>
                  <w:jc w:val="both"/>
                  <w:textAlignment w:val="baseline"/>
                </w:pPr>
              </w:p>
            </w:tc>
            <w:tc>
              <w:tcPr>
                <w:tcW w:w="807" w:type="dxa"/>
              </w:tcPr>
              <w:p>
                <w:pPr>
                  <w:overflowPunct w:val="0"/>
                  <w:spacing w:line="360" w:lineRule="auto"/>
                  <w:jc w:val="both"/>
                  <w:textAlignment w:val="baseline"/>
                </w:pPr>
              </w:p>
            </w:tc>
            <w:tc>
              <w:tcPr>
                <w:tcW w:w="1036" w:type="dxa"/>
              </w:tcPr>
              <w:p>
                <w:pPr>
                  <w:overflowPunct w:val="0"/>
                  <w:spacing w:line="360" w:lineRule="auto"/>
                  <w:jc w:val="both"/>
                  <w:textAlignment w:val="baseline"/>
                </w:pPr>
              </w:p>
            </w:tc>
            <w:tc>
              <w:tcPr>
                <w:tcW w:w="807" w:type="dxa"/>
                <w:vAlign w:val="center"/>
              </w:tcPr>
              <w:p>
                <w:pPr>
                  <w:overflowPunct w:val="0"/>
                  <w:spacing w:line="360" w:lineRule="auto"/>
                  <w:jc w:val="both"/>
                  <w:textAlignment w:val="baseline"/>
                </w:pPr>
              </w:p>
            </w:tc>
            <w:tc>
              <w:tcPr>
                <w:tcW w:w="807" w:type="dxa"/>
                <w:vAlign w:val="center"/>
              </w:tcPr>
              <w:p>
                <w:pPr>
                  <w:overflowPunct w:val="0"/>
                  <w:spacing w:line="360" w:lineRule="auto"/>
                  <w:jc w:val="both"/>
                  <w:textAlignment w:val="baseline"/>
                </w:pPr>
              </w:p>
            </w:tc>
            <w:tc>
              <w:tcPr>
                <w:tcW w:w="807" w:type="dxa"/>
                <w:vAlign w:val="center"/>
              </w:tcPr>
              <w:p>
                <w:pPr>
                  <w:overflowPunct w:val="0"/>
                  <w:spacing w:line="360" w:lineRule="auto"/>
                  <w:jc w:val="both"/>
                  <w:textAlignment w:val="baseline"/>
                </w:pPr>
              </w:p>
            </w:tc>
            <w:tc>
              <w:tcPr>
                <w:tcW w:w="807" w:type="dxa"/>
                <w:vAlign w:val="center"/>
              </w:tcPr>
              <w:p>
                <w:pPr>
                  <w:overflowPunct w:val="0"/>
                  <w:spacing w:line="360" w:lineRule="auto"/>
                  <w:jc w:val="both"/>
                  <w:textAlignment w:val="baseline"/>
                </w:pPr>
              </w:p>
            </w:tc>
            <w:tc>
              <w:tcPr>
                <w:tcW w:w="828" w:type="dxa"/>
                <w:vAlign w:val="center"/>
              </w:tcPr>
              <w:p>
                <w:pPr>
                  <w:overflowPunct w:val="0"/>
                  <w:spacing w:line="360" w:lineRule="auto"/>
                  <w:jc w:val="both"/>
                  <w:textAlignment w:val="baseline"/>
                </w:pPr>
              </w:p>
            </w:tc>
            <w:tc>
              <w:tcPr>
                <w:tcW w:w="864" w:type="dxa"/>
                <w:vAlign w:val="center"/>
              </w:tcPr>
              <w:p>
                <w:pPr>
                  <w:overflowPunct w:val="0"/>
                  <w:spacing w:line="360" w:lineRule="auto"/>
                  <w:jc w:val="both"/>
                  <w:textAlignment w:val="baseline"/>
                </w:pPr>
              </w:p>
            </w:tc>
            <w:tc>
              <w:tcPr>
                <w:tcW w:w="842" w:type="dxa"/>
                <w:vAlign w:val="center"/>
              </w:tcPr>
              <w:p>
                <w:pPr>
                  <w:overflowPunct w:val="0"/>
                  <w:spacing w:line="360" w:lineRule="auto"/>
                  <w:jc w:val="both"/>
                  <w:textAlignment w:val="baseline"/>
                </w:pPr>
              </w:p>
            </w:tc>
          </w:tr>
          <w:tr>
            <w:trPr>
              <w:cantSplit/>
              <w:trHeight w:hRule="exact" w:val="255"/>
            </w:trPr>
            <w:tc>
              <w:tcPr>
                <w:tcW w:w="865" w:type="dxa"/>
                <w:vAlign w:val="center"/>
              </w:tcPr>
              <w:p>
                <w:pPr>
                  <w:overflowPunct w:val="0"/>
                  <w:spacing w:line="360" w:lineRule="auto"/>
                  <w:jc w:val="both"/>
                  <w:textAlignment w:val="baseline"/>
                </w:pPr>
              </w:p>
            </w:tc>
            <w:tc>
              <w:tcPr>
                <w:tcW w:w="1587" w:type="dxa"/>
                <w:vAlign w:val="center"/>
              </w:tcPr>
              <w:p>
                <w:pPr>
                  <w:overflowPunct w:val="0"/>
                  <w:spacing w:line="360" w:lineRule="auto"/>
                  <w:jc w:val="both"/>
                  <w:textAlignment w:val="baseline"/>
                </w:pPr>
              </w:p>
            </w:tc>
            <w:tc>
              <w:tcPr>
                <w:tcW w:w="865" w:type="dxa"/>
                <w:vAlign w:val="center"/>
              </w:tcPr>
              <w:p>
                <w:pPr>
                  <w:overflowPunct w:val="0"/>
                  <w:spacing w:line="360" w:lineRule="auto"/>
                  <w:jc w:val="both"/>
                  <w:textAlignment w:val="baseline"/>
                </w:pPr>
              </w:p>
            </w:tc>
            <w:tc>
              <w:tcPr>
                <w:tcW w:w="865" w:type="dxa"/>
                <w:vAlign w:val="center"/>
              </w:tcPr>
              <w:p>
                <w:pPr>
                  <w:overflowPunct w:val="0"/>
                  <w:spacing w:line="360" w:lineRule="auto"/>
                  <w:jc w:val="both"/>
                  <w:textAlignment w:val="baseline"/>
                </w:pPr>
              </w:p>
            </w:tc>
            <w:tc>
              <w:tcPr>
                <w:tcW w:w="780" w:type="dxa"/>
                <w:vAlign w:val="center"/>
              </w:tcPr>
              <w:p>
                <w:pPr>
                  <w:overflowPunct w:val="0"/>
                  <w:spacing w:line="360" w:lineRule="auto"/>
                  <w:jc w:val="both"/>
                  <w:textAlignment w:val="baseline"/>
                </w:pPr>
              </w:p>
            </w:tc>
            <w:tc>
              <w:tcPr>
                <w:tcW w:w="862" w:type="dxa"/>
                <w:vAlign w:val="center"/>
              </w:tcPr>
              <w:p>
                <w:pPr>
                  <w:overflowPunct w:val="0"/>
                  <w:spacing w:line="360" w:lineRule="auto"/>
                  <w:jc w:val="both"/>
                  <w:textAlignment w:val="baseline"/>
                </w:pPr>
              </w:p>
            </w:tc>
            <w:tc>
              <w:tcPr>
                <w:tcW w:w="864" w:type="dxa"/>
                <w:vAlign w:val="center"/>
              </w:tcPr>
              <w:p>
                <w:pPr>
                  <w:overflowPunct w:val="0"/>
                  <w:spacing w:line="360" w:lineRule="auto"/>
                  <w:jc w:val="both"/>
                  <w:textAlignment w:val="baseline"/>
                </w:pPr>
              </w:p>
            </w:tc>
            <w:tc>
              <w:tcPr>
                <w:tcW w:w="1016" w:type="dxa"/>
              </w:tcPr>
              <w:p>
                <w:pPr>
                  <w:overflowPunct w:val="0"/>
                  <w:spacing w:line="360" w:lineRule="auto"/>
                  <w:jc w:val="both"/>
                  <w:textAlignment w:val="baseline"/>
                </w:pPr>
              </w:p>
            </w:tc>
            <w:tc>
              <w:tcPr>
                <w:tcW w:w="807" w:type="dxa"/>
              </w:tcPr>
              <w:p>
                <w:pPr>
                  <w:overflowPunct w:val="0"/>
                  <w:spacing w:line="360" w:lineRule="auto"/>
                  <w:jc w:val="both"/>
                  <w:textAlignment w:val="baseline"/>
                </w:pPr>
              </w:p>
            </w:tc>
            <w:tc>
              <w:tcPr>
                <w:tcW w:w="1036" w:type="dxa"/>
              </w:tcPr>
              <w:p>
                <w:pPr>
                  <w:overflowPunct w:val="0"/>
                  <w:spacing w:line="360" w:lineRule="auto"/>
                  <w:jc w:val="both"/>
                  <w:textAlignment w:val="baseline"/>
                </w:pPr>
              </w:p>
            </w:tc>
            <w:tc>
              <w:tcPr>
                <w:tcW w:w="807" w:type="dxa"/>
                <w:vAlign w:val="center"/>
              </w:tcPr>
              <w:p>
                <w:pPr>
                  <w:overflowPunct w:val="0"/>
                  <w:spacing w:line="360" w:lineRule="auto"/>
                  <w:jc w:val="both"/>
                  <w:textAlignment w:val="baseline"/>
                </w:pPr>
              </w:p>
            </w:tc>
            <w:tc>
              <w:tcPr>
                <w:tcW w:w="807" w:type="dxa"/>
                <w:vAlign w:val="center"/>
              </w:tcPr>
              <w:p>
                <w:pPr>
                  <w:overflowPunct w:val="0"/>
                  <w:spacing w:line="360" w:lineRule="auto"/>
                  <w:jc w:val="both"/>
                  <w:textAlignment w:val="baseline"/>
                </w:pPr>
              </w:p>
            </w:tc>
            <w:tc>
              <w:tcPr>
                <w:tcW w:w="807" w:type="dxa"/>
                <w:vAlign w:val="center"/>
              </w:tcPr>
              <w:p>
                <w:pPr>
                  <w:overflowPunct w:val="0"/>
                  <w:spacing w:line="360" w:lineRule="auto"/>
                  <w:jc w:val="both"/>
                  <w:textAlignment w:val="baseline"/>
                </w:pPr>
              </w:p>
            </w:tc>
            <w:tc>
              <w:tcPr>
                <w:tcW w:w="807" w:type="dxa"/>
                <w:vAlign w:val="center"/>
              </w:tcPr>
              <w:p>
                <w:pPr>
                  <w:overflowPunct w:val="0"/>
                  <w:spacing w:line="360" w:lineRule="auto"/>
                  <w:jc w:val="both"/>
                  <w:textAlignment w:val="baseline"/>
                </w:pPr>
              </w:p>
            </w:tc>
            <w:tc>
              <w:tcPr>
                <w:tcW w:w="828" w:type="dxa"/>
                <w:vAlign w:val="center"/>
              </w:tcPr>
              <w:p>
                <w:pPr>
                  <w:overflowPunct w:val="0"/>
                  <w:spacing w:line="360" w:lineRule="auto"/>
                  <w:jc w:val="both"/>
                  <w:textAlignment w:val="baseline"/>
                </w:pPr>
              </w:p>
            </w:tc>
            <w:tc>
              <w:tcPr>
                <w:tcW w:w="864" w:type="dxa"/>
                <w:vAlign w:val="center"/>
              </w:tcPr>
              <w:p>
                <w:pPr>
                  <w:overflowPunct w:val="0"/>
                  <w:spacing w:line="360" w:lineRule="auto"/>
                  <w:jc w:val="both"/>
                  <w:textAlignment w:val="baseline"/>
                </w:pPr>
              </w:p>
            </w:tc>
            <w:tc>
              <w:tcPr>
                <w:tcW w:w="842" w:type="dxa"/>
                <w:vAlign w:val="center"/>
              </w:tcPr>
              <w:p>
                <w:pPr>
                  <w:overflowPunct w:val="0"/>
                  <w:spacing w:line="360" w:lineRule="auto"/>
                  <w:jc w:val="both"/>
                  <w:textAlignment w:val="baseline"/>
                </w:pPr>
              </w:p>
            </w:tc>
          </w:tr>
          <w:tr>
            <w:trPr>
              <w:cantSplit/>
              <w:trHeight w:hRule="exact" w:val="255"/>
            </w:trPr>
            <w:tc>
              <w:tcPr>
                <w:tcW w:w="865" w:type="dxa"/>
                <w:vAlign w:val="center"/>
              </w:tcPr>
              <w:p>
                <w:pPr>
                  <w:overflowPunct w:val="0"/>
                  <w:spacing w:line="360" w:lineRule="auto"/>
                  <w:jc w:val="both"/>
                  <w:textAlignment w:val="baseline"/>
                </w:pPr>
              </w:p>
            </w:tc>
            <w:tc>
              <w:tcPr>
                <w:tcW w:w="1587" w:type="dxa"/>
                <w:vAlign w:val="center"/>
              </w:tcPr>
              <w:p>
                <w:pPr>
                  <w:overflowPunct w:val="0"/>
                  <w:spacing w:line="360" w:lineRule="auto"/>
                  <w:jc w:val="both"/>
                  <w:textAlignment w:val="baseline"/>
                </w:pPr>
              </w:p>
            </w:tc>
            <w:tc>
              <w:tcPr>
                <w:tcW w:w="865" w:type="dxa"/>
                <w:vAlign w:val="center"/>
              </w:tcPr>
              <w:p>
                <w:pPr>
                  <w:overflowPunct w:val="0"/>
                  <w:spacing w:line="360" w:lineRule="auto"/>
                  <w:jc w:val="both"/>
                  <w:textAlignment w:val="baseline"/>
                </w:pPr>
              </w:p>
            </w:tc>
            <w:tc>
              <w:tcPr>
                <w:tcW w:w="865" w:type="dxa"/>
                <w:vAlign w:val="center"/>
              </w:tcPr>
              <w:p>
                <w:pPr>
                  <w:overflowPunct w:val="0"/>
                  <w:spacing w:line="360" w:lineRule="auto"/>
                  <w:jc w:val="both"/>
                  <w:textAlignment w:val="baseline"/>
                </w:pPr>
              </w:p>
            </w:tc>
            <w:tc>
              <w:tcPr>
                <w:tcW w:w="780" w:type="dxa"/>
                <w:vAlign w:val="center"/>
              </w:tcPr>
              <w:p>
                <w:pPr>
                  <w:overflowPunct w:val="0"/>
                  <w:spacing w:line="360" w:lineRule="auto"/>
                  <w:jc w:val="both"/>
                  <w:textAlignment w:val="baseline"/>
                </w:pPr>
              </w:p>
            </w:tc>
            <w:tc>
              <w:tcPr>
                <w:tcW w:w="862" w:type="dxa"/>
                <w:vAlign w:val="center"/>
              </w:tcPr>
              <w:p>
                <w:pPr>
                  <w:overflowPunct w:val="0"/>
                  <w:spacing w:line="360" w:lineRule="auto"/>
                  <w:jc w:val="both"/>
                  <w:textAlignment w:val="baseline"/>
                </w:pPr>
              </w:p>
            </w:tc>
            <w:tc>
              <w:tcPr>
                <w:tcW w:w="864" w:type="dxa"/>
                <w:vAlign w:val="center"/>
              </w:tcPr>
              <w:p>
                <w:pPr>
                  <w:overflowPunct w:val="0"/>
                  <w:spacing w:line="360" w:lineRule="auto"/>
                  <w:jc w:val="both"/>
                  <w:textAlignment w:val="baseline"/>
                </w:pPr>
              </w:p>
            </w:tc>
            <w:tc>
              <w:tcPr>
                <w:tcW w:w="1016" w:type="dxa"/>
              </w:tcPr>
              <w:p>
                <w:pPr>
                  <w:overflowPunct w:val="0"/>
                  <w:spacing w:line="360" w:lineRule="auto"/>
                  <w:jc w:val="both"/>
                  <w:textAlignment w:val="baseline"/>
                </w:pPr>
              </w:p>
            </w:tc>
            <w:tc>
              <w:tcPr>
                <w:tcW w:w="807" w:type="dxa"/>
              </w:tcPr>
              <w:p>
                <w:pPr>
                  <w:overflowPunct w:val="0"/>
                  <w:spacing w:line="360" w:lineRule="auto"/>
                  <w:jc w:val="both"/>
                  <w:textAlignment w:val="baseline"/>
                </w:pPr>
              </w:p>
            </w:tc>
            <w:tc>
              <w:tcPr>
                <w:tcW w:w="1036" w:type="dxa"/>
              </w:tcPr>
              <w:p>
                <w:pPr>
                  <w:overflowPunct w:val="0"/>
                  <w:spacing w:line="360" w:lineRule="auto"/>
                  <w:jc w:val="both"/>
                  <w:textAlignment w:val="baseline"/>
                </w:pPr>
              </w:p>
            </w:tc>
            <w:tc>
              <w:tcPr>
                <w:tcW w:w="807" w:type="dxa"/>
                <w:vAlign w:val="center"/>
              </w:tcPr>
              <w:p>
                <w:pPr>
                  <w:overflowPunct w:val="0"/>
                  <w:spacing w:line="360" w:lineRule="auto"/>
                  <w:jc w:val="both"/>
                  <w:textAlignment w:val="baseline"/>
                </w:pPr>
              </w:p>
            </w:tc>
            <w:tc>
              <w:tcPr>
                <w:tcW w:w="807" w:type="dxa"/>
                <w:vAlign w:val="center"/>
              </w:tcPr>
              <w:p>
                <w:pPr>
                  <w:overflowPunct w:val="0"/>
                  <w:spacing w:line="360" w:lineRule="auto"/>
                  <w:jc w:val="both"/>
                  <w:textAlignment w:val="baseline"/>
                </w:pPr>
              </w:p>
            </w:tc>
            <w:tc>
              <w:tcPr>
                <w:tcW w:w="807" w:type="dxa"/>
                <w:vAlign w:val="center"/>
              </w:tcPr>
              <w:p>
                <w:pPr>
                  <w:overflowPunct w:val="0"/>
                  <w:spacing w:line="360" w:lineRule="auto"/>
                  <w:jc w:val="both"/>
                  <w:textAlignment w:val="baseline"/>
                </w:pPr>
              </w:p>
            </w:tc>
            <w:tc>
              <w:tcPr>
                <w:tcW w:w="807" w:type="dxa"/>
                <w:vAlign w:val="center"/>
              </w:tcPr>
              <w:p>
                <w:pPr>
                  <w:overflowPunct w:val="0"/>
                  <w:spacing w:line="360" w:lineRule="auto"/>
                  <w:jc w:val="both"/>
                  <w:textAlignment w:val="baseline"/>
                </w:pPr>
              </w:p>
            </w:tc>
            <w:tc>
              <w:tcPr>
                <w:tcW w:w="828" w:type="dxa"/>
                <w:vAlign w:val="center"/>
              </w:tcPr>
              <w:p>
                <w:pPr>
                  <w:overflowPunct w:val="0"/>
                  <w:spacing w:line="360" w:lineRule="auto"/>
                  <w:jc w:val="both"/>
                  <w:textAlignment w:val="baseline"/>
                </w:pPr>
              </w:p>
            </w:tc>
            <w:tc>
              <w:tcPr>
                <w:tcW w:w="864" w:type="dxa"/>
                <w:vAlign w:val="center"/>
              </w:tcPr>
              <w:p>
                <w:pPr>
                  <w:overflowPunct w:val="0"/>
                  <w:spacing w:line="360" w:lineRule="auto"/>
                  <w:jc w:val="both"/>
                  <w:textAlignment w:val="baseline"/>
                </w:pPr>
              </w:p>
            </w:tc>
            <w:tc>
              <w:tcPr>
                <w:tcW w:w="842" w:type="dxa"/>
                <w:vAlign w:val="center"/>
              </w:tcPr>
              <w:p>
                <w:pPr>
                  <w:overflowPunct w:val="0"/>
                  <w:spacing w:line="360" w:lineRule="auto"/>
                  <w:jc w:val="both"/>
                  <w:textAlignment w:val="baseline"/>
                </w:pPr>
              </w:p>
            </w:tc>
          </w:tr>
          <w:tr>
            <w:trPr>
              <w:cantSplit/>
              <w:trHeight w:hRule="exact" w:val="255"/>
            </w:trPr>
            <w:tc>
              <w:tcPr>
                <w:tcW w:w="865" w:type="dxa"/>
                <w:vAlign w:val="center"/>
              </w:tcPr>
              <w:p>
                <w:pPr>
                  <w:overflowPunct w:val="0"/>
                  <w:spacing w:line="360" w:lineRule="auto"/>
                  <w:jc w:val="both"/>
                  <w:textAlignment w:val="baseline"/>
                </w:pPr>
              </w:p>
            </w:tc>
            <w:tc>
              <w:tcPr>
                <w:tcW w:w="1587" w:type="dxa"/>
                <w:vAlign w:val="center"/>
              </w:tcPr>
              <w:p>
                <w:pPr>
                  <w:overflowPunct w:val="0"/>
                  <w:spacing w:line="360" w:lineRule="auto"/>
                  <w:jc w:val="both"/>
                  <w:textAlignment w:val="baseline"/>
                </w:pPr>
              </w:p>
            </w:tc>
            <w:tc>
              <w:tcPr>
                <w:tcW w:w="865" w:type="dxa"/>
                <w:vAlign w:val="center"/>
              </w:tcPr>
              <w:p>
                <w:pPr>
                  <w:overflowPunct w:val="0"/>
                  <w:spacing w:line="360" w:lineRule="auto"/>
                  <w:jc w:val="both"/>
                  <w:textAlignment w:val="baseline"/>
                </w:pPr>
              </w:p>
            </w:tc>
            <w:tc>
              <w:tcPr>
                <w:tcW w:w="865" w:type="dxa"/>
                <w:vAlign w:val="center"/>
              </w:tcPr>
              <w:p>
                <w:pPr>
                  <w:overflowPunct w:val="0"/>
                  <w:spacing w:line="360" w:lineRule="auto"/>
                  <w:jc w:val="both"/>
                  <w:textAlignment w:val="baseline"/>
                </w:pPr>
              </w:p>
            </w:tc>
            <w:tc>
              <w:tcPr>
                <w:tcW w:w="780" w:type="dxa"/>
                <w:vAlign w:val="center"/>
              </w:tcPr>
              <w:p>
                <w:pPr>
                  <w:overflowPunct w:val="0"/>
                  <w:spacing w:line="360" w:lineRule="auto"/>
                  <w:jc w:val="both"/>
                  <w:textAlignment w:val="baseline"/>
                </w:pPr>
              </w:p>
            </w:tc>
            <w:tc>
              <w:tcPr>
                <w:tcW w:w="862" w:type="dxa"/>
                <w:vAlign w:val="center"/>
              </w:tcPr>
              <w:p>
                <w:pPr>
                  <w:overflowPunct w:val="0"/>
                  <w:spacing w:line="360" w:lineRule="auto"/>
                  <w:jc w:val="both"/>
                  <w:textAlignment w:val="baseline"/>
                </w:pPr>
              </w:p>
            </w:tc>
            <w:tc>
              <w:tcPr>
                <w:tcW w:w="864" w:type="dxa"/>
                <w:vAlign w:val="center"/>
              </w:tcPr>
              <w:p>
                <w:pPr>
                  <w:overflowPunct w:val="0"/>
                  <w:spacing w:line="360" w:lineRule="auto"/>
                  <w:jc w:val="both"/>
                  <w:textAlignment w:val="baseline"/>
                </w:pPr>
              </w:p>
            </w:tc>
            <w:tc>
              <w:tcPr>
                <w:tcW w:w="1016" w:type="dxa"/>
              </w:tcPr>
              <w:p>
                <w:pPr>
                  <w:overflowPunct w:val="0"/>
                  <w:spacing w:line="360" w:lineRule="auto"/>
                  <w:jc w:val="both"/>
                  <w:textAlignment w:val="baseline"/>
                </w:pPr>
              </w:p>
            </w:tc>
            <w:tc>
              <w:tcPr>
                <w:tcW w:w="807" w:type="dxa"/>
              </w:tcPr>
              <w:p>
                <w:pPr>
                  <w:overflowPunct w:val="0"/>
                  <w:spacing w:line="360" w:lineRule="auto"/>
                  <w:jc w:val="both"/>
                  <w:textAlignment w:val="baseline"/>
                </w:pPr>
              </w:p>
            </w:tc>
            <w:tc>
              <w:tcPr>
                <w:tcW w:w="1036" w:type="dxa"/>
              </w:tcPr>
              <w:p>
                <w:pPr>
                  <w:overflowPunct w:val="0"/>
                  <w:spacing w:line="360" w:lineRule="auto"/>
                  <w:jc w:val="both"/>
                  <w:textAlignment w:val="baseline"/>
                </w:pPr>
              </w:p>
            </w:tc>
            <w:tc>
              <w:tcPr>
                <w:tcW w:w="807" w:type="dxa"/>
                <w:vAlign w:val="center"/>
              </w:tcPr>
              <w:p>
                <w:pPr>
                  <w:overflowPunct w:val="0"/>
                  <w:spacing w:line="360" w:lineRule="auto"/>
                  <w:jc w:val="both"/>
                  <w:textAlignment w:val="baseline"/>
                </w:pPr>
              </w:p>
            </w:tc>
            <w:tc>
              <w:tcPr>
                <w:tcW w:w="807" w:type="dxa"/>
                <w:vAlign w:val="center"/>
              </w:tcPr>
              <w:p>
                <w:pPr>
                  <w:overflowPunct w:val="0"/>
                  <w:spacing w:line="360" w:lineRule="auto"/>
                  <w:jc w:val="both"/>
                  <w:textAlignment w:val="baseline"/>
                </w:pPr>
              </w:p>
            </w:tc>
            <w:tc>
              <w:tcPr>
                <w:tcW w:w="807" w:type="dxa"/>
                <w:vAlign w:val="center"/>
              </w:tcPr>
              <w:p>
                <w:pPr>
                  <w:overflowPunct w:val="0"/>
                  <w:spacing w:line="360" w:lineRule="auto"/>
                  <w:jc w:val="both"/>
                  <w:textAlignment w:val="baseline"/>
                </w:pPr>
              </w:p>
            </w:tc>
            <w:tc>
              <w:tcPr>
                <w:tcW w:w="807" w:type="dxa"/>
                <w:vAlign w:val="center"/>
              </w:tcPr>
              <w:p>
                <w:pPr>
                  <w:overflowPunct w:val="0"/>
                  <w:spacing w:line="360" w:lineRule="auto"/>
                  <w:jc w:val="both"/>
                  <w:textAlignment w:val="baseline"/>
                </w:pPr>
              </w:p>
            </w:tc>
            <w:tc>
              <w:tcPr>
                <w:tcW w:w="828" w:type="dxa"/>
                <w:vAlign w:val="center"/>
              </w:tcPr>
              <w:p>
                <w:pPr>
                  <w:overflowPunct w:val="0"/>
                  <w:spacing w:line="360" w:lineRule="auto"/>
                  <w:jc w:val="both"/>
                  <w:textAlignment w:val="baseline"/>
                </w:pPr>
              </w:p>
            </w:tc>
            <w:tc>
              <w:tcPr>
                <w:tcW w:w="864" w:type="dxa"/>
                <w:vAlign w:val="center"/>
              </w:tcPr>
              <w:p>
                <w:pPr>
                  <w:overflowPunct w:val="0"/>
                  <w:spacing w:line="360" w:lineRule="auto"/>
                  <w:jc w:val="both"/>
                  <w:textAlignment w:val="baseline"/>
                </w:pPr>
              </w:p>
            </w:tc>
            <w:tc>
              <w:tcPr>
                <w:tcW w:w="842" w:type="dxa"/>
                <w:vAlign w:val="center"/>
              </w:tcPr>
              <w:p>
                <w:pPr>
                  <w:overflowPunct w:val="0"/>
                  <w:spacing w:line="360" w:lineRule="auto"/>
                  <w:jc w:val="both"/>
                  <w:textAlignment w:val="baseline"/>
                </w:pPr>
              </w:p>
            </w:tc>
          </w:tr>
          <w:tr>
            <w:trPr>
              <w:cantSplit/>
              <w:trHeight w:hRule="exact" w:val="255"/>
            </w:trPr>
            <w:tc>
              <w:tcPr>
                <w:tcW w:w="865" w:type="dxa"/>
                <w:vAlign w:val="center"/>
              </w:tcPr>
              <w:p>
                <w:pPr>
                  <w:overflowPunct w:val="0"/>
                  <w:spacing w:line="360" w:lineRule="auto"/>
                  <w:jc w:val="both"/>
                  <w:textAlignment w:val="baseline"/>
                </w:pPr>
              </w:p>
            </w:tc>
            <w:tc>
              <w:tcPr>
                <w:tcW w:w="1587" w:type="dxa"/>
                <w:vAlign w:val="center"/>
              </w:tcPr>
              <w:p>
                <w:pPr>
                  <w:overflowPunct w:val="0"/>
                  <w:spacing w:line="360" w:lineRule="auto"/>
                  <w:jc w:val="both"/>
                  <w:textAlignment w:val="baseline"/>
                </w:pPr>
              </w:p>
            </w:tc>
            <w:tc>
              <w:tcPr>
                <w:tcW w:w="865" w:type="dxa"/>
                <w:vAlign w:val="center"/>
              </w:tcPr>
              <w:p>
                <w:pPr>
                  <w:overflowPunct w:val="0"/>
                  <w:spacing w:line="360" w:lineRule="auto"/>
                  <w:jc w:val="both"/>
                  <w:textAlignment w:val="baseline"/>
                </w:pPr>
              </w:p>
            </w:tc>
            <w:tc>
              <w:tcPr>
                <w:tcW w:w="865" w:type="dxa"/>
                <w:vAlign w:val="center"/>
              </w:tcPr>
              <w:p>
                <w:pPr>
                  <w:overflowPunct w:val="0"/>
                  <w:spacing w:line="360" w:lineRule="auto"/>
                  <w:jc w:val="both"/>
                  <w:textAlignment w:val="baseline"/>
                </w:pPr>
              </w:p>
            </w:tc>
            <w:tc>
              <w:tcPr>
                <w:tcW w:w="780" w:type="dxa"/>
                <w:vAlign w:val="center"/>
              </w:tcPr>
              <w:p>
                <w:pPr>
                  <w:overflowPunct w:val="0"/>
                  <w:spacing w:line="360" w:lineRule="auto"/>
                  <w:jc w:val="both"/>
                  <w:textAlignment w:val="baseline"/>
                </w:pPr>
              </w:p>
            </w:tc>
            <w:tc>
              <w:tcPr>
                <w:tcW w:w="862" w:type="dxa"/>
                <w:vAlign w:val="center"/>
              </w:tcPr>
              <w:p>
                <w:pPr>
                  <w:overflowPunct w:val="0"/>
                  <w:spacing w:line="360" w:lineRule="auto"/>
                  <w:jc w:val="both"/>
                  <w:textAlignment w:val="baseline"/>
                </w:pPr>
              </w:p>
            </w:tc>
            <w:tc>
              <w:tcPr>
                <w:tcW w:w="864" w:type="dxa"/>
                <w:vAlign w:val="center"/>
              </w:tcPr>
              <w:p>
                <w:pPr>
                  <w:overflowPunct w:val="0"/>
                  <w:spacing w:line="360" w:lineRule="auto"/>
                  <w:jc w:val="both"/>
                  <w:textAlignment w:val="baseline"/>
                </w:pPr>
              </w:p>
            </w:tc>
            <w:tc>
              <w:tcPr>
                <w:tcW w:w="1016" w:type="dxa"/>
              </w:tcPr>
              <w:p>
                <w:pPr>
                  <w:overflowPunct w:val="0"/>
                  <w:spacing w:line="360" w:lineRule="auto"/>
                  <w:jc w:val="both"/>
                  <w:textAlignment w:val="baseline"/>
                </w:pPr>
              </w:p>
            </w:tc>
            <w:tc>
              <w:tcPr>
                <w:tcW w:w="807" w:type="dxa"/>
              </w:tcPr>
              <w:p>
                <w:pPr>
                  <w:overflowPunct w:val="0"/>
                  <w:spacing w:line="360" w:lineRule="auto"/>
                  <w:jc w:val="both"/>
                  <w:textAlignment w:val="baseline"/>
                </w:pPr>
              </w:p>
            </w:tc>
            <w:tc>
              <w:tcPr>
                <w:tcW w:w="1036" w:type="dxa"/>
              </w:tcPr>
              <w:p>
                <w:pPr>
                  <w:overflowPunct w:val="0"/>
                  <w:spacing w:line="360" w:lineRule="auto"/>
                  <w:jc w:val="both"/>
                  <w:textAlignment w:val="baseline"/>
                </w:pPr>
              </w:p>
            </w:tc>
            <w:tc>
              <w:tcPr>
                <w:tcW w:w="807" w:type="dxa"/>
                <w:vAlign w:val="center"/>
              </w:tcPr>
              <w:p>
                <w:pPr>
                  <w:overflowPunct w:val="0"/>
                  <w:spacing w:line="360" w:lineRule="auto"/>
                  <w:jc w:val="both"/>
                  <w:textAlignment w:val="baseline"/>
                </w:pPr>
              </w:p>
            </w:tc>
            <w:tc>
              <w:tcPr>
                <w:tcW w:w="807" w:type="dxa"/>
                <w:vAlign w:val="center"/>
              </w:tcPr>
              <w:p>
                <w:pPr>
                  <w:overflowPunct w:val="0"/>
                  <w:spacing w:line="360" w:lineRule="auto"/>
                  <w:jc w:val="both"/>
                  <w:textAlignment w:val="baseline"/>
                </w:pPr>
              </w:p>
            </w:tc>
            <w:tc>
              <w:tcPr>
                <w:tcW w:w="807" w:type="dxa"/>
                <w:vAlign w:val="center"/>
              </w:tcPr>
              <w:p>
                <w:pPr>
                  <w:overflowPunct w:val="0"/>
                  <w:spacing w:line="360" w:lineRule="auto"/>
                  <w:jc w:val="both"/>
                  <w:textAlignment w:val="baseline"/>
                </w:pPr>
              </w:p>
            </w:tc>
            <w:tc>
              <w:tcPr>
                <w:tcW w:w="807" w:type="dxa"/>
                <w:vAlign w:val="center"/>
              </w:tcPr>
              <w:p>
                <w:pPr>
                  <w:overflowPunct w:val="0"/>
                  <w:spacing w:line="360" w:lineRule="auto"/>
                  <w:jc w:val="both"/>
                  <w:textAlignment w:val="baseline"/>
                </w:pPr>
              </w:p>
            </w:tc>
            <w:tc>
              <w:tcPr>
                <w:tcW w:w="828" w:type="dxa"/>
                <w:vAlign w:val="center"/>
              </w:tcPr>
              <w:p>
                <w:pPr>
                  <w:overflowPunct w:val="0"/>
                  <w:spacing w:line="360" w:lineRule="auto"/>
                  <w:jc w:val="both"/>
                  <w:textAlignment w:val="baseline"/>
                </w:pPr>
              </w:p>
            </w:tc>
            <w:tc>
              <w:tcPr>
                <w:tcW w:w="864" w:type="dxa"/>
                <w:vAlign w:val="center"/>
              </w:tcPr>
              <w:p>
                <w:pPr>
                  <w:overflowPunct w:val="0"/>
                  <w:spacing w:line="360" w:lineRule="auto"/>
                  <w:jc w:val="both"/>
                  <w:textAlignment w:val="baseline"/>
                </w:pPr>
              </w:p>
            </w:tc>
            <w:tc>
              <w:tcPr>
                <w:tcW w:w="842" w:type="dxa"/>
                <w:vAlign w:val="center"/>
              </w:tcPr>
              <w:p>
                <w:pPr>
                  <w:overflowPunct w:val="0"/>
                  <w:spacing w:line="360" w:lineRule="auto"/>
                  <w:jc w:val="both"/>
                  <w:textAlignment w:val="baseline"/>
                </w:pPr>
              </w:p>
            </w:tc>
          </w:tr>
          <w:tr>
            <w:trPr>
              <w:cantSplit/>
              <w:trHeight w:hRule="exact" w:val="255"/>
            </w:trPr>
            <w:tc>
              <w:tcPr>
                <w:tcW w:w="865" w:type="dxa"/>
              </w:tcPr>
              <w:p>
                <w:pPr>
                  <w:overflowPunct w:val="0"/>
                  <w:spacing w:line="360" w:lineRule="auto"/>
                  <w:jc w:val="both"/>
                  <w:textAlignment w:val="baseline"/>
                </w:pPr>
              </w:p>
            </w:tc>
            <w:tc>
              <w:tcPr>
                <w:tcW w:w="1587" w:type="dxa"/>
              </w:tcPr>
              <w:p>
                <w:pPr>
                  <w:overflowPunct w:val="0"/>
                  <w:spacing w:line="360" w:lineRule="auto"/>
                  <w:jc w:val="both"/>
                  <w:textAlignment w:val="baseline"/>
                </w:pPr>
              </w:p>
            </w:tc>
            <w:tc>
              <w:tcPr>
                <w:tcW w:w="865" w:type="dxa"/>
              </w:tcPr>
              <w:p>
                <w:pPr>
                  <w:overflowPunct w:val="0"/>
                  <w:spacing w:line="360" w:lineRule="auto"/>
                  <w:jc w:val="both"/>
                  <w:textAlignment w:val="baseline"/>
                </w:pPr>
              </w:p>
            </w:tc>
            <w:tc>
              <w:tcPr>
                <w:tcW w:w="865" w:type="dxa"/>
              </w:tcPr>
              <w:p>
                <w:pPr>
                  <w:overflowPunct w:val="0"/>
                  <w:spacing w:line="360" w:lineRule="auto"/>
                  <w:jc w:val="both"/>
                  <w:textAlignment w:val="baseline"/>
                </w:pPr>
              </w:p>
            </w:tc>
            <w:tc>
              <w:tcPr>
                <w:tcW w:w="780" w:type="dxa"/>
              </w:tcPr>
              <w:p>
                <w:pPr>
                  <w:overflowPunct w:val="0"/>
                  <w:spacing w:line="360" w:lineRule="auto"/>
                  <w:jc w:val="both"/>
                  <w:textAlignment w:val="baseline"/>
                </w:pPr>
              </w:p>
            </w:tc>
            <w:tc>
              <w:tcPr>
                <w:tcW w:w="862" w:type="dxa"/>
              </w:tcPr>
              <w:p>
                <w:pPr>
                  <w:overflowPunct w:val="0"/>
                  <w:spacing w:line="360" w:lineRule="auto"/>
                  <w:jc w:val="both"/>
                  <w:textAlignment w:val="baseline"/>
                </w:pPr>
              </w:p>
            </w:tc>
            <w:tc>
              <w:tcPr>
                <w:tcW w:w="864" w:type="dxa"/>
              </w:tcPr>
              <w:p>
                <w:pPr>
                  <w:overflowPunct w:val="0"/>
                  <w:spacing w:line="360" w:lineRule="auto"/>
                  <w:jc w:val="both"/>
                  <w:textAlignment w:val="baseline"/>
                </w:pPr>
              </w:p>
            </w:tc>
            <w:tc>
              <w:tcPr>
                <w:tcW w:w="1016" w:type="dxa"/>
              </w:tcPr>
              <w:p>
                <w:pPr>
                  <w:overflowPunct w:val="0"/>
                  <w:spacing w:line="360" w:lineRule="auto"/>
                  <w:jc w:val="both"/>
                  <w:textAlignment w:val="baseline"/>
                </w:pPr>
              </w:p>
            </w:tc>
            <w:tc>
              <w:tcPr>
                <w:tcW w:w="807" w:type="dxa"/>
              </w:tcPr>
              <w:p>
                <w:pPr>
                  <w:overflowPunct w:val="0"/>
                  <w:spacing w:line="360" w:lineRule="auto"/>
                  <w:jc w:val="both"/>
                  <w:textAlignment w:val="baseline"/>
                </w:pPr>
              </w:p>
            </w:tc>
            <w:tc>
              <w:tcPr>
                <w:tcW w:w="1036" w:type="dxa"/>
              </w:tcPr>
              <w:p>
                <w:pPr>
                  <w:overflowPunct w:val="0"/>
                  <w:spacing w:line="360" w:lineRule="auto"/>
                  <w:jc w:val="both"/>
                  <w:textAlignment w:val="baseline"/>
                </w:pPr>
              </w:p>
            </w:tc>
            <w:tc>
              <w:tcPr>
                <w:tcW w:w="807" w:type="dxa"/>
              </w:tcPr>
              <w:p>
                <w:pPr>
                  <w:overflowPunct w:val="0"/>
                  <w:spacing w:line="360" w:lineRule="auto"/>
                  <w:jc w:val="both"/>
                  <w:textAlignment w:val="baseline"/>
                </w:pPr>
              </w:p>
            </w:tc>
            <w:tc>
              <w:tcPr>
                <w:tcW w:w="807" w:type="dxa"/>
              </w:tcPr>
              <w:p>
                <w:pPr>
                  <w:overflowPunct w:val="0"/>
                  <w:spacing w:line="360" w:lineRule="auto"/>
                  <w:jc w:val="both"/>
                  <w:textAlignment w:val="baseline"/>
                </w:pPr>
              </w:p>
            </w:tc>
            <w:tc>
              <w:tcPr>
                <w:tcW w:w="807" w:type="dxa"/>
              </w:tcPr>
              <w:p>
                <w:pPr>
                  <w:overflowPunct w:val="0"/>
                  <w:spacing w:line="360" w:lineRule="auto"/>
                  <w:jc w:val="both"/>
                  <w:textAlignment w:val="baseline"/>
                </w:pPr>
              </w:p>
            </w:tc>
            <w:tc>
              <w:tcPr>
                <w:tcW w:w="807" w:type="dxa"/>
              </w:tcPr>
              <w:p>
                <w:pPr>
                  <w:overflowPunct w:val="0"/>
                  <w:spacing w:line="360" w:lineRule="auto"/>
                  <w:jc w:val="both"/>
                  <w:textAlignment w:val="baseline"/>
                </w:pPr>
              </w:p>
            </w:tc>
            <w:tc>
              <w:tcPr>
                <w:tcW w:w="828" w:type="dxa"/>
              </w:tcPr>
              <w:p>
                <w:pPr>
                  <w:overflowPunct w:val="0"/>
                  <w:spacing w:line="360" w:lineRule="auto"/>
                  <w:jc w:val="both"/>
                  <w:textAlignment w:val="baseline"/>
                </w:pPr>
              </w:p>
            </w:tc>
            <w:tc>
              <w:tcPr>
                <w:tcW w:w="864" w:type="dxa"/>
              </w:tcPr>
              <w:p>
                <w:pPr>
                  <w:overflowPunct w:val="0"/>
                  <w:spacing w:line="360" w:lineRule="auto"/>
                  <w:jc w:val="both"/>
                  <w:textAlignment w:val="baseline"/>
                </w:pPr>
              </w:p>
            </w:tc>
            <w:tc>
              <w:tcPr>
                <w:tcW w:w="842" w:type="dxa"/>
              </w:tcPr>
              <w:p>
                <w:pPr>
                  <w:overflowPunct w:val="0"/>
                  <w:spacing w:line="360" w:lineRule="auto"/>
                  <w:jc w:val="both"/>
                  <w:textAlignment w:val="baseline"/>
                </w:pPr>
              </w:p>
            </w:tc>
          </w:tr>
          <w:tr>
            <w:trPr>
              <w:cantSplit/>
              <w:trHeight w:hRule="exact" w:val="255"/>
            </w:trPr>
            <w:tc>
              <w:tcPr>
                <w:tcW w:w="865" w:type="dxa"/>
              </w:tcPr>
              <w:p>
                <w:pPr>
                  <w:overflowPunct w:val="0"/>
                  <w:spacing w:line="360" w:lineRule="auto"/>
                  <w:jc w:val="both"/>
                  <w:textAlignment w:val="baseline"/>
                </w:pPr>
              </w:p>
            </w:tc>
            <w:tc>
              <w:tcPr>
                <w:tcW w:w="1587" w:type="dxa"/>
              </w:tcPr>
              <w:p>
                <w:pPr>
                  <w:overflowPunct w:val="0"/>
                  <w:spacing w:line="360" w:lineRule="auto"/>
                  <w:jc w:val="both"/>
                  <w:textAlignment w:val="baseline"/>
                </w:pPr>
              </w:p>
            </w:tc>
            <w:tc>
              <w:tcPr>
                <w:tcW w:w="865" w:type="dxa"/>
              </w:tcPr>
              <w:p>
                <w:pPr>
                  <w:overflowPunct w:val="0"/>
                  <w:spacing w:line="360" w:lineRule="auto"/>
                  <w:jc w:val="both"/>
                  <w:textAlignment w:val="baseline"/>
                </w:pPr>
              </w:p>
            </w:tc>
            <w:tc>
              <w:tcPr>
                <w:tcW w:w="865" w:type="dxa"/>
              </w:tcPr>
              <w:p>
                <w:pPr>
                  <w:overflowPunct w:val="0"/>
                  <w:spacing w:line="360" w:lineRule="auto"/>
                  <w:jc w:val="both"/>
                  <w:textAlignment w:val="baseline"/>
                </w:pPr>
              </w:p>
            </w:tc>
            <w:tc>
              <w:tcPr>
                <w:tcW w:w="780" w:type="dxa"/>
              </w:tcPr>
              <w:p>
                <w:pPr>
                  <w:overflowPunct w:val="0"/>
                  <w:spacing w:line="360" w:lineRule="auto"/>
                  <w:jc w:val="both"/>
                  <w:textAlignment w:val="baseline"/>
                </w:pPr>
              </w:p>
            </w:tc>
            <w:tc>
              <w:tcPr>
                <w:tcW w:w="862" w:type="dxa"/>
              </w:tcPr>
              <w:p>
                <w:pPr>
                  <w:overflowPunct w:val="0"/>
                  <w:spacing w:line="360" w:lineRule="auto"/>
                  <w:jc w:val="both"/>
                  <w:textAlignment w:val="baseline"/>
                </w:pPr>
              </w:p>
            </w:tc>
            <w:tc>
              <w:tcPr>
                <w:tcW w:w="864" w:type="dxa"/>
              </w:tcPr>
              <w:p>
                <w:pPr>
                  <w:overflowPunct w:val="0"/>
                  <w:spacing w:line="360" w:lineRule="auto"/>
                  <w:jc w:val="both"/>
                  <w:textAlignment w:val="baseline"/>
                </w:pPr>
              </w:p>
            </w:tc>
            <w:tc>
              <w:tcPr>
                <w:tcW w:w="1016" w:type="dxa"/>
              </w:tcPr>
              <w:p>
                <w:pPr>
                  <w:overflowPunct w:val="0"/>
                  <w:spacing w:line="360" w:lineRule="auto"/>
                  <w:jc w:val="both"/>
                  <w:textAlignment w:val="baseline"/>
                </w:pPr>
              </w:p>
            </w:tc>
            <w:tc>
              <w:tcPr>
                <w:tcW w:w="807" w:type="dxa"/>
              </w:tcPr>
              <w:p>
                <w:pPr>
                  <w:overflowPunct w:val="0"/>
                  <w:spacing w:line="360" w:lineRule="auto"/>
                  <w:jc w:val="both"/>
                  <w:textAlignment w:val="baseline"/>
                </w:pPr>
              </w:p>
            </w:tc>
            <w:tc>
              <w:tcPr>
                <w:tcW w:w="1036" w:type="dxa"/>
              </w:tcPr>
              <w:p>
                <w:pPr>
                  <w:overflowPunct w:val="0"/>
                  <w:spacing w:line="360" w:lineRule="auto"/>
                  <w:jc w:val="both"/>
                  <w:textAlignment w:val="baseline"/>
                </w:pPr>
              </w:p>
            </w:tc>
            <w:tc>
              <w:tcPr>
                <w:tcW w:w="807" w:type="dxa"/>
              </w:tcPr>
              <w:p>
                <w:pPr>
                  <w:overflowPunct w:val="0"/>
                  <w:spacing w:line="360" w:lineRule="auto"/>
                  <w:jc w:val="both"/>
                  <w:textAlignment w:val="baseline"/>
                </w:pPr>
              </w:p>
            </w:tc>
            <w:tc>
              <w:tcPr>
                <w:tcW w:w="807" w:type="dxa"/>
              </w:tcPr>
              <w:p>
                <w:pPr>
                  <w:overflowPunct w:val="0"/>
                  <w:spacing w:line="360" w:lineRule="auto"/>
                  <w:jc w:val="both"/>
                  <w:textAlignment w:val="baseline"/>
                </w:pPr>
              </w:p>
            </w:tc>
            <w:tc>
              <w:tcPr>
                <w:tcW w:w="807" w:type="dxa"/>
              </w:tcPr>
              <w:p>
                <w:pPr>
                  <w:overflowPunct w:val="0"/>
                  <w:spacing w:line="360" w:lineRule="auto"/>
                  <w:jc w:val="both"/>
                  <w:textAlignment w:val="baseline"/>
                </w:pPr>
              </w:p>
            </w:tc>
            <w:tc>
              <w:tcPr>
                <w:tcW w:w="807" w:type="dxa"/>
              </w:tcPr>
              <w:p>
                <w:pPr>
                  <w:overflowPunct w:val="0"/>
                  <w:spacing w:line="360" w:lineRule="auto"/>
                  <w:jc w:val="both"/>
                  <w:textAlignment w:val="baseline"/>
                </w:pPr>
              </w:p>
            </w:tc>
            <w:tc>
              <w:tcPr>
                <w:tcW w:w="828" w:type="dxa"/>
              </w:tcPr>
              <w:p>
                <w:pPr>
                  <w:overflowPunct w:val="0"/>
                  <w:spacing w:line="360" w:lineRule="auto"/>
                  <w:jc w:val="both"/>
                  <w:textAlignment w:val="baseline"/>
                </w:pPr>
              </w:p>
            </w:tc>
            <w:tc>
              <w:tcPr>
                <w:tcW w:w="864" w:type="dxa"/>
              </w:tcPr>
              <w:p>
                <w:pPr>
                  <w:overflowPunct w:val="0"/>
                  <w:spacing w:line="360" w:lineRule="auto"/>
                  <w:jc w:val="both"/>
                  <w:textAlignment w:val="baseline"/>
                </w:pPr>
              </w:p>
            </w:tc>
            <w:tc>
              <w:tcPr>
                <w:tcW w:w="842" w:type="dxa"/>
              </w:tcPr>
              <w:p>
                <w:pPr>
                  <w:overflowPunct w:val="0"/>
                  <w:spacing w:line="360" w:lineRule="auto"/>
                  <w:jc w:val="both"/>
                  <w:textAlignment w:val="baseline"/>
                </w:pPr>
              </w:p>
            </w:tc>
          </w:tr>
        </w:tbl>
        <w:p>
          <w:pPr>
            <w:overflowPunct w:val="0"/>
            <w:jc w:val="both"/>
            <w:textAlignment w:val="baseline"/>
          </w:pPr>
        </w:p>
        <w:p>
          <w:pPr>
            <w:overflowPunct w:val="0"/>
            <w:jc w:val="both"/>
            <w:textAlignment w:val="baseline"/>
          </w:pPr>
          <w:r>
            <w:t>Ūkininkas</w:t>
            <w:tab/>
            <w:tab/>
            <w:tab/>
            <w:t>_________________</w:t>
            <w:tab/>
            <w:tab/>
            <w:t>_________________________</w:t>
          </w:r>
        </w:p>
        <w:p>
          <w:pPr>
            <w:overflowPunct w:val="0"/>
            <w:ind w:left="2596" w:firstLine="1298"/>
            <w:jc w:val="both"/>
            <w:textAlignment w:val="baseline"/>
            <w:rPr>
              <w:sz w:val="20"/>
            </w:rPr>
          </w:pPr>
          <w:r>
            <w:rPr>
              <w:sz w:val="20"/>
            </w:rPr>
            <w:t>(parašas)</w:t>
          </w:r>
          <w:r>
            <w:tab/>
            <w:tab/>
            <w:tab/>
          </w:r>
          <w:r>
            <w:rPr>
              <w:sz w:val="20"/>
            </w:rPr>
            <w:t>(vardas, pavardė)</w:t>
          </w:r>
        </w:p>
        <w:sdt>
          <w:sdtPr>
            <w:alias w:val="pabaiga"/>
            <w:tag w:val="part_450d21a7c9f14163be14403b2ac8b7d2"/>
            <w:lock w:val="sdtLocked"/>
            <w:richText/>
          </w:sdtPr>
          <w:sdtContent>
            <w:p>
              <w:pPr>
                <w:overflowPunct w:val="0"/>
                <w:jc w:val="center"/>
                <w:textAlignment w:val="baseline"/>
              </w:pPr>
              <w:r>
                <w:t>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ba5c0506f11e4a698d921e3e46801">
            <w:r w:rsidRPr="00532B9F">
              <w:rPr>
                <w:rFonts w:ascii="Times New Roman" w:eastAsia="MS Mincho" w:hAnsi="Times New Roman"/>
                <w:sz w:val="20"/>
                <w:i/>
                <w:iCs/>
                <w:color w:val="0000FF" w:themeColor="hyperlink"/>
                <w:u w:val="single"/>
              </w:rPr>
              <w:t>3D-725</w:t>
            </w:r>
          </w:fldSimple>
          <w:r>
            <w:rPr>
              <w:rFonts w:ascii="Times New Roman" w:eastAsia="MS Mincho" w:hAnsi="Times New Roman"/>
              <w:sz w:val="20"/>
              <w:i/>
              <w:iCs/>
            </w:rPr>
            <w:t>,
2014-10-10,
paskelbta TAR 2014-10-10, i. k. 2014-13951            </w:t>
          </w:r>
        </w:p>
        <w:p/>
      </w:sdtContent>
    </w:sdt>
    <w:sdt>
      <w:sdtPr>
        <w:alias w:val="11 pr."/>
        <w:tag w:val="part_dd7773d9ce9b4b4e9f1cfe8cad6f36a9"/>
        <w:lock w:val="sdtLocked"/>
        <w:richText/>
      </w:sdtPr>
      <w:sdtContent>
        <w:p>
          <w:pPr>
            <w:overflowPunct w:val="0"/>
            <w:ind w:left="4820"/>
            <w:jc w:val="both"/>
            <w:textAlignment w:val="baseline"/>
            <w:rPr>
              <w:sz w:val="20"/>
            </w:rPr>
            <w:sectPr>
              <w:pgSz w:w="16840" w:h="11907" w:orient="landscape" w:code="9"/>
              <w:pgMar w:top="1701" w:right="1247" w:bottom="567" w:left="1134" w:header="567" w:footer="567" w:gutter="0"/>
              <w:cols w:space="1296"/>
            </w:sectPr>
          </w:pPr>
        </w:p>
        <w:p>
          <w:pPr>
            <w:overflowPunct w:val="0"/>
            <w:ind w:left="6379"/>
            <w:jc w:val="both"/>
            <w:textAlignment w:val="baseline"/>
            <w:rPr>
              <w:szCs w:val="24"/>
            </w:rPr>
          </w:pPr>
          <w:r>
            <w:rPr>
              <w:szCs w:val="24"/>
            </w:rPr>
            <w:t>Ūkininko ūkio veiklos</w:t>
          </w:r>
        </w:p>
        <w:p>
          <w:pPr>
            <w:overflowPunct w:val="0"/>
            <w:ind w:left="6379"/>
            <w:jc w:val="both"/>
            <w:textAlignment w:val="baseline"/>
            <w:rPr>
              <w:szCs w:val="24"/>
            </w:rPr>
          </w:pPr>
          <w:r>
            <w:rPr>
              <w:szCs w:val="24"/>
            </w:rPr>
            <w:t>buhalterinės apskaitos tvarkymo</w:t>
          </w:r>
        </w:p>
        <w:p>
          <w:pPr>
            <w:overflowPunct w:val="0"/>
            <w:ind w:left="6379"/>
            <w:jc w:val="both"/>
            <w:textAlignment w:val="baseline"/>
            <w:rPr>
              <w:szCs w:val="24"/>
            </w:rPr>
          </w:pPr>
          <w:r>
            <w:rPr>
              <w:szCs w:val="24"/>
            </w:rPr>
            <w:t>supaprastintąja apskaitos sistema</w:t>
          </w:r>
        </w:p>
        <w:p>
          <w:pPr>
            <w:overflowPunct w:val="0"/>
            <w:ind w:left="6379"/>
            <w:jc w:val="both"/>
            <w:textAlignment w:val="baseline"/>
            <w:rPr>
              <w:szCs w:val="24"/>
            </w:rPr>
          </w:pPr>
          <w:r>
            <w:rPr>
              <w:szCs w:val="24"/>
            </w:rPr>
            <w:t xml:space="preserve">rekomendacijų </w:t>
          </w:r>
        </w:p>
        <w:p>
          <w:pPr>
            <w:overflowPunct w:val="0"/>
            <w:ind w:left="6379"/>
            <w:jc w:val="both"/>
            <w:textAlignment w:val="baseline"/>
            <w:rPr>
              <w:szCs w:val="24"/>
            </w:rPr>
          </w:pPr>
          <w:sdt>
            <w:sdtPr>
              <w:alias w:val="Numeris"/>
              <w:tag w:val="nr_dd7773d9ce9b4b4e9f1cfe8cad6f36a9"/>
              <w:lock w:val="sdtLocked"/>
              <w:richText/>
            </w:sdtPr>
            <w:sdtContent>
              <w:r>
                <w:rPr>
                  <w:szCs w:val="24"/>
                </w:rPr>
                <w:t>11</w:t>
              </w:r>
            </w:sdtContent>
          </w:sdt>
          <w:r>
            <w:rPr>
              <w:szCs w:val="24"/>
            </w:rPr>
            <w:t xml:space="preserve">  priedas</w:t>
          </w:r>
        </w:p>
        <w:p>
          <w:pPr>
            <w:keepNext/>
            <w:overflowPunct w:val="0"/>
            <w:jc w:val="center"/>
            <w:textAlignment w:val="baseline"/>
            <w:rPr>
              <w:b/>
            </w:rPr>
          </w:pPr>
        </w:p>
        <w:p>
          <w:pPr>
            <w:overflowPunct w:val="0"/>
            <w:jc w:val="center"/>
            <w:textAlignment w:val="baseline"/>
          </w:pPr>
          <w:r>
            <w:t>Ūkininko ________________________________ ūkis</w:t>
          </w:r>
        </w:p>
        <w:p>
          <w:pPr>
            <w:overflowPunct w:val="0"/>
            <w:jc w:val="center"/>
            <w:textAlignment w:val="baseline"/>
          </w:pPr>
        </w:p>
        <w:p>
          <w:pPr>
            <w:overflowPunct w:val="0"/>
            <w:jc w:val="center"/>
            <w:textAlignment w:val="baseline"/>
            <w:rPr>
              <w:b/>
            </w:rPr>
          </w:pPr>
          <w:r>
            <w:rPr>
              <w:b/>
            </w:rPr>
            <w:t>ATSISKAITYMŲ ŽINIARAŠTIS</w:t>
          </w:r>
        </w:p>
        <w:p>
          <w:pPr>
            <w:overflowPunct w:val="0"/>
            <w:jc w:val="center"/>
            <w:textAlignment w:val="baseline"/>
          </w:pPr>
        </w:p>
        <w:p>
          <w:pPr>
            <w:overflowPunct w:val="0"/>
            <w:jc w:val="center"/>
            <w:textAlignment w:val="baseline"/>
          </w:pPr>
          <w:r>
            <w:t>_____________ Nr. _____________</w:t>
          </w:r>
        </w:p>
        <w:p>
          <w:pPr>
            <w:overflowPunct w:val="0"/>
            <w:ind w:left="3544"/>
            <w:jc w:val="both"/>
            <w:textAlignment w:val="baseline"/>
            <w:rPr>
              <w:sz w:val="20"/>
            </w:rPr>
          </w:pPr>
          <w:r>
            <w:rPr>
              <w:sz w:val="20"/>
            </w:rPr>
            <w:t>(data)</w:t>
          </w:r>
        </w:p>
        <w:p>
          <w:pPr>
            <w:overflowPunct w:val="0"/>
            <w:jc w:val="both"/>
            <w:textAlignment w:val="baseline"/>
          </w:pPr>
        </w:p>
        <w:p>
          <w:pPr>
            <w:overflowPunct w:val="0"/>
            <w:jc w:val="both"/>
            <w:textAlignment w:val="baseline"/>
          </w:pPr>
          <w:r>
            <w:t>Skolininkas, skolintojas __________________________</w:t>
          </w:r>
        </w:p>
        <w:p>
          <w:pPr>
            <w:overflowPunct w:val="0"/>
            <w:jc w:val="both"/>
            <w:textAlignment w:val="baseline"/>
            <w:rPr>
              <w:sz w:val="14"/>
              <w:szCs w:val="1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9"/>
            <w:gridCol w:w="992"/>
            <w:gridCol w:w="2410"/>
            <w:gridCol w:w="1276"/>
            <w:gridCol w:w="1134"/>
            <w:gridCol w:w="992"/>
            <w:gridCol w:w="992"/>
            <w:gridCol w:w="992"/>
          </w:tblGrid>
          <w:tr>
            <w:trPr>
              <w:cantSplit/>
              <w:trHeight w:val="440"/>
            </w:trPr>
            <w:tc>
              <w:tcPr>
                <w:tcW w:w="959" w:type="dxa"/>
                <w:vMerge w:val="restart"/>
              </w:tcPr>
              <w:p>
                <w:pPr>
                  <w:overflowPunct w:val="0"/>
                  <w:jc w:val="center"/>
                  <w:textAlignment w:val="baseline"/>
                </w:pPr>
                <w:r>
                  <w:t>Skolos atsira-dimo data</w:t>
                </w:r>
              </w:p>
            </w:tc>
            <w:tc>
              <w:tcPr>
                <w:tcW w:w="992" w:type="dxa"/>
                <w:vMerge w:val="restart"/>
              </w:tcPr>
              <w:p>
                <w:pPr>
                  <w:overflowPunct w:val="0"/>
                  <w:jc w:val="center"/>
                  <w:textAlignment w:val="baseline"/>
                </w:pPr>
                <w:r>
                  <w:t>Doku-mento Nr.</w:t>
                </w:r>
              </w:p>
            </w:tc>
            <w:tc>
              <w:tcPr>
                <w:tcW w:w="2410" w:type="dxa"/>
                <w:vMerge w:val="restart"/>
              </w:tcPr>
              <w:p>
                <w:pPr>
                  <w:overflowPunct w:val="0"/>
                  <w:jc w:val="center"/>
                  <w:textAlignment w:val="baseline"/>
                </w:pPr>
                <w:r>
                  <w:t>Įrašo turinys</w:t>
                </w:r>
              </w:p>
            </w:tc>
            <w:tc>
              <w:tcPr>
                <w:tcW w:w="1276" w:type="dxa"/>
                <w:vMerge w:val="restart"/>
              </w:tcPr>
              <w:p>
                <w:pPr>
                  <w:overflowPunct w:val="0"/>
                  <w:jc w:val="center"/>
                  <w:textAlignment w:val="baseline"/>
                </w:pPr>
                <w:r>
                  <w:t>Skola ūkininkui, Eur</w:t>
                </w:r>
              </w:p>
            </w:tc>
            <w:tc>
              <w:tcPr>
                <w:tcW w:w="1134" w:type="dxa"/>
                <w:vMerge w:val="restart"/>
              </w:tcPr>
              <w:p>
                <w:pPr>
                  <w:overflowPunct w:val="0"/>
                  <w:jc w:val="center"/>
                  <w:textAlignment w:val="baseline"/>
                </w:pPr>
                <w:r>
                  <w:t>Ūkininko skola, Eur</w:t>
                </w:r>
              </w:p>
            </w:tc>
            <w:tc>
              <w:tcPr>
                <w:tcW w:w="1984" w:type="dxa"/>
                <w:gridSpan w:val="2"/>
              </w:tcPr>
              <w:p>
                <w:pPr>
                  <w:overflowPunct w:val="0"/>
                  <w:jc w:val="center"/>
                  <w:textAlignment w:val="baseline"/>
                </w:pPr>
                <w:r>
                  <w:t>Apmokėjimo</w:t>
                </w:r>
              </w:p>
            </w:tc>
            <w:tc>
              <w:tcPr>
                <w:tcW w:w="992" w:type="dxa"/>
                <w:vMerge w:val="restart"/>
              </w:tcPr>
              <w:p>
                <w:pPr>
                  <w:overflowPunct w:val="0"/>
                  <w:jc w:val="center"/>
                  <w:textAlignment w:val="baseline"/>
                </w:pPr>
                <w:r>
                  <w:t>Uždels-ta atsi-skaityti dienų</w:t>
                </w:r>
              </w:p>
            </w:tc>
          </w:tr>
          <w:tr>
            <w:trPr>
              <w:cantSplit/>
              <w:trHeight w:val="440"/>
            </w:trPr>
            <w:tc>
              <w:tcPr>
                <w:tcW w:w="959" w:type="dxa"/>
                <w:vMerge/>
              </w:tcPr>
              <w:p>
                <w:pPr>
                  <w:overflowPunct w:val="0"/>
                  <w:jc w:val="center"/>
                  <w:textAlignment w:val="baseline"/>
                </w:pPr>
              </w:p>
            </w:tc>
            <w:tc>
              <w:tcPr>
                <w:tcW w:w="992" w:type="dxa"/>
                <w:vMerge/>
              </w:tcPr>
              <w:p>
                <w:pPr>
                  <w:overflowPunct w:val="0"/>
                  <w:jc w:val="center"/>
                  <w:textAlignment w:val="baseline"/>
                </w:pPr>
              </w:p>
            </w:tc>
            <w:tc>
              <w:tcPr>
                <w:tcW w:w="2410" w:type="dxa"/>
                <w:vMerge/>
              </w:tcPr>
              <w:p>
                <w:pPr>
                  <w:overflowPunct w:val="0"/>
                  <w:jc w:val="center"/>
                  <w:textAlignment w:val="baseline"/>
                </w:pPr>
              </w:p>
            </w:tc>
            <w:tc>
              <w:tcPr>
                <w:tcW w:w="1276" w:type="dxa"/>
                <w:vMerge/>
              </w:tcPr>
              <w:p>
                <w:pPr>
                  <w:overflowPunct w:val="0"/>
                  <w:jc w:val="center"/>
                  <w:textAlignment w:val="baseline"/>
                </w:pPr>
              </w:p>
            </w:tc>
            <w:tc>
              <w:tcPr>
                <w:tcW w:w="1134" w:type="dxa"/>
                <w:vMerge/>
              </w:tcPr>
              <w:p>
                <w:pPr>
                  <w:overflowPunct w:val="0"/>
                  <w:jc w:val="center"/>
                  <w:textAlignment w:val="baseline"/>
                </w:pPr>
              </w:p>
            </w:tc>
            <w:tc>
              <w:tcPr>
                <w:tcW w:w="992" w:type="dxa"/>
              </w:tcPr>
              <w:p>
                <w:pPr>
                  <w:overflowPunct w:val="0"/>
                  <w:jc w:val="center"/>
                  <w:textAlignment w:val="baseline"/>
                </w:pPr>
                <w:r>
                  <w:t>data</w:t>
                </w:r>
              </w:p>
            </w:tc>
            <w:tc>
              <w:tcPr>
                <w:tcW w:w="992" w:type="dxa"/>
              </w:tcPr>
              <w:p>
                <w:pPr>
                  <w:overflowPunct w:val="0"/>
                  <w:jc w:val="center"/>
                  <w:textAlignment w:val="baseline"/>
                </w:pPr>
                <w:r>
                  <w:t>suma, Eur</w:t>
                </w:r>
              </w:p>
            </w:tc>
            <w:tc>
              <w:tcPr>
                <w:tcW w:w="992" w:type="dxa"/>
                <w:vMerge/>
              </w:tcPr>
              <w:p>
                <w:pPr>
                  <w:overflowPunct w:val="0"/>
                  <w:jc w:val="center"/>
                  <w:textAlignment w:val="baseline"/>
                </w:pPr>
              </w:p>
            </w:tc>
          </w:tr>
          <w:tr>
            <w:tc>
              <w:tcPr>
                <w:tcW w:w="959" w:type="dxa"/>
              </w:tcPr>
              <w:p>
                <w:pPr>
                  <w:overflowPunct w:val="0"/>
                  <w:jc w:val="center"/>
                  <w:textAlignment w:val="baseline"/>
                </w:pPr>
                <w:r>
                  <w:t>1.</w:t>
                </w:r>
              </w:p>
            </w:tc>
            <w:tc>
              <w:tcPr>
                <w:tcW w:w="992" w:type="dxa"/>
              </w:tcPr>
              <w:p>
                <w:pPr>
                  <w:overflowPunct w:val="0"/>
                  <w:jc w:val="center"/>
                  <w:textAlignment w:val="baseline"/>
                </w:pPr>
                <w:r>
                  <w:t>2.</w:t>
                </w:r>
              </w:p>
            </w:tc>
            <w:tc>
              <w:tcPr>
                <w:tcW w:w="2410" w:type="dxa"/>
              </w:tcPr>
              <w:p>
                <w:pPr>
                  <w:overflowPunct w:val="0"/>
                  <w:jc w:val="center"/>
                  <w:textAlignment w:val="baseline"/>
                </w:pPr>
                <w:r>
                  <w:t>3.</w:t>
                </w:r>
              </w:p>
            </w:tc>
            <w:tc>
              <w:tcPr>
                <w:tcW w:w="1276" w:type="dxa"/>
              </w:tcPr>
              <w:p>
                <w:pPr>
                  <w:overflowPunct w:val="0"/>
                  <w:jc w:val="center"/>
                  <w:textAlignment w:val="baseline"/>
                </w:pPr>
                <w:r>
                  <w:t>4.</w:t>
                </w:r>
              </w:p>
            </w:tc>
            <w:tc>
              <w:tcPr>
                <w:tcW w:w="1134" w:type="dxa"/>
              </w:tcPr>
              <w:p>
                <w:pPr>
                  <w:overflowPunct w:val="0"/>
                  <w:jc w:val="center"/>
                  <w:textAlignment w:val="baseline"/>
                </w:pPr>
                <w:r>
                  <w:t>5.</w:t>
                </w:r>
              </w:p>
            </w:tc>
            <w:tc>
              <w:tcPr>
                <w:tcW w:w="992" w:type="dxa"/>
              </w:tcPr>
              <w:p>
                <w:pPr>
                  <w:overflowPunct w:val="0"/>
                  <w:jc w:val="center"/>
                  <w:textAlignment w:val="baseline"/>
                </w:pPr>
                <w:r>
                  <w:t>6.</w:t>
                </w:r>
              </w:p>
            </w:tc>
            <w:tc>
              <w:tcPr>
                <w:tcW w:w="992" w:type="dxa"/>
              </w:tcPr>
              <w:p>
                <w:pPr>
                  <w:overflowPunct w:val="0"/>
                  <w:jc w:val="center"/>
                  <w:textAlignment w:val="baseline"/>
                </w:pPr>
                <w:r>
                  <w:t>7.</w:t>
                </w:r>
              </w:p>
            </w:tc>
            <w:tc>
              <w:tcPr>
                <w:tcW w:w="992" w:type="dxa"/>
              </w:tcPr>
              <w:p>
                <w:pPr>
                  <w:overflowPunct w:val="0"/>
                  <w:jc w:val="center"/>
                  <w:textAlignment w:val="baseline"/>
                </w:pPr>
                <w:r>
                  <w:t>8.</w:t>
                </w:r>
              </w:p>
            </w:tc>
          </w:tr>
          <w:tr>
            <w:trPr>
              <w:trHeight w:hRule="exact" w:val="255"/>
            </w:trPr>
            <w:tc>
              <w:tcPr>
                <w:tcW w:w="959" w:type="dxa"/>
              </w:tcPr>
              <w:p>
                <w:pPr>
                  <w:overflowPunct w:val="0"/>
                  <w:jc w:val="both"/>
                  <w:textAlignment w:val="baseline"/>
                </w:pPr>
              </w:p>
            </w:tc>
            <w:tc>
              <w:tcPr>
                <w:tcW w:w="992" w:type="dxa"/>
              </w:tcPr>
              <w:p>
                <w:pPr>
                  <w:overflowPunct w:val="0"/>
                  <w:jc w:val="both"/>
                  <w:textAlignment w:val="baseline"/>
                </w:pPr>
              </w:p>
            </w:tc>
            <w:tc>
              <w:tcPr>
                <w:tcW w:w="2410" w:type="dxa"/>
              </w:tcPr>
              <w:p>
                <w:pPr>
                  <w:overflowPunct w:val="0"/>
                  <w:jc w:val="both"/>
                  <w:textAlignment w:val="baseline"/>
                </w:pPr>
                <w:r>
                  <w:t>Likutis 20__ 01 01</w:t>
                </w:r>
              </w:p>
            </w:tc>
            <w:tc>
              <w:tcPr>
                <w:tcW w:w="1276" w:type="dxa"/>
              </w:tcPr>
              <w:p>
                <w:pPr>
                  <w:overflowPunct w:val="0"/>
                  <w:jc w:val="both"/>
                  <w:textAlignment w:val="baseline"/>
                </w:pPr>
              </w:p>
            </w:tc>
            <w:tc>
              <w:tcPr>
                <w:tcW w:w="1134" w:type="dxa"/>
              </w:tcPr>
              <w:p>
                <w:pPr>
                  <w:overflowPunct w:val="0"/>
                  <w:jc w:val="both"/>
                  <w:textAlignment w:val="baseline"/>
                </w:pPr>
              </w:p>
            </w:tc>
            <w:tc>
              <w:tcPr>
                <w:tcW w:w="992" w:type="dxa"/>
              </w:tcPr>
              <w:p>
                <w:pPr>
                  <w:overflowPunct w:val="0"/>
                  <w:jc w:val="both"/>
                  <w:textAlignment w:val="baseline"/>
                </w:pPr>
              </w:p>
            </w:tc>
            <w:tc>
              <w:tcPr>
                <w:tcW w:w="992" w:type="dxa"/>
              </w:tcPr>
              <w:p>
                <w:pPr>
                  <w:overflowPunct w:val="0"/>
                  <w:jc w:val="both"/>
                  <w:textAlignment w:val="baseline"/>
                </w:pPr>
              </w:p>
            </w:tc>
            <w:tc>
              <w:tcPr>
                <w:tcW w:w="992" w:type="dxa"/>
              </w:tcPr>
              <w:p>
                <w:pPr>
                  <w:overflowPunct w:val="0"/>
                  <w:jc w:val="both"/>
                  <w:textAlignment w:val="baseline"/>
                </w:pPr>
              </w:p>
            </w:tc>
          </w:tr>
          <w:tr>
            <w:trPr>
              <w:trHeight w:hRule="exact" w:val="255"/>
            </w:trPr>
            <w:tc>
              <w:tcPr>
                <w:tcW w:w="959" w:type="dxa"/>
              </w:tcPr>
              <w:p>
                <w:pPr>
                  <w:overflowPunct w:val="0"/>
                  <w:jc w:val="both"/>
                  <w:textAlignment w:val="baseline"/>
                </w:pPr>
              </w:p>
            </w:tc>
            <w:tc>
              <w:tcPr>
                <w:tcW w:w="992" w:type="dxa"/>
              </w:tcPr>
              <w:p>
                <w:pPr>
                  <w:overflowPunct w:val="0"/>
                  <w:jc w:val="both"/>
                  <w:textAlignment w:val="baseline"/>
                </w:pPr>
              </w:p>
            </w:tc>
            <w:tc>
              <w:tcPr>
                <w:tcW w:w="2410" w:type="dxa"/>
              </w:tcPr>
              <w:p>
                <w:pPr>
                  <w:overflowPunct w:val="0"/>
                  <w:jc w:val="both"/>
                  <w:textAlignment w:val="baseline"/>
                </w:pPr>
              </w:p>
            </w:tc>
            <w:tc>
              <w:tcPr>
                <w:tcW w:w="1276" w:type="dxa"/>
              </w:tcPr>
              <w:p>
                <w:pPr>
                  <w:overflowPunct w:val="0"/>
                  <w:jc w:val="both"/>
                  <w:textAlignment w:val="baseline"/>
                </w:pPr>
              </w:p>
            </w:tc>
            <w:tc>
              <w:tcPr>
                <w:tcW w:w="1134" w:type="dxa"/>
              </w:tcPr>
              <w:p>
                <w:pPr>
                  <w:overflowPunct w:val="0"/>
                  <w:jc w:val="both"/>
                  <w:textAlignment w:val="baseline"/>
                </w:pPr>
              </w:p>
            </w:tc>
            <w:tc>
              <w:tcPr>
                <w:tcW w:w="992" w:type="dxa"/>
              </w:tcPr>
              <w:p>
                <w:pPr>
                  <w:overflowPunct w:val="0"/>
                  <w:jc w:val="both"/>
                  <w:textAlignment w:val="baseline"/>
                </w:pPr>
              </w:p>
            </w:tc>
            <w:tc>
              <w:tcPr>
                <w:tcW w:w="992" w:type="dxa"/>
              </w:tcPr>
              <w:p>
                <w:pPr>
                  <w:overflowPunct w:val="0"/>
                  <w:jc w:val="both"/>
                  <w:textAlignment w:val="baseline"/>
                </w:pPr>
              </w:p>
            </w:tc>
            <w:tc>
              <w:tcPr>
                <w:tcW w:w="992" w:type="dxa"/>
              </w:tcPr>
              <w:p>
                <w:pPr>
                  <w:overflowPunct w:val="0"/>
                  <w:jc w:val="both"/>
                  <w:textAlignment w:val="baseline"/>
                </w:pPr>
              </w:p>
            </w:tc>
          </w:tr>
          <w:tr>
            <w:trPr>
              <w:trHeight w:hRule="exact" w:val="255"/>
            </w:trPr>
            <w:tc>
              <w:tcPr>
                <w:tcW w:w="959" w:type="dxa"/>
              </w:tcPr>
              <w:p>
                <w:pPr>
                  <w:overflowPunct w:val="0"/>
                  <w:jc w:val="both"/>
                  <w:textAlignment w:val="baseline"/>
                </w:pPr>
              </w:p>
            </w:tc>
            <w:tc>
              <w:tcPr>
                <w:tcW w:w="992" w:type="dxa"/>
              </w:tcPr>
              <w:p>
                <w:pPr>
                  <w:overflowPunct w:val="0"/>
                  <w:jc w:val="both"/>
                  <w:textAlignment w:val="baseline"/>
                </w:pPr>
              </w:p>
            </w:tc>
            <w:tc>
              <w:tcPr>
                <w:tcW w:w="2410" w:type="dxa"/>
              </w:tcPr>
              <w:p>
                <w:pPr>
                  <w:overflowPunct w:val="0"/>
                  <w:jc w:val="both"/>
                  <w:textAlignment w:val="baseline"/>
                </w:pPr>
              </w:p>
            </w:tc>
            <w:tc>
              <w:tcPr>
                <w:tcW w:w="1276" w:type="dxa"/>
              </w:tcPr>
              <w:p>
                <w:pPr>
                  <w:overflowPunct w:val="0"/>
                  <w:jc w:val="both"/>
                  <w:textAlignment w:val="baseline"/>
                </w:pPr>
              </w:p>
            </w:tc>
            <w:tc>
              <w:tcPr>
                <w:tcW w:w="1134" w:type="dxa"/>
              </w:tcPr>
              <w:p>
                <w:pPr>
                  <w:overflowPunct w:val="0"/>
                  <w:jc w:val="both"/>
                  <w:textAlignment w:val="baseline"/>
                </w:pPr>
              </w:p>
            </w:tc>
            <w:tc>
              <w:tcPr>
                <w:tcW w:w="992" w:type="dxa"/>
              </w:tcPr>
              <w:p>
                <w:pPr>
                  <w:overflowPunct w:val="0"/>
                  <w:jc w:val="both"/>
                  <w:textAlignment w:val="baseline"/>
                </w:pPr>
              </w:p>
            </w:tc>
            <w:tc>
              <w:tcPr>
                <w:tcW w:w="992" w:type="dxa"/>
              </w:tcPr>
              <w:p>
                <w:pPr>
                  <w:overflowPunct w:val="0"/>
                  <w:jc w:val="both"/>
                  <w:textAlignment w:val="baseline"/>
                </w:pPr>
              </w:p>
            </w:tc>
            <w:tc>
              <w:tcPr>
                <w:tcW w:w="992" w:type="dxa"/>
              </w:tcPr>
              <w:p>
                <w:pPr>
                  <w:overflowPunct w:val="0"/>
                  <w:jc w:val="both"/>
                  <w:textAlignment w:val="baseline"/>
                </w:pPr>
              </w:p>
            </w:tc>
          </w:tr>
          <w:tr>
            <w:trPr>
              <w:trHeight w:hRule="exact" w:val="255"/>
            </w:trPr>
            <w:tc>
              <w:tcPr>
                <w:tcW w:w="959" w:type="dxa"/>
              </w:tcPr>
              <w:p>
                <w:pPr>
                  <w:overflowPunct w:val="0"/>
                  <w:jc w:val="both"/>
                  <w:textAlignment w:val="baseline"/>
                </w:pPr>
              </w:p>
            </w:tc>
            <w:tc>
              <w:tcPr>
                <w:tcW w:w="992" w:type="dxa"/>
              </w:tcPr>
              <w:p>
                <w:pPr>
                  <w:overflowPunct w:val="0"/>
                  <w:jc w:val="both"/>
                  <w:textAlignment w:val="baseline"/>
                </w:pPr>
              </w:p>
            </w:tc>
            <w:tc>
              <w:tcPr>
                <w:tcW w:w="2410" w:type="dxa"/>
              </w:tcPr>
              <w:p>
                <w:pPr>
                  <w:overflowPunct w:val="0"/>
                  <w:jc w:val="both"/>
                  <w:textAlignment w:val="baseline"/>
                </w:pPr>
              </w:p>
            </w:tc>
            <w:tc>
              <w:tcPr>
                <w:tcW w:w="1276" w:type="dxa"/>
              </w:tcPr>
              <w:p>
                <w:pPr>
                  <w:overflowPunct w:val="0"/>
                  <w:jc w:val="both"/>
                  <w:textAlignment w:val="baseline"/>
                </w:pPr>
              </w:p>
            </w:tc>
            <w:tc>
              <w:tcPr>
                <w:tcW w:w="1134" w:type="dxa"/>
              </w:tcPr>
              <w:p>
                <w:pPr>
                  <w:overflowPunct w:val="0"/>
                  <w:jc w:val="both"/>
                  <w:textAlignment w:val="baseline"/>
                </w:pPr>
              </w:p>
            </w:tc>
            <w:tc>
              <w:tcPr>
                <w:tcW w:w="992" w:type="dxa"/>
              </w:tcPr>
              <w:p>
                <w:pPr>
                  <w:overflowPunct w:val="0"/>
                  <w:jc w:val="both"/>
                  <w:textAlignment w:val="baseline"/>
                </w:pPr>
              </w:p>
            </w:tc>
            <w:tc>
              <w:tcPr>
                <w:tcW w:w="992" w:type="dxa"/>
              </w:tcPr>
              <w:p>
                <w:pPr>
                  <w:overflowPunct w:val="0"/>
                  <w:jc w:val="both"/>
                  <w:textAlignment w:val="baseline"/>
                </w:pPr>
              </w:p>
            </w:tc>
            <w:tc>
              <w:tcPr>
                <w:tcW w:w="992" w:type="dxa"/>
              </w:tcPr>
              <w:p>
                <w:pPr>
                  <w:overflowPunct w:val="0"/>
                  <w:jc w:val="both"/>
                  <w:textAlignment w:val="baseline"/>
                </w:pPr>
              </w:p>
            </w:tc>
          </w:tr>
          <w:tr>
            <w:trPr>
              <w:trHeight w:hRule="exact" w:val="255"/>
            </w:trPr>
            <w:tc>
              <w:tcPr>
                <w:tcW w:w="959" w:type="dxa"/>
              </w:tcPr>
              <w:p>
                <w:pPr>
                  <w:overflowPunct w:val="0"/>
                  <w:jc w:val="both"/>
                  <w:textAlignment w:val="baseline"/>
                </w:pPr>
              </w:p>
            </w:tc>
            <w:tc>
              <w:tcPr>
                <w:tcW w:w="992" w:type="dxa"/>
              </w:tcPr>
              <w:p>
                <w:pPr>
                  <w:overflowPunct w:val="0"/>
                  <w:jc w:val="both"/>
                  <w:textAlignment w:val="baseline"/>
                </w:pPr>
              </w:p>
            </w:tc>
            <w:tc>
              <w:tcPr>
                <w:tcW w:w="2410" w:type="dxa"/>
              </w:tcPr>
              <w:p>
                <w:pPr>
                  <w:tabs>
                    <w:tab w:val="center" w:pos="4153"/>
                    <w:tab w:val="right" w:pos="8306"/>
                  </w:tabs>
                  <w:overflowPunct w:val="0"/>
                  <w:jc w:val="both"/>
                  <w:textAlignment w:val="baseline"/>
                </w:pPr>
              </w:p>
            </w:tc>
            <w:tc>
              <w:tcPr>
                <w:tcW w:w="1276" w:type="dxa"/>
              </w:tcPr>
              <w:p>
                <w:pPr>
                  <w:overflowPunct w:val="0"/>
                  <w:jc w:val="both"/>
                  <w:textAlignment w:val="baseline"/>
                </w:pPr>
              </w:p>
            </w:tc>
            <w:tc>
              <w:tcPr>
                <w:tcW w:w="1134" w:type="dxa"/>
              </w:tcPr>
              <w:p>
                <w:pPr>
                  <w:overflowPunct w:val="0"/>
                  <w:jc w:val="both"/>
                  <w:textAlignment w:val="baseline"/>
                </w:pPr>
              </w:p>
            </w:tc>
            <w:tc>
              <w:tcPr>
                <w:tcW w:w="992" w:type="dxa"/>
              </w:tcPr>
              <w:p>
                <w:pPr>
                  <w:overflowPunct w:val="0"/>
                  <w:jc w:val="both"/>
                  <w:textAlignment w:val="baseline"/>
                </w:pPr>
              </w:p>
            </w:tc>
            <w:tc>
              <w:tcPr>
                <w:tcW w:w="992" w:type="dxa"/>
              </w:tcPr>
              <w:p>
                <w:pPr>
                  <w:overflowPunct w:val="0"/>
                  <w:jc w:val="both"/>
                  <w:textAlignment w:val="baseline"/>
                </w:pPr>
              </w:p>
            </w:tc>
            <w:tc>
              <w:tcPr>
                <w:tcW w:w="992" w:type="dxa"/>
              </w:tcPr>
              <w:p>
                <w:pPr>
                  <w:overflowPunct w:val="0"/>
                  <w:jc w:val="both"/>
                  <w:textAlignment w:val="baseline"/>
                </w:pPr>
              </w:p>
            </w:tc>
          </w:tr>
          <w:tr>
            <w:trPr>
              <w:trHeight w:hRule="exact" w:val="255"/>
            </w:trPr>
            <w:tc>
              <w:tcPr>
                <w:tcW w:w="959" w:type="dxa"/>
              </w:tcPr>
              <w:p>
                <w:pPr>
                  <w:overflowPunct w:val="0"/>
                  <w:jc w:val="both"/>
                  <w:textAlignment w:val="baseline"/>
                </w:pPr>
              </w:p>
            </w:tc>
            <w:tc>
              <w:tcPr>
                <w:tcW w:w="992" w:type="dxa"/>
              </w:tcPr>
              <w:p>
                <w:pPr>
                  <w:overflowPunct w:val="0"/>
                  <w:jc w:val="both"/>
                  <w:textAlignment w:val="baseline"/>
                </w:pPr>
              </w:p>
            </w:tc>
            <w:tc>
              <w:tcPr>
                <w:tcW w:w="2410" w:type="dxa"/>
              </w:tcPr>
              <w:p>
                <w:pPr>
                  <w:overflowPunct w:val="0"/>
                  <w:jc w:val="both"/>
                  <w:textAlignment w:val="baseline"/>
                </w:pPr>
              </w:p>
            </w:tc>
            <w:tc>
              <w:tcPr>
                <w:tcW w:w="1276" w:type="dxa"/>
              </w:tcPr>
              <w:p>
                <w:pPr>
                  <w:overflowPunct w:val="0"/>
                  <w:jc w:val="both"/>
                  <w:textAlignment w:val="baseline"/>
                </w:pPr>
              </w:p>
            </w:tc>
            <w:tc>
              <w:tcPr>
                <w:tcW w:w="1134" w:type="dxa"/>
              </w:tcPr>
              <w:p>
                <w:pPr>
                  <w:overflowPunct w:val="0"/>
                  <w:jc w:val="both"/>
                  <w:textAlignment w:val="baseline"/>
                </w:pPr>
              </w:p>
            </w:tc>
            <w:tc>
              <w:tcPr>
                <w:tcW w:w="992" w:type="dxa"/>
              </w:tcPr>
              <w:p>
                <w:pPr>
                  <w:overflowPunct w:val="0"/>
                  <w:jc w:val="both"/>
                  <w:textAlignment w:val="baseline"/>
                </w:pPr>
              </w:p>
            </w:tc>
            <w:tc>
              <w:tcPr>
                <w:tcW w:w="992" w:type="dxa"/>
              </w:tcPr>
              <w:p>
                <w:pPr>
                  <w:overflowPunct w:val="0"/>
                  <w:jc w:val="both"/>
                  <w:textAlignment w:val="baseline"/>
                </w:pPr>
              </w:p>
            </w:tc>
            <w:tc>
              <w:tcPr>
                <w:tcW w:w="992" w:type="dxa"/>
              </w:tcPr>
              <w:p>
                <w:pPr>
                  <w:overflowPunct w:val="0"/>
                  <w:jc w:val="both"/>
                  <w:textAlignment w:val="baseline"/>
                </w:pPr>
              </w:p>
            </w:tc>
          </w:tr>
          <w:tr>
            <w:trPr>
              <w:trHeight w:hRule="exact" w:val="255"/>
            </w:trPr>
            <w:tc>
              <w:tcPr>
                <w:tcW w:w="959" w:type="dxa"/>
              </w:tcPr>
              <w:p>
                <w:pPr>
                  <w:overflowPunct w:val="0"/>
                  <w:jc w:val="both"/>
                  <w:textAlignment w:val="baseline"/>
                </w:pPr>
              </w:p>
            </w:tc>
            <w:tc>
              <w:tcPr>
                <w:tcW w:w="992" w:type="dxa"/>
              </w:tcPr>
              <w:p>
                <w:pPr>
                  <w:overflowPunct w:val="0"/>
                  <w:jc w:val="both"/>
                  <w:textAlignment w:val="baseline"/>
                </w:pPr>
              </w:p>
            </w:tc>
            <w:tc>
              <w:tcPr>
                <w:tcW w:w="2410" w:type="dxa"/>
              </w:tcPr>
              <w:p>
                <w:pPr>
                  <w:overflowPunct w:val="0"/>
                  <w:jc w:val="both"/>
                  <w:textAlignment w:val="baseline"/>
                </w:pPr>
              </w:p>
            </w:tc>
            <w:tc>
              <w:tcPr>
                <w:tcW w:w="1276" w:type="dxa"/>
              </w:tcPr>
              <w:p>
                <w:pPr>
                  <w:overflowPunct w:val="0"/>
                  <w:jc w:val="both"/>
                  <w:textAlignment w:val="baseline"/>
                </w:pPr>
              </w:p>
            </w:tc>
            <w:tc>
              <w:tcPr>
                <w:tcW w:w="1134" w:type="dxa"/>
              </w:tcPr>
              <w:p>
                <w:pPr>
                  <w:overflowPunct w:val="0"/>
                  <w:jc w:val="both"/>
                  <w:textAlignment w:val="baseline"/>
                </w:pPr>
              </w:p>
            </w:tc>
            <w:tc>
              <w:tcPr>
                <w:tcW w:w="992" w:type="dxa"/>
              </w:tcPr>
              <w:p>
                <w:pPr>
                  <w:overflowPunct w:val="0"/>
                  <w:jc w:val="both"/>
                  <w:textAlignment w:val="baseline"/>
                </w:pPr>
              </w:p>
            </w:tc>
            <w:tc>
              <w:tcPr>
                <w:tcW w:w="992" w:type="dxa"/>
              </w:tcPr>
              <w:p>
                <w:pPr>
                  <w:overflowPunct w:val="0"/>
                  <w:jc w:val="both"/>
                  <w:textAlignment w:val="baseline"/>
                </w:pPr>
              </w:p>
            </w:tc>
            <w:tc>
              <w:tcPr>
                <w:tcW w:w="992" w:type="dxa"/>
              </w:tcPr>
              <w:p>
                <w:pPr>
                  <w:overflowPunct w:val="0"/>
                  <w:jc w:val="both"/>
                  <w:textAlignment w:val="baseline"/>
                </w:pPr>
              </w:p>
            </w:tc>
          </w:tr>
          <w:tr>
            <w:trPr>
              <w:trHeight w:hRule="exact" w:val="255"/>
            </w:trPr>
            <w:tc>
              <w:tcPr>
                <w:tcW w:w="959" w:type="dxa"/>
              </w:tcPr>
              <w:p>
                <w:pPr>
                  <w:overflowPunct w:val="0"/>
                  <w:jc w:val="both"/>
                  <w:textAlignment w:val="baseline"/>
                </w:pPr>
              </w:p>
            </w:tc>
            <w:tc>
              <w:tcPr>
                <w:tcW w:w="992" w:type="dxa"/>
              </w:tcPr>
              <w:p>
                <w:pPr>
                  <w:overflowPunct w:val="0"/>
                  <w:jc w:val="both"/>
                  <w:textAlignment w:val="baseline"/>
                </w:pPr>
              </w:p>
            </w:tc>
            <w:tc>
              <w:tcPr>
                <w:tcW w:w="2410" w:type="dxa"/>
              </w:tcPr>
              <w:p>
                <w:pPr>
                  <w:overflowPunct w:val="0"/>
                  <w:jc w:val="both"/>
                  <w:textAlignment w:val="baseline"/>
                </w:pPr>
              </w:p>
            </w:tc>
            <w:tc>
              <w:tcPr>
                <w:tcW w:w="1276" w:type="dxa"/>
              </w:tcPr>
              <w:p>
                <w:pPr>
                  <w:overflowPunct w:val="0"/>
                  <w:jc w:val="both"/>
                  <w:textAlignment w:val="baseline"/>
                </w:pPr>
              </w:p>
            </w:tc>
            <w:tc>
              <w:tcPr>
                <w:tcW w:w="1134" w:type="dxa"/>
              </w:tcPr>
              <w:p>
                <w:pPr>
                  <w:overflowPunct w:val="0"/>
                  <w:jc w:val="both"/>
                  <w:textAlignment w:val="baseline"/>
                </w:pPr>
              </w:p>
            </w:tc>
            <w:tc>
              <w:tcPr>
                <w:tcW w:w="992" w:type="dxa"/>
              </w:tcPr>
              <w:p>
                <w:pPr>
                  <w:overflowPunct w:val="0"/>
                  <w:jc w:val="both"/>
                  <w:textAlignment w:val="baseline"/>
                </w:pPr>
              </w:p>
            </w:tc>
            <w:tc>
              <w:tcPr>
                <w:tcW w:w="992" w:type="dxa"/>
              </w:tcPr>
              <w:p>
                <w:pPr>
                  <w:overflowPunct w:val="0"/>
                  <w:jc w:val="both"/>
                  <w:textAlignment w:val="baseline"/>
                </w:pPr>
              </w:p>
            </w:tc>
            <w:tc>
              <w:tcPr>
                <w:tcW w:w="992" w:type="dxa"/>
              </w:tcPr>
              <w:p>
                <w:pPr>
                  <w:overflowPunct w:val="0"/>
                  <w:jc w:val="both"/>
                  <w:textAlignment w:val="baseline"/>
                </w:pPr>
              </w:p>
            </w:tc>
          </w:tr>
          <w:tr>
            <w:trPr>
              <w:trHeight w:hRule="exact" w:val="255"/>
            </w:trPr>
            <w:tc>
              <w:tcPr>
                <w:tcW w:w="959" w:type="dxa"/>
              </w:tcPr>
              <w:p>
                <w:pPr>
                  <w:overflowPunct w:val="0"/>
                  <w:jc w:val="both"/>
                  <w:textAlignment w:val="baseline"/>
                </w:pPr>
              </w:p>
            </w:tc>
            <w:tc>
              <w:tcPr>
                <w:tcW w:w="992" w:type="dxa"/>
              </w:tcPr>
              <w:p>
                <w:pPr>
                  <w:overflowPunct w:val="0"/>
                  <w:jc w:val="both"/>
                  <w:textAlignment w:val="baseline"/>
                </w:pPr>
              </w:p>
            </w:tc>
            <w:tc>
              <w:tcPr>
                <w:tcW w:w="2410" w:type="dxa"/>
              </w:tcPr>
              <w:p>
                <w:pPr>
                  <w:overflowPunct w:val="0"/>
                  <w:jc w:val="both"/>
                  <w:textAlignment w:val="baseline"/>
                </w:pPr>
              </w:p>
            </w:tc>
            <w:tc>
              <w:tcPr>
                <w:tcW w:w="1276" w:type="dxa"/>
              </w:tcPr>
              <w:p>
                <w:pPr>
                  <w:overflowPunct w:val="0"/>
                  <w:jc w:val="both"/>
                  <w:textAlignment w:val="baseline"/>
                </w:pPr>
              </w:p>
            </w:tc>
            <w:tc>
              <w:tcPr>
                <w:tcW w:w="1134" w:type="dxa"/>
              </w:tcPr>
              <w:p>
                <w:pPr>
                  <w:overflowPunct w:val="0"/>
                  <w:jc w:val="both"/>
                  <w:textAlignment w:val="baseline"/>
                </w:pPr>
              </w:p>
            </w:tc>
            <w:tc>
              <w:tcPr>
                <w:tcW w:w="992" w:type="dxa"/>
              </w:tcPr>
              <w:p>
                <w:pPr>
                  <w:overflowPunct w:val="0"/>
                  <w:jc w:val="both"/>
                  <w:textAlignment w:val="baseline"/>
                </w:pPr>
              </w:p>
            </w:tc>
            <w:tc>
              <w:tcPr>
                <w:tcW w:w="992" w:type="dxa"/>
              </w:tcPr>
              <w:p>
                <w:pPr>
                  <w:overflowPunct w:val="0"/>
                  <w:jc w:val="both"/>
                  <w:textAlignment w:val="baseline"/>
                </w:pPr>
              </w:p>
            </w:tc>
            <w:tc>
              <w:tcPr>
                <w:tcW w:w="992" w:type="dxa"/>
              </w:tcPr>
              <w:p>
                <w:pPr>
                  <w:overflowPunct w:val="0"/>
                  <w:jc w:val="both"/>
                  <w:textAlignment w:val="baseline"/>
                </w:pPr>
              </w:p>
            </w:tc>
          </w:tr>
          <w:tr>
            <w:trPr>
              <w:trHeight w:hRule="exact" w:val="255"/>
            </w:trPr>
            <w:tc>
              <w:tcPr>
                <w:tcW w:w="959" w:type="dxa"/>
              </w:tcPr>
              <w:p>
                <w:pPr>
                  <w:overflowPunct w:val="0"/>
                  <w:jc w:val="both"/>
                  <w:textAlignment w:val="baseline"/>
                </w:pPr>
              </w:p>
            </w:tc>
            <w:tc>
              <w:tcPr>
                <w:tcW w:w="992" w:type="dxa"/>
              </w:tcPr>
              <w:p>
                <w:pPr>
                  <w:overflowPunct w:val="0"/>
                  <w:jc w:val="both"/>
                  <w:textAlignment w:val="baseline"/>
                </w:pPr>
              </w:p>
            </w:tc>
            <w:tc>
              <w:tcPr>
                <w:tcW w:w="2410" w:type="dxa"/>
              </w:tcPr>
              <w:p>
                <w:pPr>
                  <w:overflowPunct w:val="0"/>
                  <w:jc w:val="both"/>
                  <w:textAlignment w:val="baseline"/>
                </w:pPr>
              </w:p>
            </w:tc>
            <w:tc>
              <w:tcPr>
                <w:tcW w:w="1276" w:type="dxa"/>
              </w:tcPr>
              <w:p>
                <w:pPr>
                  <w:overflowPunct w:val="0"/>
                  <w:jc w:val="both"/>
                  <w:textAlignment w:val="baseline"/>
                </w:pPr>
              </w:p>
            </w:tc>
            <w:tc>
              <w:tcPr>
                <w:tcW w:w="1134" w:type="dxa"/>
              </w:tcPr>
              <w:p>
                <w:pPr>
                  <w:overflowPunct w:val="0"/>
                  <w:jc w:val="both"/>
                  <w:textAlignment w:val="baseline"/>
                </w:pPr>
              </w:p>
            </w:tc>
            <w:tc>
              <w:tcPr>
                <w:tcW w:w="992" w:type="dxa"/>
              </w:tcPr>
              <w:p>
                <w:pPr>
                  <w:overflowPunct w:val="0"/>
                  <w:jc w:val="both"/>
                  <w:textAlignment w:val="baseline"/>
                </w:pPr>
              </w:p>
            </w:tc>
            <w:tc>
              <w:tcPr>
                <w:tcW w:w="992" w:type="dxa"/>
              </w:tcPr>
              <w:p>
                <w:pPr>
                  <w:overflowPunct w:val="0"/>
                  <w:jc w:val="both"/>
                  <w:textAlignment w:val="baseline"/>
                </w:pPr>
              </w:p>
            </w:tc>
            <w:tc>
              <w:tcPr>
                <w:tcW w:w="992" w:type="dxa"/>
              </w:tcPr>
              <w:p>
                <w:pPr>
                  <w:overflowPunct w:val="0"/>
                  <w:jc w:val="both"/>
                  <w:textAlignment w:val="baseline"/>
                </w:pPr>
              </w:p>
            </w:tc>
          </w:tr>
          <w:tr>
            <w:trPr>
              <w:trHeight w:hRule="exact" w:val="255"/>
            </w:trPr>
            <w:tc>
              <w:tcPr>
                <w:tcW w:w="959" w:type="dxa"/>
              </w:tcPr>
              <w:p>
                <w:pPr>
                  <w:overflowPunct w:val="0"/>
                  <w:jc w:val="both"/>
                  <w:textAlignment w:val="baseline"/>
                </w:pPr>
              </w:p>
            </w:tc>
            <w:tc>
              <w:tcPr>
                <w:tcW w:w="992" w:type="dxa"/>
              </w:tcPr>
              <w:p>
                <w:pPr>
                  <w:overflowPunct w:val="0"/>
                  <w:jc w:val="both"/>
                  <w:textAlignment w:val="baseline"/>
                </w:pPr>
              </w:p>
            </w:tc>
            <w:tc>
              <w:tcPr>
                <w:tcW w:w="2410" w:type="dxa"/>
              </w:tcPr>
              <w:p>
                <w:pPr>
                  <w:overflowPunct w:val="0"/>
                  <w:jc w:val="both"/>
                  <w:textAlignment w:val="baseline"/>
                </w:pPr>
              </w:p>
            </w:tc>
            <w:tc>
              <w:tcPr>
                <w:tcW w:w="1276" w:type="dxa"/>
              </w:tcPr>
              <w:p>
                <w:pPr>
                  <w:overflowPunct w:val="0"/>
                  <w:jc w:val="both"/>
                  <w:textAlignment w:val="baseline"/>
                </w:pPr>
              </w:p>
            </w:tc>
            <w:tc>
              <w:tcPr>
                <w:tcW w:w="1134" w:type="dxa"/>
              </w:tcPr>
              <w:p>
                <w:pPr>
                  <w:overflowPunct w:val="0"/>
                  <w:jc w:val="both"/>
                  <w:textAlignment w:val="baseline"/>
                </w:pPr>
              </w:p>
            </w:tc>
            <w:tc>
              <w:tcPr>
                <w:tcW w:w="992" w:type="dxa"/>
              </w:tcPr>
              <w:p>
                <w:pPr>
                  <w:overflowPunct w:val="0"/>
                  <w:jc w:val="both"/>
                  <w:textAlignment w:val="baseline"/>
                </w:pPr>
              </w:p>
            </w:tc>
            <w:tc>
              <w:tcPr>
                <w:tcW w:w="992" w:type="dxa"/>
              </w:tcPr>
              <w:p>
                <w:pPr>
                  <w:overflowPunct w:val="0"/>
                  <w:jc w:val="both"/>
                  <w:textAlignment w:val="baseline"/>
                </w:pPr>
              </w:p>
            </w:tc>
            <w:tc>
              <w:tcPr>
                <w:tcW w:w="992" w:type="dxa"/>
              </w:tcPr>
              <w:p>
                <w:pPr>
                  <w:overflowPunct w:val="0"/>
                  <w:jc w:val="both"/>
                  <w:textAlignment w:val="baseline"/>
                </w:pPr>
              </w:p>
            </w:tc>
          </w:tr>
          <w:tr>
            <w:trPr>
              <w:trHeight w:hRule="exact" w:val="255"/>
            </w:trPr>
            <w:tc>
              <w:tcPr>
                <w:tcW w:w="959" w:type="dxa"/>
              </w:tcPr>
              <w:p>
                <w:pPr>
                  <w:overflowPunct w:val="0"/>
                  <w:jc w:val="both"/>
                  <w:textAlignment w:val="baseline"/>
                </w:pPr>
              </w:p>
            </w:tc>
            <w:tc>
              <w:tcPr>
                <w:tcW w:w="992" w:type="dxa"/>
              </w:tcPr>
              <w:p>
                <w:pPr>
                  <w:overflowPunct w:val="0"/>
                  <w:jc w:val="both"/>
                  <w:textAlignment w:val="baseline"/>
                </w:pPr>
              </w:p>
            </w:tc>
            <w:tc>
              <w:tcPr>
                <w:tcW w:w="2410" w:type="dxa"/>
              </w:tcPr>
              <w:p>
                <w:pPr>
                  <w:overflowPunct w:val="0"/>
                  <w:jc w:val="both"/>
                  <w:textAlignment w:val="baseline"/>
                </w:pPr>
              </w:p>
            </w:tc>
            <w:tc>
              <w:tcPr>
                <w:tcW w:w="1276" w:type="dxa"/>
              </w:tcPr>
              <w:p>
                <w:pPr>
                  <w:overflowPunct w:val="0"/>
                  <w:jc w:val="both"/>
                  <w:textAlignment w:val="baseline"/>
                </w:pPr>
              </w:p>
            </w:tc>
            <w:tc>
              <w:tcPr>
                <w:tcW w:w="1134" w:type="dxa"/>
              </w:tcPr>
              <w:p>
                <w:pPr>
                  <w:overflowPunct w:val="0"/>
                  <w:jc w:val="both"/>
                  <w:textAlignment w:val="baseline"/>
                </w:pPr>
              </w:p>
            </w:tc>
            <w:tc>
              <w:tcPr>
                <w:tcW w:w="992" w:type="dxa"/>
              </w:tcPr>
              <w:p>
                <w:pPr>
                  <w:overflowPunct w:val="0"/>
                  <w:jc w:val="both"/>
                  <w:textAlignment w:val="baseline"/>
                </w:pPr>
              </w:p>
            </w:tc>
            <w:tc>
              <w:tcPr>
                <w:tcW w:w="992" w:type="dxa"/>
              </w:tcPr>
              <w:p>
                <w:pPr>
                  <w:overflowPunct w:val="0"/>
                  <w:jc w:val="both"/>
                  <w:textAlignment w:val="baseline"/>
                </w:pPr>
              </w:p>
            </w:tc>
            <w:tc>
              <w:tcPr>
                <w:tcW w:w="992" w:type="dxa"/>
              </w:tcPr>
              <w:p>
                <w:pPr>
                  <w:overflowPunct w:val="0"/>
                  <w:jc w:val="both"/>
                  <w:textAlignment w:val="baseline"/>
                </w:pPr>
              </w:p>
            </w:tc>
          </w:tr>
          <w:tr>
            <w:trPr>
              <w:trHeight w:hRule="exact" w:val="255"/>
            </w:trPr>
            <w:tc>
              <w:tcPr>
                <w:tcW w:w="959" w:type="dxa"/>
              </w:tcPr>
              <w:p>
                <w:pPr>
                  <w:overflowPunct w:val="0"/>
                  <w:jc w:val="both"/>
                  <w:textAlignment w:val="baseline"/>
                </w:pPr>
              </w:p>
            </w:tc>
            <w:tc>
              <w:tcPr>
                <w:tcW w:w="992" w:type="dxa"/>
              </w:tcPr>
              <w:p>
                <w:pPr>
                  <w:overflowPunct w:val="0"/>
                  <w:jc w:val="both"/>
                  <w:textAlignment w:val="baseline"/>
                </w:pPr>
              </w:p>
            </w:tc>
            <w:tc>
              <w:tcPr>
                <w:tcW w:w="2410" w:type="dxa"/>
              </w:tcPr>
              <w:p>
                <w:pPr>
                  <w:overflowPunct w:val="0"/>
                  <w:jc w:val="both"/>
                  <w:textAlignment w:val="baseline"/>
                </w:pPr>
              </w:p>
            </w:tc>
            <w:tc>
              <w:tcPr>
                <w:tcW w:w="1276" w:type="dxa"/>
              </w:tcPr>
              <w:p>
                <w:pPr>
                  <w:overflowPunct w:val="0"/>
                  <w:jc w:val="both"/>
                  <w:textAlignment w:val="baseline"/>
                </w:pPr>
              </w:p>
            </w:tc>
            <w:tc>
              <w:tcPr>
                <w:tcW w:w="1134" w:type="dxa"/>
              </w:tcPr>
              <w:p>
                <w:pPr>
                  <w:overflowPunct w:val="0"/>
                  <w:jc w:val="both"/>
                  <w:textAlignment w:val="baseline"/>
                </w:pPr>
              </w:p>
            </w:tc>
            <w:tc>
              <w:tcPr>
                <w:tcW w:w="992" w:type="dxa"/>
              </w:tcPr>
              <w:p>
                <w:pPr>
                  <w:overflowPunct w:val="0"/>
                  <w:jc w:val="both"/>
                  <w:textAlignment w:val="baseline"/>
                </w:pPr>
              </w:p>
            </w:tc>
            <w:tc>
              <w:tcPr>
                <w:tcW w:w="992" w:type="dxa"/>
              </w:tcPr>
              <w:p>
                <w:pPr>
                  <w:overflowPunct w:val="0"/>
                  <w:jc w:val="both"/>
                  <w:textAlignment w:val="baseline"/>
                </w:pPr>
              </w:p>
            </w:tc>
            <w:tc>
              <w:tcPr>
                <w:tcW w:w="992" w:type="dxa"/>
              </w:tcPr>
              <w:p>
                <w:pPr>
                  <w:overflowPunct w:val="0"/>
                  <w:jc w:val="both"/>
                  <w:textAlignment w:val="baseline"/>
                </w:pPr>
              </w:p>
            </w:tc>
          </w:tr>
          <w:tr>
            <w:trPr>
              <w:trHeight w:hRule="exact" w:val="255"/>
            </w:trPr>
            <w:tc>
              <w:tcPr>
                <w:tcW w:w="959" w:type="dxa"/>
              </w:tcPr>
              <w:p>
                <w:pPr>
                  <w:overflowPunct w:val="0"/>
                  <w:jc w:val="both"/>
                  <w:textAlignment w:val="baseline"/>
                </w:pPr>
              </w:p>
            </w:tc>
            <w:tc>
              <w:tcPr>
                <w:tcW w:w="992" w:type="dxa"/>
              </w:tcPr>
              <w:p>
                <w:pPr>
                  <w:overflowPunct w:val="0"/>
                  <w:jc w:val="both"/>
                  <w:textAlignment w:val="baseline"/>
                </w:pPr>
              </w:p>
            </w:tc>
            <w:tc>
              <w:tcPr>
                <w:tcW w:w="2410" w:type="dxa"/>
              </w:tcPr>
              <w:p>
                <w:pPr>
                  <w:overflowPunct w:val="0"/>
                  <w:jc w:val="both"/>
                  <w:textAlignment w:val="baseline"/>
                </w:pPr>
              </w:p>
            </w:tc>
            <w:tc>
              <w:tcPr>
                <w:tcW w:w="1276" w:type="dxa"/>
              </w:tcPr>
              <w:p>
                <w:pPr>
                  <w:overflowPunct w:val="0"/>
                  <w:jc w:val="both"/>
                  <w:textAlignment w:val="baseline"/>
                </w:pPr>
              </w:p>
            </w:tc>
            <w:tc>
              <w:tcPr>
                <w:tcW w:w="1134" w:type="dxa"/>
              </w:tcPr>
              <w:p>
                <w:pPr>
                  <w:overflowPunct w:val="0"/>
                  <w:jc w:val="both"/>
                  <w:textAlignment w:val="baseline"/>
                </w:pPr>
              </w:p>
            </w:tc>
            <w:tc>
              <w:tcPr>
                <w:tcW w:w="992" w:type="dxa"/>
              </w:tcPr>
              <w:p>
                <w:pPr>
                  <w:overflowPunct w:val="0"/>
                  <w:jc w:val="both"/>
                  <w:textAlignment w:val="baseline"/>
                </w:pPr>
              </w:p>
            </w:tc>
            <w:tc>
              <w:tcPr>
                <w:tcW w:w="992" w:type="dxa"/>
              </w:tcPr>
              <w:p>
                <w:pPr>
                  <w:overflowPunct w:val="0"/>
                  <w:jc w:val="both"/>
                  <w:textAlignment w:val="baseline"/>
                </w:pPr>
              </w:p>
            </w:tc>
            <w:tc>
              <w:tcPr>
                <w:tcW w:w="992" w:type="dxa"/>
              </w:tcPr>
              <w:p>
                <w:pPr>
                  <w:overflowPunct w:val="0"/>
                  <w:jc w:val="both"/>
                  <w:textAlignment w:val="baseline"/>
                </w:pPr>
              </w:p>
            </w:tc>
          </w:tr>
          <w:tr>
            <w:trPr>
              <w:trHeight w:hRule="exact" w:val="255"/>
            </w:trPr>
            <w:tc>
              <w:tcPr>
                <w:tcW w:w="959" w:type="dxa"/>
              </w:tcPr>
              <w:p>
                <w:pPr>
                  <w:overflowPunct w:val="0"/>
                  <w:jc w:val="both"/>
                  <w:textAlignment w:val="baseline"/>
                </w:pPr>
              </w:p>
            </w:tc>
            <w:tc>
              <w:tcPr>
                <w:tcW w:w="992" w:type="dxa"/>
              </w:tcPr>
              <w:p>
                <w:pPr>
                  <w:overflowPunct w:val="0"/>
                  <w:jc w:val="both"/>
                  <w:textAlignment w:val="baseline"/>
                </w:pPr>
              </w:p>
            </w:tc>
            <w:tc>
              <w:tcPr>
                <w:tcW w:w="2410" w:type="dxa"/>
              </w:tcPr>
              <w:p>
                <w:pPr>
                  <w:overflowPunct w:val="0"/>
                  <w:jc w:val="both"/>
                  <w:textAlignment w:val="baseline"/>
                </w:pPr>
              </w:p>
            </w:tc>
            <w:tc>
              <w:tcPr>
                <w:tcW w:w="1276" w:type="dxa"/>
              </w:tcPr>
              <w:p>
                <w:pPr>
                  <w:overflowPunct w:val="0"/>
                  <w:jc w:val="both"/>
                  <w:textAlignment w:val="baseline"/>
                </w:pPr>
              </w:p>
            </w:tc>
            <w:tc>
              <w:tcPr>
                <w:tcW w:w="1134" w:type="dxa"/>
              </w:tcPr>
              <w:p>
                <w:pPr>
                  <w:overflowPunct w:val="0"/>
                  <w:jc w:val="both"/>
                  <w:textAlignment w:val="baseline"/>
                </w:pPr>
              </w:p>
            </w:tc>
            <w:tc>
              <w:tcPr>
                <w:tcW w:w="992" w:type="dxa"/>
              </w:tcPr>
              <w:p>
                <w:pPr>
                  <w:overflowPunct w:val="0"/>
                  <w:jc w:val="both"/>
                  <w:textAlignment w:val="baseline"/>
                </w:pPr>
              </w:p>
            </w:tc>
            <w:tc>
              <w:tcPr>
                <w:tcW w:w="992" w:type="dxa"/>
              </w:tcPr>
              <w:p>
                <w:pPr>
                  <w:overflowPunct w:val="0"/>
                  <w:jc w:val="both"/>
                  <w:textAlignment w:val="baseline"/>
                </w:pPr>
              </w:p>
            </w:tc>
            <w:tc>
              <w:tcPr>
                <w:tcW w:w="992" w:type="dxa"/>
              </w:tcPr>
              <w:p>
                <w:pPr>
                  <w:overflowPunct w:val="0"/>
                  <w:jc w:val="both"/>
                  <w:textAlignment w:val="baseline"/>
                </w:pPr>
              </w:p>
            </w:tc>
          </w:tr>
          <w:tr>
            <w:trPr>
              <w:trHeight w:hRule="exact" w:val="255"/>
            </w:trPr>
            <w:tc>
              <w:tcPr>
                <w:tcW w:w="959" w:type="dxa"/>
              </w:tcPr>
              <w:p>
                <w:pPr>
                  <w:overflowPunct w:val="0"/>
                  <w:jc w:val="both"/>
                  <w:textAlignment w:val="baseline"/>
                </w:pPr>
              </w:p>
            </w:tc>
            <w:tc>
              <w:tcPr>
                <w:tcW w:w="992" w:type="dxa"/>
              </w:tcPr>
              <w:p>
                <w:pPr>
                  <w:overflowPunct w:val="0"/>
                  <w:jc w:val="both"/>
                  <w:textAlignment w:val="baseline"/>
                </w:pPr>
              </w:p>
            </w:tc>
            <w:tc>
              <w:tcPr>
                <w:tcW w:w="2410" w:type="dxa"/>
              </w:tcPr>
              <w:p>
                <w:pPr>
                  <w:overflowPunct w:val="0"/>
                  <w:jc w:val="both"/>
                  <w:textAlignment w:val="baseline"/>
                </w:pPr>
              </w:p>
            </w:tc>
            <w:tc>
              <w:tcPr>
                <w:tcW w:w="1276" w:type="dxa"/>
              </w:tcPr>
              <w:p>
                <w:pPr>
                  <w:overflowPunct w:val="0"/>
                  <w:jc w:val="both"/>
                  <w:textAlignment w:val="baseline"/>
                </w:pPr>
              </w:p>
            </w:tc>
            <w:tc>
              <w:tcPr>
                <w:tcW w:w="1134" w:type="dxa"/>
              </w:tcPr>
              <w:p>
                <w:pPr>
                  <w:overflowPunct w:val="0"/>
                  <w:jc w:val="both"/>
                  <w:textAlignment w:val="baseline"/>
                </w:pPr>
              </w:p>
            </w:tc>
            <w:tc>
              <w:tcPr>
                <w:tcW w:w="992" w:type="dxa"/>
              </w:tcPr>
              <w:p>
                <w:pPr>
                  <w:overflowPunct w:val="0"/>
                  <w:jc w:val="both"/>
                  <w:textAlignment w:val="baseline"/>
                </w:pPr>
              </w:p>
            </w:tc>
            <w:tc>
              <w:tcPr>
                <w:tcW w:w="992" w:type="dxa"/>
              </w:tcPr>
              <w:p>
                <w:pPr>
                  <w:overflowPunct w:val="0"/>
                  <w:jc w:val="both"/>
                  <w:textAlignment w:val="baseline"/>
                </w:pPr>
              </w:p>
            </w:tc>
            <w:tc>
              <w:tcPr>
                <w:tcW w:w="992" w:type="dxa"/>
              </w:tcPr>
              <w:p>
                <w:pPr>
                  <w:overflowPunct w:val="0"/>
                  <w:jc w:val="both"/>
                  <w:textAlignment w:val="baseline"/>
                </w:pPr>
              </w:p>
            </w:tc>
          </w:tr>
          <w:tr>
            <w:trPr>
              <w:trHeight w:hRule="exact" w:val="255"/>
            </w:trPr>
            <w:tc>
              <w:tcPr>
                <w:tcW w:w="959" w:type="dxa"/>
              </w:tcPr>
              <w:p>
                <w:pPr>
                  <w:overflowPunct w:val="0"/>
                  <w:jc w:val="both"/>
                  <w:textAlignment w:val="baseline"/>
                </w:pPr>
              </w:p>
            </w:tc>
            <w:tc>
              <w:tcPr>
                <w:tcW w:w="992" w:type="dxa"/>
              </w:tcPr>
              <w:p>
                <w:pPr>
                  <w:overflowPunct w:val="0"/>
                  <w:jc w:val="both"/>
                  <w:textAlignment w:val="baseline"/>
                </w:pPr>
              </w:p>
            </w:tc>
            <w:tc>
              <w:tcPr>
                <w:tcW w:w="2410" w:type="dxa"/>
              </w:tcPr>
              <w:p>
                <w:pPr>
                  <w:overflowPunct w:val="0"/>
                  <w:jc w:val="both"/>
                  <w:textAlignment w:val="baseline"/>
                </w:pPr>
              </w:p>
            </w:tc>
            <w:tc>
              <w:tcPr>
                <w:tcW w:w="1276" w:type="dxa"/>
              </w:tcPr>
              <w:p>
                <w:pPr>
                  <w:overflowPunct w:val="0"/>
                  <w:jc w:val="both"/>
                  <w:textAlignment w:val="baseline"/>
                </w:pPr>
              </w:p>
            </w:tc>
            <w:tc>
              <w:tcPr>
                <w:tcW w:w="1134" w:type="dxa"/>
              </w:tcPr>
              <w:p>
                <w:pPr>
                  <w:overflowPunct w:val="0"/>
                  <w:jc w:val="both"/>
                  <w:textAlignment w:val="baseline"/>
                </w:pPr>
              </w:p>
            </w:tc>
            <w:tc>
              <w:tcPr>
                <w:tcW w:w="992" w:type="dxa"/>
              </w:tcPr>
              <w:p>
                <w:pPr>
                  <w:overflowPunct w:val="0"/>
                  <w:jc w:val="both"/>
                  <w:textAlignment w:val="baseline"/>
                </w:pPr>
              </w:p>
            </w:tc>
            <w:tc>
              <w:tcPr>
                <w:tcW w:w="992" w:type="dxa"/>
              </w:tcPr>
              <w:p>
                <w:pPr>
                  <w:overflowPunct w:val="0"/>
                  <w:jc w:val="both"/>
                  <w:textAlignment w:val="baseline"/>
                </w:pPr>
              </w:p>
            </w:tc>
            <w:tc>
              <w:tcPr>
                <w:tcW w:w="992" w:type="dxa"/>
              </w:tcPr>
              <w:p>
                <w:pPr>
                  <w:overflowPunct w:val="0"/>
                  <w:jc w:val="both"/>
                  <w:textAlignment w:val="baseline"/>
                </w:pPr>
              </w:p>
            </w:tc>
          </w:tr>
          <w:tr>
            <w:trPr>
              <w:trHeight w:hRule="exact" w:val="255"/>
            </w:trPr>
            <w:tc>
              <w:tcPr>
                <w:tcW w:w="959" w:type="dxa"/>
              </w:tcPr>
              <w:p>
                <w:pPr>
                  <w:overflowPunct w:val="0"/>
                  <w:jc w:val="both"/>
                  <w:textAlignment w:val="baseline"/>
                </w:pPr>
              </w:p>
            </w:tc>
            <w:tc>
              <w:tcPr>
                <w:tcW w:w="992" w:type="dxa"/>
              </w:tcPr>
              <w:p>
                <w:pPr>
                  <w:overflowPunct w:val="0"/>
                  <w:jc w:val="both"/>
                  <w:textAlignment w:val="baseline"/>
                </w:pPr>
              </w:p>
            </w:tc>
            <w:tc>
              <w:tcPr>
                <w:tcW w:w="2410" w:type="dxa"/>
              </w:tcPr>
              <w:p>
                <w:pPr>
                  <w:overflowPunct w:val="0"/>
                  <w:jc w:val="both"/>
                  <w:textAlignment w:val="baseline"/>
                </w:pPr>
              </w:p>
            </w:tc>
            <w:tc>
              <w:tcPr>
                <w:tcW w:w="1276" w:type="dxa"/>
              </w:tcPr>
              <w:p>
                <w:pPr>
                  <w:overflowPunct w:val="0"/>
                  <w:jc w:val="both"/>
                  <w:textAlignment w:val="baseline"/>
                </w:pPr>
              </w:p>
            </w:tc>
            <w:tc>
              <w:tcPr>
                <w:tcW w:w="1134" w:type="dxa"/>
              </w:tcPr>
              <w:p>
                <w:pPr>
                  <w:overflowPunct w:val="0"/>
                  <w:jc w:val="both"/>
                  <w:textAlignment w:val="baseline"/>
                </w:pPr>
              </w:p>
            </w:tc>
            <w:tc>
              <w:tcPr>
                <w:tcW w:w="992" w:type="dxa"/>
              </w:tcPr>
              <w:p>
                <w:pPr>
                  <w:overflowPunct w:val="0"/>
                  <w:jc w:val="both"/>
                  <w:textAlignment w:val="baseline"/>
                </w:pPr>
              </w:p>
            </w:tc>
            <w:tc>
              <w:tcPr>
                <w:tcW w:w="992" w:type="dxa"/>
              </w:tcPr>
              <w:p>
                <w:pPr>
                  <w:overflowPunct w:val="0"/>
                  <w:jc w:val="both"/>
                  <w:textAlignment w:val="baseline"/>
                </w:pPr>
              </w:p>
            </w:tc>
            <w:tc>
              <w:tcPr>
                <w:tcW w:w="992" w:type="dxa"/>
              </w:tcPr>
              <w:p>
                <w:pPr>
                  <w:overflowPunct w:val="0"/>
                  <w:jc w:val="both"/>
                  <w:textAlignment w:val="baseline"/>
                </w:pPr>
              </w:p>
            </w:tc>
          </w:tr>
          <w:tr>
            <w:trPr>
              <w:trHeight w:hRule="exact" w:val="255"/>
            </w:trPr>
            <w:tc>
              <w:tcPr>
                <w:tcW w:w="959" w:type="dxa"/>
              </w:tcPr>
              <w:p>
                <w:pPr>
                  <w:overflowPunct w:val="0"/>
                  <w:jc w:val="both"/>
                  <w:textAlignment w:val="baseline"/>
                </w:pPr>
              </w:p>
            </w:tc>
            <w:tc>
              <w:tcPr>
                <w:tcW w:w="992" w:type="dxa"/>
              </w:tcPr>
              <w:p>
                <w:pPr>
                  <w:overflowPunct w:val="0"/>
                  <w:jc w:val="both"/>
                  <w:textAlignment w:val="baseline"/>
                </w:pPr>
              </w:p>
            </w:tc>
            <w:tc>
              <w:tcPr>
                <w:tcW w:w="2410" w:type="dxa"/>
              </w:tcPr>
              <w:p>
                <w:pPr>
                  <w:overflowPunct w:val="0"/>
                  <w:jc w:val="both"/>
                  <w:textAlignment w:val="baseline"/>
                </w:pPr>
              </w:p>
            </w:tc>
            <w:tc>
              <w:tcPr>
                <w:tcW w:w="1276" w:type="dxa"/>
              </w:tcPr>
              <w:p>
                <w:pPr>
                  <w:overflowPunct w:val="0"/>
                  <w:jc w:val="both"/>
                  <w:textAlignment w:val="baseline"/>
                </w:pPr>
              </w:p>
            </w:tc>
            <w:tc>
              <w:tcPr>
                <w:tcW w:w="1134" w:type="dxa"/>
              </w:tcPr>
              <w:p>
                <w:pPr>
                  <w:overflowPunct w:val="0"/>
                  <w:jc w:val="both"/>
                  <w:textAlignment w:val="baseline"/>
                </w:pPr>
              </w:p>
            </w:tc>
            <w:tc>
              <w:tcPr>
                <w:tcW w:w="992" w:type="dxa"/>
              </w:tcPr>
              <w:p>
                <w:pPr>
                  <w:overflowPunct w:val="0"/>
                  <w:jc w:val="both"/>
                  <w:textAlignment w:val="baseline"/>
                </w:pPr>
              </w:p>
            </w:tc>
            <w:tc>
              <w:tcPr>
                <w:tcW w:w="992" w:type="dxa"/>
              </w:tcPr>
              <w:p>
                <w:pPr>
                  <w:overflowPunct w:val="0"/>
                  <w:jc w:val="both"/>
                  <w:textAlignment w:val="baseline"/>
                </w:pPr>
              </w:p>
            </w:tc>
            <w:tc>
              <w:tcPr>
                <w:tcW w:w="992" w:type="dxa"/>
              </w:tcPr>
              <w:p>
                <w:pPr>
                  <w:overflowPunct w:val="0"/>
                  <w:jc w:val="both"/>
                  <w:textAlignment w:val="baseline"/>
                </w:pPr>
              </w:p>
            </w:tc>
          </w:tr>
          <w:tr>
            <w:trPr>
              <w:trHeight w:hRule="exact" w:val="255"/>
            </w:trPr>
            <w:tc>
              <w:tcPr>
                <w:tcW w:w="959" w:type="dxa"/>
              </w:tcPr>
              <w:p>
                <w:pPr>
                  <w:overflowPunct w:val="0"/>
                  <w:jc w:val="both"/>
                  <w:textAlignment w:val="baseline"/>
                </w:pPr>
              </w:p>
            </w:tc>
            <w:tc>
              <w:tcPr>
                <w:tcW w:w="992" w:type="dxa"/>
              </w:tcPr>
              <w:p>
                <w:pPr>
                  <w:overflowPunct w:val="0"/>
                  <w:jc w:val="both"/>
                  <w:textAlignment w:val="baseline"/>
                </w:pPr>
              </w:p>
            </w:tc>
            <w:tc>
              <w:tcPr>
                <w:tcW w:w="2410" w:type="dxa"/>
              </w:tcPr>
              <w:p>
                <w:pPr>
                  <w:overflowPunct w:val="0"/>
                  <w:jc w:val="both"/>
                  <w:textAlignment w:val="baseline"/>
                </w:pPr>
              </w:p>
            </w:tc>
            <w:tc>
              <w:tcPr>
                <w:tcW w:w="1276" w:type="dxa"/>
              </w:tcPr>
              <w:p>
                <w:pPr>
                  <w:overflowPunct w:val="0"/>
                  <w:jc w:val="both"/>
                  <w:textAlignment w:val="baseline"/>
                </w:pPr>
              </w:p>
            </w:tc>
            <w:tc>
              <w:tcPr>
                <w:tcW w:w="1134" w:type="dxa"/>
              </w:tcPr>
              <w:p>
                <w:pPr>
                  <w:overflowPunct w:val="0"/>
                  <w:jc w:val="both"/>
                  <w:textAlignment w:val="baseline"/>
                </w:pPr>
              </w:p>
            </w:tc>
            <w:tc>
              <w:tcPr>
                <w:tcW w:w="992" w:type="dxa"/>
              </w:tcPr>
              <w:p>
                <w:pPr>
                  <w:overflowPunct w:val="0"/>
                  <w:jc w:val="both"/>
                  <w:textAlignment w:val="baseline"/>
                </w:pPr>
              </w:p>
            </w:tc>
            <w:tc>
              <w:tcPr>
                <w:tcW w:w="992" w:type="dxa"/>
              </w:tcPr>
              <w:p>
                <w:pPr>
                  <w:overflowPunct w:val="0"/>
                  <w:jc w:val="both"/>
                  <w:textAlignment w:val="baseline"/>
                </w:pPr>
              </w:p>
            </w:tc>
            <w:tc>
              <w:tcPr>
                <w:tcW w:w="992" w:type="dxa"/>
              </w:tcPr>
              <w:p>
                <w:pPr>
                  <w:overflowPunct w:val="0"/>
                  <w:jc w:val="both"/>
                  <w:textAlignment w:val="baseline"/>
                </w:pPr>
              </w:p>
            </w:tc>
          </w:tr>
          <w:tr>
            <w:trPr>
              <w:trHeight w:hRule="exact" w:val="255"/>
            </w:trPr>
            <w:tc>
              <w:tcPr>
                <w:tcW w:w="959" w:type="dxa"/>
              </w:tcPr>
              <w:p>
                <w:pPr>
                  <w:overflowPunct w:val="0"/>
                  <w:jc w:val="both"/>
                  <w:textAlignment w:val="baseline"/>
                </w:pPr>
              </w:p>
            </w:tc>
            <w:tc>
              <w:tcPr>
                <w:tcW w:w="992" w:type="dxa"/>
              </w:tcPr>
              <w:p>
                <w:pPr>
                  <w:overflowPunct w:val="0"/>
                  <w:jc w:val="both"/>
                  <w:textAlignment w:val="baseline"/>
                </w:pPr>
              </w:p>
            </w:tc>
            <w:tc>
              <w:tcPr>
                <w:tcW w:w="2410" w:type="dxa"/>
              </w:tcPr>
              <w:p>
                <w:pPr>
                  <w:overflowPunct w:val="0"/>
                  <w:jc w:val="both"/>
                  <w:textAlignment w:val="baseline"/>
                </w:pPr>
              </w:p>
            </w:tc>
            <w:tc>
              <w:tcPr>
                <w:tcW w:w="1276" w:type="dxa"/>
              </w:tcPr>
              <w:p>
                <w:pPr>
                  <w:overflowPunct w:val="0"/>
                  <w:jc w:val="both"/>
                  <w:textAlignment w:val="baseline"/>
                </w:pPr>
              </w:p>
            </w:tc>
            <w:tc>
              <w:tcPr>
                <w:tcW w:w="1134" w:type="dxa"/>
              </w:tcPr>
              <w:p>
                <w:pPr>
                  <w:overflowPunct w:val="0"/>
                  <w:jc w:val="both"/>
                  <w:textAlignment w:val="baseline"/>
                </w:pPr>
              </w:p>
            </w:tc>
            <w:tc>
              <w:tcPr>
                <w:tcW w:w="992" w:type="dxa"/>
              </w:tcPr>
              <w:p>
                <w:pPr>
                  <w:overflowPunct w:val="0"/>
                  <w:jc w:val="both"/>
                  <w:textAlignment w:val="baseline"/>
                </w:pPr>
              </w:p>
            </w:tc>
            <w:tc>
              <w:tcPr>
                <w:tcW w:w="992" w:type="dxa"/>
              </w:tcPr>
              <w:p>
                <w:pPr>
                  <w:overflowPunct w:val="0"/>
                  <w:jc w:val="both"/>
                  <w:textAlignment w:val="baseline"/>
                </w:pPr>
              </w:p>
            </w:tc>
            <w:tc>
              <w:tcPr>
                <w:tcW w:w="992" w:type="dxa"/>
              </w:tcPr>
              <w:p>
                <w:pPr>
                  <w:overflowPunct w:val="0"/>
                  <w:jc w:val="both"/>
                  <w:textAlignment w:val="baseline"/>
                </w:pPr>
              </w:p>
            </w:tc>
          </w:tr>
          <w:tr>
            <w:trPr>
              <w:trHeight w:hRule="exact" w:val="255"/>
            </w:trPr>
            <w:tc>
              <w:tcPr>
                <w:tcW w:w="959" w:type="dxa"/>
              </w:tcPr>
              <w:p>
                <w:pPr>
                  <w:overflowPunct w:val="0"/>
                  <w:jc w:val="both"/>
                  <w:textAlignment w:val="baseline"/>
                </w:pPr>
              </w:p>
            </w:tc>
            <w:tc>
              <w:tcPr>
                <w:tcW w:w="992" w:type="dxa"/>
              </w:tcPr>
              <w:p>
                <w:pPr>
                  <w:overflowPunct w:val="0"/>
                  <w:jc w:val="both"/>
                  <w:textAlignment w:val="baseline"/>
                </w:pPr>
              </w:p>
            </w:tc>
            <w:tc>
              <w:tcPr>
                <w:tcW w:w="2410" w:type="dxa"/>
              </w:tcPr>
              <w:p>
                <w:pPr>
                  <w:overflowPunct w:val="0"/>
                  <w:jc w:val="both"/>
                  <w:textAlignment w:val="baseline"/>
                </w:pPr>
              </w:p>
            </w:tc>
            <w:tc>
              <w:tcPr>
                <w:tcW w:w="1276" w:type="dxa"/>
              </w:tcPr>
              <w:p>
                <w:pPr>
                  <w:overflowPunct w:val="0"/>
                  <w:jc w:val="both"/>
                  <w:textAlignment w:val="baseline"/>
                </w:pPr>
              </w:p>
            </w:tc>
            <w:tc>
              <w:tcPr>
                <w:tcW w:w="1134" w:type="dxa"/>
              </w:tcPr>
              <w:p>
                <w:pPr>
                  <w:overflowPunct w:val="0"/>
                  <w:jc w:val="both"/>
                  <w:textAlignment w:val="baseline"/>
                </w:pPr>
              </w:p>
            </w:tc>
            <w:tc>
              <w:tcPr>
                <w:tcW w:w="992" w:type="dxa"/>
              </w:tcPr>
              <w:p>
                <w:pPr>
                  <w:overflowPunct w:val="0"/>
                  <w:jc w:val="both"/>
                  <w:textAlignment w:val="baseline"/>
                </w:pPr>
              </w:p>
            </w:tc>
            <w:tc>
              <w:tcPr>
                <w:tcW w:w="992" w:type="dxa"/>
              </w:tcPr>
              <w:p>
                <w:pPr>
                  <w:overflowPunct w:val="0"/>
                  <w:jc w:val="both"/>
                  <w:textAlignment w:val="baseline"/>
                </w:pPr>
              </w:p>
            </w:tc>
            <w:tc>
              <w:tcPr>
                <w:tcW w:w="992" w:type="dxa"/>
              </w:tcPr>
              <w:p>
                <w:pPr>
                  <w:overflowPunct w:val="0"/>
                  <w:jc w:val="both"/>
                  <w:textAlignment w:val="baseline"/>
                </w:pPr>
              </w:p>
            </w:tc>
          </w:tr>
          <w:tr>
            <w:trPr>
              <w:trHeight w:hRule="exact" w:val="255"/>
            </w:trPr>
            <w:tc>
              <w:tcPr>
                <w:tcW w:w="959" w:type="dxa"/>
              </w:tcPr>
              <w:p>
                <w:pPr>
                  <w:overflowPunct w:val="0"/>
                  <w:jc w:val="both"/>
                  <w:textAlignment w:val="baseline"/>
                </w:pPr>
              </w:p>
            </w:tc>
            <w:tc>
              <w:tcPr>
                <w:tcW w:w="992" w:type="dxa"/>
              </w:tcPr>
              <w:p>
                <w:pPr>
                  <w:overflowPunct w:val="0"/>
                  <w:jc w:val="both"/>
                  <w:textAlignment w:val="baseline"/>
                </w:pPr>
              </w:p>
            </w:tc>
            <w:tc>
              <w:tcPr>
                <w:tcW w:w="2410" w:type="dxa"/>
              </w:tcPr>
              <w:p>
                <w:pPr>
                  <w:overflowPunct w:val="0"/>
                  <w:jc w:val="both"/>
                  <w:textAlignment w:val="baseline"/>
                </w:pPr>
              </w:p>
            </w:tc>
            <w:tc>
              <w:tcPr>
                <w:tcW w:w="1276" w:type="dxa"/>
              </w:tcPr>
              <w:p>
                <w:pPr>
                  <w:overflowPunct w:val="0"/>
                  <w:jc w:val="both"/>
                  <w:textAlignment w:val="baseline"/>
                </w:pPr>
              </w:p>
            </w:tc>
            <w:tc>
              <w:tcPr>
                <w:tcW w:w="1134" w:type="dxa"/>
              </w:tcPr>
              <w:p>
                <w:pPr>
                  <w:overflowPunct w:val="0"/>
                  <w:jc w:val="both"/>
                  <w:textAlignment w:val="baseline"/>
                </w:pPr>
              </w:p>
            </w:tc>
            <w:tc>
              <w:tcPr>
                <w:tcW w:w="992" w:type="dxa"/>
              </w:tcPr>
              <w:p>
                <w:pPr>
                  <w:overflowPunct w:val="0"/>
                  <w:jc w:val="both"/>
                  <w:textAlignment w:val="baseline"/>
                </w:pPr>
              </w:p>
            </w:tc>
            <w:tc>
              <w:tcPr>
                <w:tcW w:w="992" w:type="dxa"/>
              </w:tcPr>
              <w:p>
                <w:pPr>
                  <w:overflowPunct w:val="0"/>
                  <w:jc w:val="both"/>
                  <w:textAlignment w:val="baseline"/>
                </w:pPr>
              </w:p>
            </w:tc>
            <w:tc>
              <w:tcPr>
                <w:tcW w:w="992" w:type="dxa"/>
              </w:tcPr>
              <w:p>
                <w:pPr>
                  <w:overflowPunct w:val="0"/>
                  <w:jc w:val="both"/>
                  <w:textAlignment w:val="baseline"/>
                </w:pPr>
              </w:p>
            </w:tc>
          </w:tr>
          <w:tr>
            <w:trPr>
              <w:trHeight w:hRule="exact" w:val="255"/>
            </w:trPr>
            <w:tc>
              <w:tcPr>
                <w:tcW w:w="959" w:type="dxa"/>
              </w:tcPr>
              <w:p>
                <w:pPr>
                  <w:overflowPunct w:val="0"/>
                  <w:jc w:val="both"/>
                  <w:textAlignment w:val="baseline"/>
                </w:pPr>
              </w:p>
            </w:tc>
            <w:tc>
              <w:tcPr>
                <w:tcW w:w="992" w:type="dxa"/>
              </w:tcPr>
              <w:p>
                <w:pPr>
                  <w:overflowPunct w:val="0"/>
                  <w:jc w:val="both"/>
                  <w:textAlignment w:val="baseline"/>
                </w:pPr>
              </w:p>
            </w:tc>
            <w:tc>
              <w:tcPr>
                <w:tcW w:w="2410" w:type="dxa"/>
              </w:tcPr>
              <w:p>
                <w:pPr>
                  <w:overflowPunct w:val="0"/>
                  <w:jc w:val="both"/>
                  <w:textAlignment w:val="baseline"/>
                </w:pPr>
              </w:p>
            </w:tc>
            <w:tc>
              <w:tcPr>
                <w:tcW w:w="1276" w:type="dxa"/>
              </w:tcPr>
              <w:p>
                <w:pPr>
                  <w:overflowPunct w:val="0"/>
                  <w:jc w:val="both"/>
                  <w:textAlignment w:val="baseline"/>
                </w:pPr>
              </w:p>
            </w:tc>
            <w:tc>
              <w:tcPr>
                <w:tcW w:w="1134" w:type="dxa"/>
              </w:tcPr>
              <w:p>
                <w:pPr>
                  <w:overflowPunct w:val="0"/>
                  <w:jc w:val="both"/>
                  <w:textAlignment w:val="baseline"/>
                </w:pPr>
              </w:p>
            </w:tc>
            <w:tc>
              <w:tcPr>
                <w:tcW w:w="992" w:type="dxa"/>
              </w:tcPr>
              <w:p>
                <w:pPr>
                  <w:overflowPunct w:val="0"/>
                  <w:jc w:val="both"/>
                  <w:textAlignment w:val="baseline"/>
                </w:pPr>
              </w:p>
            </w:tc>
            <w:tc>
              <w:tcPr>
                <w:tcW w:w="992" w:type="dxa"/>
              </w:tcPr>
              <w:p>
                <w:pPr>
                  <w:overflowPunct w:val="0"/>
                  <w:jc w:val="both"/>
                  <w:textAlignment w:val="baseline"/>
                </w:pPr>
              </w:p>
            </w:tc>
            <w:tc>
              <w:tcPr>
                <w:tcW w:w="992" w:type="dxa"/>
              </w:tcPr>
              <w:p>
                <w:pPr>
                  <w:overflowPunct w:val="0"/>
                  <w:jc w:val="both"/>
                  <w:textAlignment w:val="baseline"/>
                </w:pPr>
              </w:p>
            </w:tc>
          </w:tr>
          <w:tr>
            <w:trPr>
              <w:trHeight w:hRule="exact" w:val="255"/>
            </w:trPr>
            <w:tc>
              <w:tcPr>
                <w:tcW w:w="959" w:type="dxa"/>
              </w:tcPr>
              <w:p>
                <w:pPr>
                  <w:overflowPunct w:val="0"/>
                  <w:jc w:val="both"/>
                  <w:textAlignment w:val="baseline"/>
                </w:pPr>
              </w:p>
            </w:tc>
            <w:tc>
              <w:tcPr>
                <w:tcW w:w="992" w:type="dxa"/>
              </w:tcPr>
              <w:p>
                <w:pPr>
                  <w:overflowPunct w:val="0"/>
                  <w:jc w:val="both"/>
                  <w:textAlignment w:val="baseline"/>
                </w:pPr>
              </w:p>
            </w:tc>
            <w:tc>
              <w:tcPr>
                <w:tcW w:w="2410" w:type="dxa"/>
              </w:tcPr>
              <w:p>
                <w:pPr>
                  <w:overflowPunct w:val="0"/>
                  <w:jc w:val="both"/>
                  <w:textAlignment w:val="baseline"/>
                </w:pPr>
              </w:p>
            </w:tc>
            <w:tc>
              <w:tcPr>
                <w:tcW w:w="1276" w:type="dxa"/>
              </w:tcPr>
              <w:p>
                <w:pPr>
                  <w:overflowPunct w:val="0"/>
                  <w:jc w:val="both"/>
                  <w:textAlignment w:val="baseline"/>
                </w:pPr>
              </w:p>
            </w:tc>
            <w:tc>
              <w:tcPr>
                <w:tcW w:w="1134" w:type="dxa"/>
              </w:tcPr>
              <w:p>
                <w:pPr>
                  <w:overflowPunct w:val="0"/>
                  <w:jc w:val="both"/>
                  <w:textAlignment w:val="baseline"/>
                </w:pPr>
              </w:p>
            </w:tc>
            <w:tc>
              <w:tcPr>
                <w:tcW w:w="992" w:type="dxa"/>
              </w:tcPr>
              <w:p>
                <w:pPr>
                  <w:overflowPunct w:val="0"/>
                  <w:jc w:val="both"/>
                  <w:textAlignment w:val="baseline"/>
                </w:pPr>
              </w:p>
            </w:tc>
            <w:tc>
              <w:tcPr>
                <w:tcW w:w="992" w:type="dxa"/>
              </w:tcPr>
              <w:p>
                <w:pPr>
                  <w:overflowPunct w:val="0"/>
                  <w:jc w:val="both"/>
                  <w:textAlignment w:val="baseline"/>
                </w:pPr>
              </w:p>
            </w:tc>
            <w:tc>
              <w:tcPr>
                <w:tcW w:w="992" w:type="dxa"/>
              </w:tcPr>
              <w:p>
                <w:pPr>
                  <w:overflowPunct w:val="0"/>
                  <w:jc w:val="both"/>
                  <w:textAlignment w:val="baseline"/>
                </w:pPr>
              </w:p>
            </w:tc>
          </w:tr>
          <w:tr>
            <w:trPr>
              <w:trHeight w:hRule="exact" w:val="255"/>
            </w:trPr>
            <w:tc>
              <w:tcPr>
                <w:tcW w:w="959" w:type="dxa"/>
              </w:tcPr>
              <w:p>
                <w:pPr>
                  <w:overflowPunct w:val="0"/>
                  <w:jc w:val="both"/>
                  <w:textAlignment w:val="baseline"/>
                </w:pPr>
              </w:p>
            </w:tc>
            <w:tc>
              <w:tcPr>
                <w:tcW w:w="992" w:type="dxa"/>
              </w:tcPr>
              <w:p>
                <w:pPr>
                  <w:overflowPunct w:val="0"/>
                  <w:jc w:val="both"/>
                  <w:textAlignment w:val="baseline"/>
                </w:pPr>
              </w:p>
            </w:tc>
            <w:tc>
              <w:tcPr>
                <w:tcW w:w="2410" w:type="dxa"/>
              </w:tcPr>
              <w:p>
                <w:pPr>
                  <w:overflowPunct w:val="0"/>
                  <w:jc w:val="both"/>
                  <w:textAlignment w:val="baseline"/>
                </w:pPr>
              </w:p>
            </w:tc>
            <w:tc>
              <w:tcPr>
                <w:tcW w:w="1276" w:type="dxa"/>
              </w:tcPr>
              <w:p>
                <w:pPr>
                  <w:overflowPunct w:val="0"/>
                  <w:jc w:val="both"/>
                  <w:textAlignment w:val="baseline"/>
                </w:pPr>
              </w:p>
            </w:tc>
            <w:tc>
              <w:tcPr>
                <w:tcW w:w="1134" w:type="dxa"/>
              </w:tcPr>
              <w:p>
                <w:pPr>
                  <w:overflowPunct w:val="0"/>
                  <w:jc w:val="both"/>
                  <w:textAlignment w:val="baseline"/>
                </w:pPr>
              </w:p>
            </w:tc>
            <w:tc>
              <w:tcPr>
                <w:tcW w:w="992" w:type="dxa"/>
              </w:tcPr>
              <w:p>
                <w:pPr>
                  <w:overflowPunct w:val="0"/>
                  <w:jc w:val="both"/>
                  <w:textAlignment w:val="baseline"/>
                </w:pPr>
              </w:p>
            </w:tc>
            <w:tc>
              <w:tcPr>
                <w:tcW w:w="992" w:type="dxa"/>
              </w:tcPr>
              <w:p>
                <w:pPr>
                  <w:overflowPunct w:val="0"/>
                  <w:jc w:val="both"/>
                  <w:textAlignment w:val="baseline"/>
                </w:pPr>
              </w:p>
            </w:tc>
            <w:tc>
              <w:tcPr>
                <w:tcW w:w="992" w:type="dxa"/>
              </w:tcPr>
              <w:p>
                <w:pPr>
                  <w:overflowPunct w:val="0"/>
                  <w:jc w:val="both"/>
                  <w:textAlignment w:val="baseline"/>
                </w:pPr>
              </w:p>
            </w:tc>
          </w:tr>
          <w:tr>
            <w:trPr>
              <w:trHeight w:hRule="exact" w:val="255"/>
            </w:trPr>
            <w:tc>
              <w:tcPr>
                <w:tcW w:w="959" w:type="dxa"/>
              </w:tcPr>
              <w:p>
                <w:pPr>
                  <w:overflowPunct w:val="0"/>
                  <w:jc w:val="both"/>
                  <w:textAlignment w:val="baseline"/>
                </w:pPr>
              </w:p>
            </w:tc>
            <w:tc>
              <w:tcPr>
                <w:tcW w:w="992" w:type="dxa"/>
              </w:tcPr>
              <w:p>
                <w:pPr>
                  <w:overflowPunct w:val="0"/>
                  <w:jc w:val="both"/>
                  <w:textAlignment w:val="baseline"/>
                </w:pPr>
              </w:p>
            </w:tc>
            <w:tc>
              <w:tcPr>
                <w:tcW w:w="2410" w:type="dxa"/>
              </w:tcPr>
              <w:p>
                <w:pPr>
                  <w:overflowPunct w:val="0"/>
                  <w:jc w:val="both"/>
                  <w:textAlignment w:val="baseline"/>
                </w:pPr>
              </w:p>
            </w:tc>
            <w:tc>
              <w:tcPr>
                <w:tcW w:w="1276" w:type="dxa"/>
              </w:tcPr>
              <w:p>
                <w:pPr>
                  <w:overflowPunct w:val="0"/>
                  <w:jc w:val="both"/>
                  <w:textAlignment w:val="baseline"/>
                </w:pPr>
              </w:p>
            </w:tc>
            <w:tc>
              <w:tcPr>
                <w:tcW w:w="1134" w:type="dxa"/>
              </w:tcPr>
              <w:p>
                <w:pPr>
                  <w:overflowPunct w:val="0"/>
                  <w:jc w:val="both"/>
                  <w:textAlignment w:val="baseline"/>
                </w:pPr>
              </w:p>
            </w:tc>
            <w:tc>
              <w:tcPr>
                <w:tcW w:w="992" w:type="dxa"/>
              </w:tcPr>
              <w:p>
                <w:pPr>
                  <w:overflowPunct w:val="0"/>
                  <w:jc w:val="both"/>
                  <w:textAlignment w:val="baseline"/>
                </w:pPr>
              </w:p>
            </w:tc>
            <w:tc>
              <w:tcPr>
                <w:tcW w:w="992" w:type="dxa"/>
              </w:tcPr>
              <w:p>
                <w:pPr>
                  <w:overflowPunct w:val="0"/>
                  <w:jc w:val="both"/>
                  <w:textAlignment w:val="baseline"/>
                </w:pPr>
              </w:p>
            </w:tc>
            <w:tc>
              <w:tcPr>
                <w:tcW w:w="992" w:type="dxa"/>
              </w:tcPr>
              <w:p>
                <w:pPr>
                  <w:overflowPunct w:val="0"/>
                  <w:jc w:val="both"/>
                  <w:textAlignment w:val="baseline"/>
                </w:pPr>
              </w:p>
            </w:tc>
          </w:tr>
          <w:tr>
            <w:trPr>
              <w:trHeight w:hRule="exact" w:val="255"/>
            </w:trPr>
            <w:tc>
              <w:tcPr>
                <w:tcW w:w="959" w:type="dxa"/>
              </w:tcPr>
              <w:p>
                <w:pPr>
                  <w:overflowPunct w:val="0"/>
                  <w:jc w:val="both"/>
                  <w:textAlignment w:val="baseline"/>
                </w:pPr>
              </w:p>
            </w:tc>
            <w:tc>
              <w:tcPr>
                <w:tcW w:w="992" w:type="dxa"/>
              </w:tcPr>
              <w:p>
                <w:pPr>
                  <w:overflowPunct w:val="0"/>
                  <w:jc w:val="both"/>
                  <w:textAlignment w:val="baseline"/>
                </w:pPr>
              </w:p>
            </w:tc>
            <w:tc>
              <w:tcPr>
                <w:tcW w:w="2410" w:type="dxa"/>
              </w:tcPr>
              <w:p>
                <w:pPr>
                  <w:overflowPunct w:val="0"/>
                  <w:jc w:val="both"/>
                  <w:textAlignment w:val="baseline"/>
                </w:pPr>
              </w:p>
            </w:tc>
            <w:tc>
              <w:tcPr>
                <w:tcW w:w="1276" w:type="dxa"/>
              </w:tcPr>
              <w:p>
                <w:pPr>
                  <w:overflowPunct w:val="0"/>
                  <w:jc w:val="both"/>
                  <w:textAlignment w:val="baseline"/>
                </w:pPr>
              </w:p>
            </w:tc>
            <w:tc>
              <w:tcPr>
                <w:tcW w:w="1134" w:type="dxa"/>
              </w:tcPr>
              <w:p>
                <w:pPr>
                  <w:overflowPunct w:val="0"/>
                  <w:jc w:val="both"/>
                  <w:textAlignment w:val="baseline"/>
                </w:pPr>
              </w:p>
            </w:tc>
            <w:tc>
              <w:tcPr>
                <w:tcW w:w="992" w:type="dxa"/>
              </w:tcPr>
              <w:p>
                <w:pPr>
                  <w:overflowPunct w:val="0"/>
                  <w:jc w:val="both"/>
                  <w:textAlignment w:val="baseline"/>
                </w:pPr>
              </w:p>
            </w:tc>
            <w:tc>
              <w:tcPr>
                <w:tcW w:w="992" w:type="dxa"/>
              </w:tcPr>
              <w:p>
                <w:pPr>
                  <w:overflowPunct w:val="0"/>
                  <w:jc w:val="both"/>
                  <w:textAlignment w:val="baseline"/>
                </w:pPr>
              </w:p>
            </w:tc>
            <w:tc>
              <w:tcPr>
                <w:tcW w:w="992" w:type="dxa"/>
              </w:tcPr>
              <w:p>
                <w:pPr>
                  <w:overflowPunct w:val="0"/>
                  <w:jc w:val="both"/>
                  <w:textAlignment w:val="baseline"/>
                </w:pPr>
              </w:p>
            </w:tc>
          </w:tr>
        </w:tbl>
        <w:p>
          <w:pPr>
            <w:overflowPunct w:val="0"/>
            <w:jc w:val="both"/>
            <w:textAlignment w:val="baseline"/>
          </w:pPr>
        </w:p>
        <w:p>
          <w:pPr>
            <w:overflowPunct w:val="0"/>
            <w:jc w:val="both"/>
            <w:textAlignment w:val="baseline"/>
          </w:pPr>
          <w:r>
            <w:t>Ūkininkas</w:t>
            <w:tab/>
            <w:tab/>
            <w:tab/>
            <w:t>_________________</w:t>
            <w:tab/>
            <w:t>_________________________</w:t>
          </w:r>
        </w:p>
        <w:p>
          <w:pPr>
            <w:overflowPunct w:val="0"/>
            <w:ind w:left="2596" w:firstLine="1298"/>
            <w:jc w:val="both"/>
            <w:textAlignment w:val="baseline"/>
            <w:rPr>
              <w:sz w:val="20"/>
            </w:rPr>
          </w:pPr>
          <w:r>
            <w:rPr>
              <w:sz w:val="20"/>
            </w:rPr>
            <w:t>(parašas)</w:t>
            <w:tab/>
          </w:r>
          <w:r>
            <w:tab/>
          </w:r>
          <w:r>
            <w:rPr>
              <w:sz w:val="20"/>
            </w:rPr>
            <w:t>(vardas, pavardė)</w:t>
          </w:r>
        </w:p>
        <w:sdt>
          <w:sdtPr>
            <w:alias w:val="pabaiga"/>
            <w:tag w:val="part_35b486b607a646879597b9bcd30a0d45"/>
            <w:lock w:val="sdtLocked"/>
            <w:richText/>
          </w:sdtPr>
          <w:sdtContent>
            <w:p>
              <w:pPr>
                <w:overflowPunct w:val="0"/>
                <w:jc w:val="center"/>
                <w:textAlignment w:val="baseline"/>
              </w:pPr>
              <w: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ba5c0506f11e4a698d921e3e46801">
            <w:r w:rsidRPr="00532B9F">
              <w:rPr>
                <w:rFonts w:ascii="Times New Roman" w:eastAsia="MS Mincho" w:hAnsi="Times New Roman"/>
                <w:sz w:val="20"/>
                <w:i/>
                <w:iCs/>
                <w:color w:val="0000FF" w:themeColor="hyperlink"/>
                <w:u w:val="single"/>
              </w:rPr>
              <w:t>3D-725</w:t>
            </w:r>
          </w:fldSimple>
          <w:r>
            <w:rPr>
              <w:rFonts w:ascii="Times New Roman" w:eastAsia="MS Mincho" w:hAnsi="Times New Roman"/>
              <w:sz w:val="20"/>
              <w:i/>
              <w:iCs/>
            </w:rPr>
            <w:t>,
2014-10-10,
paskelbta TAR 2014-10-10, i. k. 2014-13951            </w:t>
          </w:r>
        </w:p>
        <w:p/>
      </w:sdtContent>
    </w:sdt>
    <w:sdt>
      <w:sdtPr>
        <w:alias w:val="12 pr."/>
        <w:tag w:val="part_6b97ccd8a718404787d49c77c8a2c409"/>
        <w:lock w:val="sdtLocked"/>
        <w:richText/>
      </w:sdtPr>
      <w:sdtContent>
        <w:p>
          <w:pPr>
            <w:overflowPunct w:val="0"/>
            <w:jc w:val="both"/>
            <w:textAlignment w:val="baseline"/>
            <w:rPr>
              <w:sz w:val="20"/>
            </w:rPr>
          </w:pPr>
          <w:r>
            <w:rPr>
              <w:sz w:val="20"/>
            </w:rPr>
            <w:br w:type="page"/>
          </w:r>
        </w:p>
        <w:p>
          <w:pPr>
            <w:overflowPunct w:val="0"/>
            <w:ind w:left="3402" w:firstLine="2977"/>
            <w:jc w:val="both"/>
            <w:textAlignment w:val="baseline"/>
            <w:rPr>
              <w:szCs w:val="24"/>
            </w:rPr>
          </w:pPr>
          <w:r>
            <w:rPr>
              <w:szCs w:val="24"/>
            </w:rPr>
            <w:t>Ūkininko ūkio veiklos</w:t>
          </w:r>
        </w:p>
        <w:p>
          <w:pPr>
            <w:overflowPunct w:val="0"/>
            <w:ind w:left="6379"/>
            <w:jc w:val="both"/>
            <w:textAlignment w:val="baseline"/>
            <w:rPr>
              <w:szCs w:val="24"/>
            </w:rPr>
          </w:pPr>
          <w:r>
            <w:rPr>
              <w:szCs w:val="24"/>
            </w:rPr>
            <w:t>buhalterinės apskaitos tvarkymo</w:t>
          </w:r>
        </w:p>
        <w:p>
          <w:pPr>
            <w:overflowPunct w:val="0"/>
            <w:ind w:left="6379"/>
            <w:jc w:val="both"/>
            <w:textAlignment w:val="baseline"/>
            <w:rPr>
              <w:szCs w:val="24"/>
            </w:rPr>
          </w:pPr>
          <w:r>
            <w:rPr>
              <w:szCs w:val="24"/>
            </w:rPr>
            <w:t>supaprastintąja apskaitos sistema</w:t>
          </w:r>
        </w:p>
        <w:p>
          <w:pPr>
            <w:overflowPunct w:val="0"/>
            <w:ind w:left="6379"/>
            <w:jc w:val="both"/>
            <w:textAlignment w:val="baseline"/>
            <w:rPr>
              <w:szCs w:val="24"/>
            </w:rPr>
          </w:pPr>
          <w:r>
            <w:rPr>
              <w:szCs w:val="24"/>
            </w:rPr>
            <w:t xml:space="preserve">rekomendacijų </w:t>
          </w:r>
        </w:p>
        <w:p>
          <w:pPr>
            <w:overflowPunct w:val="0"/>
            <w:ind w:left="6379"/>
            <w:jc w:val="both"/>
            <w:textAlignment w:val="baseline"/>
            <w:rPr>
              <w:szCs w:val="24"/>
            </w:rPr>
          </w:pPr>
          <w:sdt>
            <w:sdtPr>
              <w:alias w:val="Numeris"/>
              <w:tag w:val="nr_6b97ccd8a718404787d49c77c8a2c409"/>
              <w:lock w:val="sdtLocked"/>
              <w:richText/>
            </w:sdtPr>
            <w:sdtContent>
              <w:r>
                <w:rPr>
                  <w:szCs w:val="24"/>
                </w:rPr>
                <w:t>12</w:t>
              </w:r>
            </w:sdtContent>
          </w:sdt>
          <w:r>
            <w:rPr>
              <w:szCs w:val="24"/>
            </w:rPr>
            <w:t xml:space="preserve">  priedas</w:t>
          </w:r>
        </w:p>
        <w:p>
          <w:pPr>
            <w:overflowPunct w:val="0"/>
            <w:spacing w:line="276" w:lineRule="auto"/>
            <w:jc w:val="center"/>
            <w:textAlignment w:val="baseline"/>
          </w:pPr>
          <w:r>
            <w:t>Ūkininko ________________________________ ūkis</w:t>
          </w:r>
        </w:p>
        <w:p>
          <w:pPr>
            <w:overflowPunct w:val="0"/>
            <w:spacing w:line="276" w:lineRule="auto"/>
            <w:jc w:val="center"/>
            <w:textAlignment w:val="baseline"/>
          </w:pPr>
          <w:r>
            <w:t>Ūkininko ūkio įregistravimo pažymėjimo Nr. ___________</w:t>
          </w:r>
        </w:p>
        <w:p>
          <w:pPr>
            <w:overflowPunct w:val="0"/>
            <w:spacing w:line="276" w:lineRule="auto"/>
            <w:jc w:val="center"/>
            <w:textAlignment w:val="baseline"/>
          </w:pPr>
          <w:r>
            <w:t>Adresas ____________________________________________</w:t>
          </w:r>
        </w:p>
        <w:p>
          <w:pPr>
            <w:overflowPunct w:val="0"/>
            <w:spacing w:line="276" w:lineRule="auto"/>
            <w:jc w:val="center"/>
            <w:textAlignment w:val="baseline"/>
            <w:rPr>
              <w:b/>
              <w:bCs/>
              <w:sz w:val="22"/>
              <w:szCs w:val="22"/>
            </w:rPr>
          </w:pPr>
          <w:r>
            <w:rPr>
              <w:b/>
              <w:bCs/>
              <w:sz w:val="22"/>
              <w:szCs w:val="22"/>
            </w:rPr>
            <w:t>PELNO (NUOSTOLIŲ) ATASKAITA</w:t>
          </w:r>
        </w:p>
        <w:p>
          <w:pPr>
            <w:overflowPunct w:val="0"/>
            <w:spacing w:line="276" w:lineRule="auto"/>
            <w:jc w:val="center"/>
            <w:textAlignment w:val="baseline"/>
            <w:rPr>
              <w:b/>
            </w:rPr>
          </w:pPr>
          <w:r>
            <w:rPr>
              <w:b/>
            </w:rPr>
            <w:t>(apskaitą tvarkant supaprastintąja apskaitos sistema)</w:t>
          </w:r>
        </w:p>
        <w:p>
          <w:pPr>
            <w:overflowPunct w:val="0"/>
            <w:spacing w:line="276" w:lineRule="auto"/>
            <w:jc w:val="center"/>
            <w:textAlignment w:val="baseline"/>
          </w:pPr>
          <w:r>
            <w:t>_____________ Nr. _____________</w:t>
          </w:r>
        </w:p>
        <w:p>
          <w:pPr>
            <w:overflowPunct w:val="0"/>
            <w:spacing w:line="276" w:lineRule="auto"/>
            <w:ind w:left="3544"/>
            <w:jc w:val="both"/>
            <w:textAlignment w:val="baseline"/>
            <w:rPr>
              <w:sz w:val="20"/>
            </w:rPr>
          </w:pPr>
          <w:r>
            <w:rPr>
              <w:sz w:val="20"/>
            </w:rPr>
            <w:t>(data)</w:t>
          </w:r>
        </w:p>
        <w:p>
          <w:pPr>
            <w:overflowPunct w:val="0"/>
            <w:ind w:left="7513"/>
            <w:jc w:val="both"/>
            <w:textAlignment w:val="baseline"/>
          </w:pPr>
          <w:r>
            <w:t>_______________</w:t>
          </w:r>
        </w:p>
        <w:p>
          <w:pPr>
            <w:overflowPunct w:val="0"/>
            <w:ind w:left="8080"/>
            <w:jc w:val="both"/>
            <w:textAlignment w:val="baseline"/>
            <w:rPr>
              <w:sz w:val="20"/>
            </w:rPr>
          </w:pPr>
          <w:r>
            <w:rPr>
              <w:sz w:val="20"/>
            </w:rPr>
            <w:t>(valiuta)</w:t>
          </w:r>
        </w:p>
        <w:tbl>
          <w:tblPr>
            <w:tblW w:w="9682" w:type="dxa"/>
            <w:tblInd w:w="-34" w:type="dxa"/>
            <w:tblLook w:val="0000" w:firstRow="0" w:lastRow="0" w:firstColumn="0" w:lastColumn="0" w:noHBand="0" w:noVBand="0"/>
          </w:tblPr>
          <w:tblGrid>
            <w:gridCol w:w="6379"/>
            <w:gridCol w:w="1701"/>
            <w:gridCol w:w="1602"/>
          </w:tblGrid>
          <w:tr>
            <w:trPr>
              <w:trHeight w:val="255"/>
            </w:trPr>
            <w:tc>
              <w:tcPr>
                <w:tcW w:w="6379" w:type="dxa"/>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b/>
                    <w:bCs/>
                    <w:sz w:val="22"/>
                    <w:szCs w:val="22"/>
                  </w:rPr>
                </w:pPr>
                <w:r>
                  <w:rPr>
                    <w:b/>
                    <w:bCs/>
                    <w:sz w:val="22"/>
                    <w:szCs w:val="22"/>
                  </w:rPr>
                  <w:t>Rodikliai</w:t>
                </w:r>
              </w:p>
            </w:tc>
            <w:tc>
              <w:tcPr>
                <w:tcW w:w="1701" w:type="dxa"/>
                <w:tcBorders>
                  <w:top w:val="single" w:sz="4" w:space="0" w:color="auto"/>
                  <w:left w:val="nil"/>
                  <w:bottom w:val="single" w:sz="4" w:space="0" w:color="auto"/>
                  <w:right w:val="single" w:sz="4" w:space="0" w:color="auto"/>
                </w:tcBorders>
                <w:noWrap/>
                <w:vAlign w:val="center"/>
              </w:tcPr>
              <w:p>
                <w:pPr>
                  <w:overflowPunct w:val="0"/>
                  <w:jc w:val="center"/>
                  <w:textAlignment w:val="baseline"/>
                  <w:rPr>
                    <w:b/>
                    <w:bCs/>
                    <w:sz w:val="22"/>
                    <w:szCs w:val="22"/>
                  </w:rPr>
                </w:pPr>
                <w:r>
                  <w:rPr>
                    <w:b/>
                    <w:bCs/>
                    <w:sz w:val="22"/>
                    <w:szCs w:val="22"/>
                  </w:rPr>
                  <w:t xml:space="preserve">Finansiniai </w:t>
                </w:r>
              </w:p>
              <w:p>
                <w:pPr>
                  <w:overflowPunct w:val="0"/>
                  <w:jc w:val="center"/>
                  <w:textAlignment w:val="baseline"/>
                  <w:rPr>
                    <w:b/>
                    <w:bCs/>
                    <w:sz w:val="22"/>
                    <w:szCs w:val="22"/>
                  </w:rPr>
                </w:pPr>
                <w:r>
                  <w:rPr>
                    <w:b/>
                    <w:bCs/>
                    <w:sz w:val="22"/>
                    <w:szCs w:val="22"/>
                  </w:rPr>
                  <w:t>metai</w:t>
                </w:r>
              </w:p>
            </w:tc>
            <w:tc>
              <w:tcPr>
                <w:tcW w:w="1602" w:type="dxa"/>
                <w:tcBorders>
                  <w:top w:val="single" w:sz="4" w:space="0" w:color="auto"/>
                  <w:left w:val="nil"/>
                  <w:bottom w:val="single" w:sz="4" w:space="0" w:color="auto"/>
                  <w:right w:val="single" w:sz="4" w:space="0" w:color="auto"/>
                </w:tcBorders>
                <w:vAlign w:val="center"/>
              </w:tcPr>
              <w:p>
                <w:pPr>
                  <w:overflowPunct w:val="0"/>
                  <w:jc w:val="center"/>
                  <w:textAlignment w:val="baseline"/>
                  <w:rPr>
                    <w:b/>
                    <w:bCs/>
                    <w:sz w:val="22"/>
                    <w:szCs w:val="22"/>
                  </w:rPr>
                </w:pPr>
                <w:r>
                  <w:rPr>
                    <w:b/>
                    <w:bCs/>
                    <w:sz w:val="22"/>
                    <w:szCs w:val="22"/>
                  </w:rPr>
                  <w:t>Praėję finansiniai</w:t>
                </w:r>
              </w:p>
              <w:p>
                <w:pPr>
                  <w:overflowPunct w:val="0"/>
                  <w:jc w:val="center"/>
                  <w:textAlignment w:val="baseline"/>
                  <w:rPr>
                    <w:b/>
                    <w:bCs/>
                    <w:sz w:val="22"/>
                    <w:szCs w:val="22"/>
                  </w:rPr>
                </w:pPr>
                <w:r>
                  <w:rPr>
                    <w:b/>
                    <w:bCs/>
                    <w:sz w:val="22"/>
                    <w:szCs w:val="22"/>
                  </w:rPr>
                  <w:t>metai</w:t>
                </w:r>
              </w:p>
            </w:tc>
          </w:tr>
          <w:tr>
            <w:trPr>
              <w:trHeight w:val="255"/>
            </w:trPr>
            <w:tc>
              <w:tcPr>
                <w:tcW w:w="6379" w:type="dxa"/>
                <w:tcBorders>
                  <w:top w:val="single" w:sz="4" w:space="0" w:color="auto"/>
                  <w:left w:val="single" w:sz="4" w:space="0" w:color="auto"/>
                  <w:bottom w:val="single" w:sz="4" w:space="0" w:color="auto"/>
                  <w:right w:val="single" w:sz="4" w:space="0" w:color="auto"/>
                </w:tcBorders>
              </w:tcPr>
              <w:p>
                <w:pPr>
                  <w:overflowPunct w:val="0"/>
                  <w:jc w:val="both"/>
                  <w:textAlignment w:val="baseline"/>
                  <w:rPr>
                    <w:b/>
                    <w:bCs/>
                    <w:sz w:val="22"/>
                    <w:szCs w:val="22"/>
                  </w:rPr>
                </w:pPr>
                <w:r>
                  <w:rPr>
                    <w:b/>
                    <w:bCs/>
                    <w:sz w:val="22"/>
                    <w:szCs w:val="22"/>
                  </w:rPr>
                  <w:t xml:space="preserve">1. </w:t>
                </w:r>
                <w:r>
                  <w:rPr>
                    <w:b/>
                    <w:bCs/>
                    <w:caps/>
                    <w:sz w:val="22"/>
                    <w:szCs w:val="22"/>
                  </w:rPr>
                  <w:t>p</w:t>
                </w:r>
                <w:r>
                  <w:rPr>
                    <w:b/>
                    <w:bCs/>
                    <w:sz w:val="22"/>
                    <w:szCs w:val="22"/>
                  </w:rPr>
                  <w:t>iniginės įplaukos</w:t>
                </w:r>
              </w:p>
            </w:tc>
            <w:tc>
              <w:tcPr>
                <w:tcW w:w="1701" w:type="dxa"/>
                <w:tcBorders>
                  <w:top w:val="single" w:sz="4" w:space="0" w:color="auto"/>
                  <w:left w:val="nil"/>
                  <w:bottom w:val="single" w:sz="4" w:space="0" w:color="auto"/>
                  <w:right w:val="single" w:sz="4" w:space="0" w:color="auto"/>
                </w:tcBorders>
                <w:noWrap/>
                <w:vAlign w:val="bottom"/>
              </w:tcPr>
              <w:p>
                <w:pPr>
                  <w:overflowPunct w:val="0"/>
                  <w:ind w:right="284"/>
                  <w:jc w:val="right"/>
                  <w:textAlignment w:val="baseline"/>
                  <w:rPr>
                    <w:b/>
                    <w:bCs/>
                    <w:sz w:val="22"/>
                    <w:szCs w:val="22"/>
                  </w:rPr>
                </w:pPr>
              </w:p>
            </w:tc>
            <w:tc>
              <w:tcPr>
                <w:tcW w:w="1602" w:type="dxa"/>
                <w:tcBorders>
                  <w:top w:val="single" w:sz="4" w:space="0" w:color="auto"/>
                  <w:left w:val="nil"/>
                  <w:bottom w:val="single" w:sz="4" w:space="0" w:color="auto"/>
                  <w:right w:val="single" w:sz="4" w:space="0" w:color="auto"/>
                </w:tcBorders>
                <w:vAlign w:val="bottom"/>
              </w:tcPr>
              <w:p>
                <w:pPr>
                  <w:overflowPunct w:val="0"/>
                  <w:ind w:right="284"/>
                  <w:jc w:val="right"/>
                  <w:textAlignment w:val="baseline"/>
                  <w:rPr>
                    <w:b/>
                    <w:bCs/>
                    <w:sz w:val="22"/>
                    <w:szCs w:val="22"/>
                  </w:rPr>
                </w:pPr>
              </w:p>
            </w:tc>
          </w:tr>
          <w:tr>
            <w:trPr>
              <w:trHeight w:val="255"/>
            </w:trPr>
            <w:tc>
              <w:tcPr>
                <w:tcW w:w="6379" w:type="dxa"/>
                <w:tcBorders>
                  <w:top w:val="single" w:sz="4" w:space="0" w:color="auto"/>
                  <w:left w:val="single" w:sz="4" w:space="0" w:color="auto"/>
                  <w:bottom w:val="single" w:sz="4" w:space="0" w:color="auto"/>
                  <w:right w:val="single" w:sz="4" w:space="0" w:color="auto"/>
                </w:tcBorders>
              </w:tcPr>
              <w:p>
                <w:pPr>
                  <w:overflowPunct w:val="0"/>
                  <w:jc w:val="both"/>
                  <w:textAlignment w:val="baseline"/>
                  <w:rPr>
                    <w:sz w:val="22"/>
                    <w:szCs w:val="22"/>
                  </w:rPr>
                </w:pPr>
                <w:r>
                  <w:rPr>
                    <w:sz w:val="22"/>
                    <w:szCs w:val="22"/>
                  </w:rPr>
                  <w:t>2. Pirkėjų skolų padidėjimas(+)</w:t>
                </w:r>
              </w:p>
            </w:tc>
            <w:tc>
              <w:tcPr>
                <w:tcW w:w="1701" w:type="dxa"/>
                <w:tcBorders>
                  <w:top w:val="single" w:sz="4" w:space="0" w:color="auto"/>
                  <w:left w:val="nil"/>
                  <w:bottom w:val="single" w:sz="4" w:space="0" w:color="auto"/>
                  <w:right w:val="single" w:sz="4" w:space="0" w:color="auto"/>
                </w:tcBorders>
                <w:noWrap/>
                <w:vAlign w:val="bottom"/>
              </w:tcPr>
              <w:p>
                <w:pPr>
                  <w:overflowPunct w:val="0"/>
                  <w:ind w:right="284"/>
                  <w:jc w:val="right"/>
                  <w:textAlignment w:val="baseline"/>
                  <w:rPr>
                    <w:b/>
                    <w:bCs/>
                    <w:sz w:val="22"/>
                    <w:szCs w:val="22"/>
                  </w:rPr>
                </w:pPr>
              </w:p>
            </w:tc>
            <w:tc>
              <w:tcPr>
                <w:tcW w:w="1602" w:type="dxa"/>
                <w:tcBorders>
                  <w:top w:val="single" w:sz="4" w:space="0" w:color="auto"/>
                  <w:left w:val="nil"/>
                  <w:bottom w:val="single" w:sz="4" w:space="0" w:color="auto"/>
                  <w:right w:val="single" w:sz="4" w:space="0" w:color="auto"/>
                </w:tcBorders>
                <w:vAlign w:val="bottom"/>
              </w:tcPr>
              <w:p>
                <w:pPr>
                  <w:overflowPunct w:val="0"/>
                  <w:ind w:right="284"/>
                  <w:jc w:val="right"/>
                  <w:textAlignment w:val="baseline"/>
                  <w:rPr>
                    <w:b/>
                    <w:bCs/>
                    <w:sz w:val="22"/>
                    <w:szCs w:val="22"/>
                  </w:rPr>
                </w:pPr>
              </w:p>
            </w:tc>
          </w:tr>
          <w:tr>
            <w:trPr>
              <w:trHeight w:val="255"/>
            </w:trPr>
            <w:tc>
              <w:tcPr>
                <w:tcW w:w="6379" w:type="dxa"/>
                <w:tcBorders>
                  <w:top w:val="single" w:sz="4" w:space="0" w:color="auto"/>
                  <w:left w:val="single" w:sz="4" w:space="0" w:color="auto"/>
                  <w:bottom w:val="single" w:sz="4" w:space="0" w:color="auto"/>
                  <w:right w:val="single" w:sz="4" w:space="0" w:color="auto"/>
                </w:tcBorders>
              </w:tcPr>
              <w:p>
                <w:pPr>
                  <w:tabs>
                    <w:tab w:val="center" w:pos="4153"/>
                    <w:tab w:val="right" w:pos="8306"/>
                  </w:tabs>
                  <w:overflowPunct w:val="0"/>
                  <w:jc w:val="both"/>
                  <w:textAlignment w:val="baseline"/>
                  <w:rPr>
                    <w:sz w:val="22"/>
                    <w:szCs w:val="22"/>
                  </w:rPr>
                </w:pPr>
                <w:r>
                  <w:rPr>
                    <w:sz w:val="22"/>
                    <w:szCs w:val="22"/>
                  </w:rPr>
                  <w:t>3. Pirkėjų skolų sumažėjimas (-)</w:t>
                </w:r>
              </w:p>
            </w:tc>
            <w:tc>
              <w:tcPr>
                <w:tcW w:w="1701" w:type="dxa"/>
                <w:tcBorders>
                  <w:top w:val="single" w:sz="4" w:space="0" w:color="auto"/>
                  <w:left w:val="nil"/>
                  <w:bottom w:val="single" w:sz="4" w:space="0" w:color="auto"/>
                  <w:right w:val="single" w:sz="4" w:space="0" w:color="auto"/>
                </w:tcBorders>
                <w:noWrap/>
                <w:vAlign w:val="bottom"/>
              </w:tcPr>
              <w:p>
                <w:pPr>
                  <w:overflowPunct w:val="0"/>
                  <w:ind w:right="284"/>
                  <w:jc w:val="right"/>
                  <w:textAlignment w:val="baseline"/>
                  <w:rPr>
                    <w:b/>
                    <w:bCs/>
                    <w:sz w:val="22"/>
                    <w:szCs w:val="22"/>
                  </w:rPr>
                </w:pPr>
              </w:p>
            </w:tc>
            <w:tc>
              <w:tcPr>
                <w:tcW w:w="1602" w:type="dxa"/>
                <w:tcBorders>
                  <w:top w:val="single" w:sz="4" w:space="0" w:color="auto"/>
                  <w:left w:val="nil"/>
                  <w:bottom w:val="single" w:sz="4" w:space="0" w:color="auto"/>
                  <w:right w:val="single" w:sz="4" w:space="0" w:color="auto"/>
                </w:tcBorders>
                <w:vAlign w:val="bottom"/>
              </w:tcPr>
              <w:p>
                <w:pPr>
                  <w:overflowPunct w:val="0"/>
                  <w:ind w:right="284"/>
                  <w:jc w:val="right"/>
                  <w:textAlignment w:val="baseline"/>
                  <w:rPr>
                    <w:b/>
                    <w:bCs/>
                    <w:sz w:val="22"/>
                    <w:szCs w:val="22"/>
                  </w:rPr>
                </w:pPr>
              </w:p>
            </w:tc>
          </w:tr>
          <w:tr>
            <w:trPr>
              <w:trHeight w:val="255"/>
            </w:trPr>
            <w:tc>
              <w:tcPr>
                <w:tcW w:w="6379" w:type="dxa"/>
                <w:tcBorders>
                  <w:top w:val="single" w:sz="4" w:space="0" w:color="auto"/>
                  <w:left w:val="single" w:sz="4" w:space="0" w:color="auto"/>
                  <w:bottom w:val="single" w:sz="4" w:space="0" w:color="auto"/>
                  <w:right w:val="single" w:sz="4" w:space="0" w:color="000000"/>
                </w:tcBorders>
              </w:tcPr>
              <w:p>
                <w:pPr>
                  <w:overflowPunct w:val="0"/>
                  <w:jc w:val="both"/>
                  <w:textAlignment w:val="baseline"/>
                  <w:rPr>
                    <w:sz w:val="22"/>
                    <w:szCs w:val="22"/>
                  </w:rPr>
                </w:pPr>
                <w:r>
                  <w:rPr>
                    <w:sz w:val="22"/>
                    <w:szCs w:val="22"/>
                  </w:rPr>
                  <w:t>4. Kitų skolų ūkiui padidėjimas(+)</w:t>
                </w:r>
              </w:p>
            </w:tc>
            <w:tc>
              <w:tcPr>
                <w:tcW w:w="1701" w:type="dxa"/>
                <w:tcBorders>
                  <w:top w:val="single" w:sz="4" w:space="0" w:color="auto"/>
                  <w:left w:val="nil"/>
                  <w:bottom w:val="single" w:sz="4" w:space="0" w:color="auto"/>
                  <w:right w:val="single" w:sz="4" w:space="0" w:color="auto"/>
                </w:tcBorders>
                <w:noWrap/>
                <w:vAlign w:val="bottom"/>
              </w:tcPr>
              <w:p>
                <w:pPr>
                  <w:overflowPunct w:val="0"/>
                  <w:ind w:right="284"/>
                  <w:jc w:val="right"/>
                  <w:textAlignment w:val="baseline"/>
                  <w:rPr>
                    <w:b/>
                    <w:bCs/>
                    <w:sz w:val="22"/>
                    <w:szCs w:val="22"/>
                  </w:rPr>
                </w:pPr>
              </w:p>
            </w:tc>
            <w:tc>
              <w:tcPr>
                <w:tcW w:w="1602" w:type="dxa"/>
                <w:tcBorders>
                  <w:top w:val="single" w:sz="4" w:space="0" w:color="auto"/>
                  <w:left w:val="nil"/>
                  <w:bottom w:val="single" w:sz="4" w:space="0" w:color="auto"/>
                  <w:right w:val="single" w:sz="4" w:space="0" w:color="auto"/>
                </w:tcBorders>
                <w:vAlign w:val="bottom"/>
              </w:tcPr>
              <w:p>
                <w:pPr>
                  <w:overflowPunct w:val="0"/>
                  <w:ind w:right="284"/>
                  <w:jc w:val="right"/>
                  <w:textAlignment w:val="baseline"/>
                  <w:rPr>
                    <w:b/>
                    <w:bCs/>
                    <w:sz w:val="22"/>
                    <w:szCs w:val="22"/>
                  </w:rPr>
                </w:pPr>
              </w:p>
            </w:tc>
          </w:tr>
          <w:tr>
            <w:trPr>
              <w:trHeight w:val="255"/>
            </w:trPr>
            <w:tc>
              <w:tcPr>
                <w:tcW w:w="6379" w:type="dxa"/>
                <w:tcBorders>
                  <w:top w:val="single" w:sz="4" w:space="0" w:color="auto"/>
                  <w:left w:val="single" w:sz="4" w:space="0" w:color="auto"/>
                  <w:bottom w:val="single" w:sz="4" w:space="0" w:color="auto"/>
                  <w:right w:val="single" w:sz="4" w:space="0" w:color="000000"/>
                </w:tcBorders>
              </w:tcPr>
              <w:p>
                <w:pPr>
                  <w:overflowPunct w:val="0"/>
                  <w:jc w:val="both"/>
                  <w:textAlignment w:val="baseline"/>
                  <w:rPr>
                    <w:sz w:val="22"/>
                    <w:szCs w:val="22"/>
                  </w:rPr>
                </w:pPr>
                <w:r>
                  <w:rPr>
                    <w:sz w:val="22"/>
                    <w:szCs w:val="22"/>
                  </w:rPr>
                  <w:t>5. Kitų skolų ūkiui sumažėjimas (-)</w:t>
                </w:r>
              </w:p>
            </w:tc>
            <w:tc>
              <w:tcPr>
                <w:tcW w:w="1701" w:type="dxa"/>
                <w:tcBorders>
                  <w:top w:val="single" w:sz="4" w:space="0" w:color="auto"/>
                  <w:left w:val="nil"/>
                  <w:bottom w:val="single" w:sz="4" w:space="0" w:color="auto"/>
                  <w:right w:val="single" w:sz="4" w:space="0" w:color="auto"/>
                </w:tcBorders>
                <w:noWrap/>
                <w:vAlign w:val="bottom"/>
              </w:tcPr>
              <w:p>
                <w:pPr>
                  <w:overflowPunct w:val="0"/>
                  <w:ind w:right="284"/>
                  <w:jc w:val="right"/>
                  <w:textAlignment w:val="baseline"/>
                  <w:rPr>
                    <w:b/>
                    <w:bCs/>
                    <w:color w:val="008000"/>
                    <w:sz w:val="22"/>
                    <w:szCs w:val="22"/>
                  </w:rPr>
                </w:pPr>
              </w:p>
            </w:tc>
            <w:tc>
              <w:tcPr>
                <w:tcW w:w="1602" w:type="dxa"/>
                <w:tcBorders>
                  <w:top w:val="single" w:sz="4" w:space="0" w:color="auto"/>
                  <w:left w:val="nil"/>
                  <w:bottom w:val="single" w:sz="4" w:space="0" w:color="auto"/>
                  <w:right w:val="single" w:sz="4" w:space="0" w:color="auto"/>
                </w:tcBorders>
                <w:vAlign w:val="bottom"/>
              </w:tcPr>
              <w:p>
                <w:pPr>
                  <w:overflowPunct w:val="0"/>
                  <w:ind w:right="284"/>
                  <w:jc w:val="right"/>
                  <w:textAlignment w:val="baseline"/>
                  <w:rPr>
                    <w:b/>
                    <w:bCs/>
                    <w:color w:val="008000"/>
                    <w:sz w:val="22"/>
                    <w:szCs w:val="22"/>
                  </w:rPr>
                </w:pPr>
              </w:p>
            </w:tc>
          </w:tr>
          <w:tr>
            <w:trPr>
              <w:trHeight w:val="255"/>
            </w:trPr>
            <w:tc>
              <w:tcPr>
                <w:tcW w:w="6379" w:type="dxa"/>
                <w:tcBorders>
                  <w:top w:val="single" w:sz="4" w:space="0" w:color="auto"/>
                  <w:left w:val="single" w:sz="4" w:space="0" w:color="auto"/>
                  <w:bottom w:val="single" w:sz="4" w:space="0" w:color="auto"/>
                  <w:right w:val="single" w:sz="4" w:space="0" w:color="000000"/>
                </w:tcBorders>
              </w:tcPr>
              <w:p>
                <w:pPr>
                  <w:overflowPunct w:val="0"/>
                  <w:jc w:val="both"/>
                  <w:textAlignment w:val="baseline"/>
                  <w:rPr>
                    <w:sz w:val="22"/>
                    <w:szCs w:val="22"/>
                  </w:rPr>
                </w:pPr>
                <w:r>
                  <w:rPr>
                    <w:sz w:val="22"/>
                    <w:szCs w:val="22"/>
                  </w:rPr>
                  <w:t>6. Asmeninėms reikmėms suvartota produkcija(+)</w:t>
                </w:r>
              </w:p>
            </w:tc>
            <w:tc>
              <w:tcPr>
                <w:tcW w:w="1701" w:type="dxa"/>
                <w:tcBorders>
                  <w:top w:val="single" w:sz="4" w:space="0" w:color="auto"/>
                  <w:left w:val="nil"/>
                  <w:bottom w:val="single" w:sz="4" w:space="0" w:color="auto"/>
                  <w:right w:val="single" w:sz="4" w:space="0" w:color="auto"/>
                </w:tcBorders>
                <w:noWrap/>
                <w:vAlign w:val="bottom"/>
              </w:tcPr>
              <w:p>
                <w:pPr>
                  <w:overflowPunct w:val="0"/>
                  <w:ind w:right="284"/>
                  <w:jc w:val="right"/>
                  <w:textAlignment w:val="baseline"/>
                  <w:rPr>
                    <w:b/>
                    <w:bCs/>
                    <w:sz w:val="22"/>
                    <w:szCs w:val="22"/>
                  </w:rPr>
                </w:pPr>
              </w:p>
            </w:tc>
            <w:tc>
              <w:tcPr>
                <w:tcW w:w="1602" w:type="dxa"/>
                <w:tcBorders>
                  <w:top w:val="single" w:sz="4" w:space="0" w:color="auto"/>
                  <w:left w:val="nil"/>
                  <w:bottom w:val="single" w:sz="4" w:space="0" w:color="auto"/>
                  <w:right w:val="single" w:sz="4" w:space="0" w:color="auto"/>
                </w:tcBorders>
                <w:vAlign w:val="bottom"/>
              </w:tcPr>
              <w:p>
                <w:pPr>
                  <w:overflowPunct w:val="0"/>
                  <w:ind w:right="284"/>
                  <w:jc w:val="right"/>
                  <w:textAlignment w:val="baseline"/>
                  <w:rPr>
                    <w:b/>
                    <w:bCs/>
                    <w:sz w:val="22"/>
                    <w:szCs w:val="22"/>
                  </w:rPr>
                </w:pPr>
              </w:p>
            </w:tc>
          </w:tr>
          <w:tr>
            <w:trPr>
              <w:trHeight w:val="255"/>
            </w:trPr>
            <w:tc>
              <w:tcPr>
                <w:tcW w:w="6379" w:type="dxa"/>
                <w:tcBorders>
                  <w:top w:val="single" w:sz="4" w:space="0" w:color="auto"/>
                  <w:left w:val="single" w:sz="4" w:space="0" w:color="auto"/>
                  <w:bottom w:val="single" w:sz="4" w:space="0" w:color="auto"/>
                  <w:right w:val="single" w:sz="4" w:space="0" w:color="auto"/>
                </w:tcBorders>
              </w:tcPr>
              <w:p>
                <w:pPr>
                  <w:overflowPunct w:val="0"/>
                  <w:jc w:val="both"/>
                  <w:textAlignment w:val="baseline"/>
                  <w:rPr>
                    <w:b/>
                    <w:bCs/>
                    <w:sz w:val="22"/>
                    <w:szCs w:val="22"/>
                  </w:rPr>
                </w:pPr>
                <w:r>
                  <w:rPr>
                    <w:b/>
                    <w:bCs/>
                    <w:sz w:val="22"/>
                    <w:szCs w:val="22"/>
                  </w:rPr>
                  <w:t xml:space="preserve">7. </w:t>
                </w:r>
                <w:r>
                  <w:rPr>
                    <w:b/>
                    <w:bCs/>
                    <w:caps/>
                    <w:sz w:val="22"/>
                    <w:szCs w:val="22"/>
                  </w:rPr>
                  <w:t>Ūkio veiklos pajamos</w:t>
                </w:r>
                <w:r>
                  <w:rPr>
                    <w:b/>
                    <w:bCs/>
                    <w:sz w:val="22"/>
                    <w:szCs w:val="22"/>
                  </w:rPr>
                  <w:t xml:space="preserve"> (1...6 eil.)</w:t>
                </w:r>
              </w:p>
            </w:tc>
            <w:tc>
              <w:tcPr>
                <w:tcW w:w="1701" w:type="dxa"/>
                <w:tcBorders>
                  <w:top w:val="single" w:sz="4" w:space="0" w:color="auto"/>
                  <w:left w:val="nil"/>
                  <w:bottom w:val="single" w:sz="4" w:space="0" w:color="auto"/>
                  <w:right w:val="single" w:sz="4" w:space="0" w:color="auto"/>
                </w:tcBorders>
                <w:noWrap/>
                <w:vAlign w:val="bottom"/>
              </w:tcPr>
              <w:p>
                <w:pPr>
                  <w:overflowPunct w:val="0"/>
                  <w:ind w:right="284"/>
                  <w:jc w:val="right"/>
                  <w:textAlignment w:val="baseline"/>
                  <w:rPr>
                    <w:b/>
                    <w:bCs/>
                    <w:sz w:val="22"/>
                    <w:szCs w:val="22"/>
                  </w:rPr>
                </w:pPr>
              </w:p>
            </w:tc>
            <w:tc>
              <w:tcPr>
                <w:tcW w:w="1602" w:type="dxa"/>
                <w:tcBorders>
                  <w:top w:val="single" w:sz="4" w:space="0" w:color="auto"/>
                  <w:left w:val="nil"/>
                  <w:bottom w:val="single" w:sz="4" w:space="0" w:color="auto"/>
                  <w:right w:val="single" w:sz="4" w:space="0" w:color="auto"/>
                </w:tcBorders>
                <w:vAlign w:val="bottom"/>
              </w:tcPr>
              <w:p>
                <w:pPr>
                  <w:overflowPunct w:val="0"/>
                  <w:ind w:right="284"/>
                  <w:jc w:val="right"/>
                  <w:textAlignment w:val="baseline"/>
                  <w:rPr>
                    <w:b/>
                    <w:bCs/>
                    <w:sz w:val="22"/>
                    <w:szCs w:val="22"/>
                  </w:rPr>
                </w:pPr>
              </w:p>
            </w:tc>
          </w:tr>
          <w:tr>
            <w:trPr>
              <w:trHeight w:val="255"/>
            </w:trPr>
            <w:tc>
              <w:tcPr>
                <w:tcW w:w="6379" w:type="dxa"/>
                <w:tcBorders>
                  <w:top w:val="single" w:sz="4" w:space="0" w:color="auto"/>
                  <w:left w:val="single" w:sz="4" w:space="0" w:color="auto"/>
                  <w:bottom w:val="single" w:sz="4" w:space="0" w:color="auto"/>
                  <w:right w:val="single" w:sz="4" w:space="0" w:color="auto"/>
                </w:tcBorders>
              </w:tcPr>
              <w:p>
                <w:pPr>
                  <w:overflowPunct w:val="0"/>
                  <w:jc w:val="both"/>
                  <w:textAlignment w:val="baseline"/>
                  <w:rPr>
                    <w:b/>
                    <w:bCs/>
                    <w:sz w:val="22"/>
                    <w:szCs w:val="22"/>
                  </w:rPr>
                </w:pPr>
                <w:r>
                  <w:rPr>
                    <w:b/>
                    <w:bCs/>
                    <w:sz w:val="22"/>
                    <w:szCs w:val="22"/>
                  </w:rPr>
                  <w:t>8. Piniginės išlaidos</w:t>
                </w:r>
              </w:p>
            </w:tc>
            <w:tc>
              <w:tcPr>
                <w:tcW w:w="1701" w:type="dxa"/>
                <w:tcBorders>
                  <w:top w:val="single" w:sz="4" w:space="0" w:color="auto"/>
                  <w:left w:val="nil"/>
                  <w:bottom w:val="single" w:sz="4" w:space="0" w:color="auto"/>
                  <w:right w:val="single" w:sz="4" w:space="0" w:color="auto"/>
                </w:tcBorders>
                <w:noWrap/>
                <w:vAlign w:val="bottom"/>
              </w:tcPr>
              <w:p>
                <w:pPr>
                  <w:overflowPunct w:val="0"/>
                  <w:ind w:right="284"/>
                  <w:jc w:val="right"/>
                  <w:textAlignment w:val="baseline"/>
                  <w:rPr>
                    <w:b/>
                    <w:bCs/>
                    <w:sz w:val="22"/>
                    <w:szCs w:val="22"/>
                  </w:rPr>
                </w:pPr>
              </w:p>
            </w:tc>
            <w:tc>
              <w:tcPr>
                <w:tcW w:w="1602" w:type="dxa"/>
                <w:tcBorders>
                  <w:top w:val="single" w:sz="4" w:space="0" w:color="auto"/>
                  <w:left w:val="nil"/>
                  <w:bottom w:val="single" w:sz="4" w:space="0" w:color="auto"/>
                  <w:right w:val="single" w:sz="4" w:space="0" w:color="auto"/>
                </w:tcBorders>
                <w:vAlign w:val="bottom"/>
              </w:tcPr>
              <w:p>
                <w:pPr>
                  <w:overflowPunct w:val="0"/>
                  <w:ind w:right="284"/>
                  <w:jc w:val="right"/>
                  <w:textAlignment w:val="baseline"/>
                  <w:rPr>
                    <w:b/>
                    <w:bCs/>
                    <w:sz w:val="22"/>
                    <w:szCs w:val="22"/>
                  </w:rPr>
                </w:pPr>
              </w:p>
            </w:tc>
          </w:tr>
          <w:tr>
            <w:trPr>
              <w:trHeight w:val="255"/>
            </w:trPr>
            <w:tc>
              <w:tcPr>
                <w:tcW w:w="6379" w:type="dxa"/>
                <w:tcBorders>
                  <w:top w:val="single" w:sz="4" w:space="0" w:color="auto"/>
                  <w:left w:val="single" w:sz="4" w:space="0" w:color="auto"/>
                  <w:bottom w:val="single" w:sz="4" w:space="0" w:color="auto"/>
                  <w:right w:val="single" w:sz="4" w:space="0" w:color="auto"/>
                </w:tcBorders>
              </w:tcPr>
              <w:p>
                <w:pPr>
                  <w:overflowPunct w:val="0"/>
                  <w:jc w:val="both"/>
                  <w:textAlignment w:val="baseline"/>
                  <w:rPr>
                    <w:sz w:val="22"/>
                    <w:szCs w:val="22"/>
                  </w:rPr>
                </w:pPr>
                <w:r>
                  <w:rPr>
                    <w:sz w:val="22"/>
                    <w:szCs w:val="22"/>
                  </w:rPr>
                  <w:t xml:space="preserve">9. Skolų tiekėjams padidėjimas </w:t>
                </w:r>
                <w:r>
                  <w:rPr>
                    <w:bCs/>
                    <w:sz w:val="22"/>
                    <w:szCs w:val="22"/>
                  </w:rPr>
                  <w:t>(+)</w:t>
                </w:r>
              </w:p>
            </w:tc>
            <w:tc>
              <w:tcPr>
                <w:tcW w:w="1701" w:type="dxa"/>
                <w:tcBorders>
                  <w:top w:val="single" w:sz="4" w:space="0" w:color="auto"/>
                  <w:left w:val="nil"/>
                  <w:bottom w:val="single" w:sz="4" w:space="0" w:color="auto"/>
                  <w:right w:val="single" w:sz="4" w:space="0" w:color="auto"/>
                </w:tcBorders>
                <w:noWrap/>
                <w:vAlign w:val="bottom"/>
              </w:tcPr>
              <w:p>
                <w:pPr>
                  <w:overflowPunct w:val="0"/>
                  <w:ind w:right="284"/>
                  <w:jc w:val="right"/>
                  <w:textAlignment w:val="baseline"/>
                  <w:rPr>
                    <w:b/>
                    <w:bCs/>
                    <w:sz w:val="22"/>
                    <w:szCs w:val="22"/>
                  </w:rPr>
                </w:pPr>
              </w:p>
            </w:tc>
            <w:tc>
              <w:tcPr>
                <w:tcW w:w="1602" w:type="dxa"/>
                <w:tcBorders>
                  <w:top w:val="single" w:sz="4" w:space="0" w:color="auto"/>
                  <w:left w:val="nil"/>
                  <w:bottom w:val="single" w:sz="4" w:space="0" w:color="auto"/>
                  <w:right w:val="single" w:sz="4" w:space="0" w:color="auto"/>
                </w:tcBorders>
                <w:vAlign w:val="bottom"/>
              </w:tcPr>
              <w:p>
                <w:pPr>
                  <w:overflowPunct w:val="0"/>
                  <w:ind w:right="284"/>
                  <w:jc w:val="right"/>
                  <w:textAlignment w:val="baseline"/>
                  <w:rPr>
                    <w:b/>
                    <w:bCs/>
                    <w:sz w:val="22"/>
                    <w:szCs w:val="22"/>
                  </w:rPr>
                </w:pPr>
              </w:p>
            </w:tc>
          </w:tr>
          <w:tr>
            <w:trPr>
              <w:trHeight w:val="255"/>
            </w:trPr>
            <w:tc>
              <w:tcPr>
                <w:tcW w:w="6379" w:type="dxa"/>
                <w:tcBorders>
                  <w:top w:val="single" w:sz="4" w:space="0" w:color="auto"/>
                  <w:left w:val="single" w:sz="4" w:space="0" w:color="auto"/>
                  <w:bottom w:val="single" w:sz="4" w:space="0" w:color="auto"/>
                  <w:right w:val="single" w:sz="4" w:space="0" w:color="auto"/>
                </w:tcBorders>
              </w:tcPr>
              <w:p>
                <w:pPr>
                  <w:overflowPunct w:val="0"/>
                  <w:jc w:val="both"/>
                  <w:textAlignment w:val="baseline"/>
                  <w:rPr>
                    <w:sz w:val="22"/>
                    <w:szCs w:val="22"/>
                  </w:rPr>
                </w:pPr>
                <w:r>
                  <w:rPr>
                    <w:sz w:val="22"/>
                    <w:szCs w:val="22"/>
                  </w:rPr>
                  <w:t xml:space="preserve">10. Skolų tiekėjams sumažėjimas </w:t>
                </w:r>
                <w:r>
                  <w:rPr>
                    <w:bCs/>
                    <w:sz w:val="22"/>
                    <w:szCs w:val="22"/>
                  </w:rPr>
                  <w:t>(-)</w:t>
                </w:r>
              </w:p>
            </w:tc>
            <w:tc>
              <w:tcPr>
                <w:tcW w:w="1701" w:type="dxa"/>
                <w:tcBorders>
                  <w:top w:val="single" w:sz="4" w:space="0" w:color="auto"/>
                  <w:left w:val="nil"/>
                  <w:bottom w:val="single" w:sz="4" w:space="0" w:color="auto"/>
                  <w:right w:val="single" w:sz="4" w:space="0" w:color="auto"/>
                </w:tcBorders>
                <w:noWrap/>
                <w:vAlign w:val="bottom"/>
              </w:tcPr>
              <w:p>
                <w:pPr>
                  <w:overflowPunct w:val="0"/>
                  <w:ind w:right="284"/>
                  <w:jc w:val="right"/>
                  <w:textAlignment w:val="baseline"/>
                  <w:rPr>
                    <w:b/>
                    <w:bCs/>
                    <w:sz w:val="22"/>
                    <w:szCs w:val="22"/>
                  </w:rPr>
                </w:pPr>
              </w:p>
            </w:tc>
            <w:tc>
              <w:tcPr>
                <w:tcW w:w="1602" w:type="dxa"/>
                <w:tcBorders>
                  <w:top w:val="single" w:sz="4" w:space="0" w:color="auto"/>
                  <w:left w:val="nil"/>
                  <w:bottom w:val="single" w:sz="4" w:space="0" w:color="auto"/>
                  <w:right w:val="single" w:sz="4" w:space="0" w:color="auto"/>
                </w:tcBorders>
                <w:vAlign w:val="bottom"/>
              </w:tcPr>
              <w:p>
                <w:pPr>
                  <w:overflowPunct w:val="0"/>
                  <w:ind w:right="284"/>
                  <w:jc w:val="right"/>
                  <w:textAlignment w:val="baseline"/>
                  <w:rPr>
                    <w:b/>
                    <w:bCs/>
                    <w:sz w:val="22"/>
                    <w:szCs w:val="22"/>
                  </w:rPr>
                </w:pPr>
              </w:p>
            </w:tc>
          </w:tr>
          <w:tr>
            <w:trPr>
              <w:trHeight w:val="255"/>
            </w:trPr>
            <w:tc>
              <w:tcPr>
                <w:tcW w:w="6379" w:type="dxa"/>
                <w:tcBorders>
                  <w:top w:val="single" w:sz="4" w:space="0" w:color="auto"/>
                  <w:left w:val="single" w:sz="4" w:space="0" w:color="auto"/>
                  <w:bottom w:val="single" w:sz="4" w:space="0" w:color="auto"/>
                  <w:right w:val="single" w:sz="4" w:space="0" w:color="auto"/>
                </w:tcBorders>
              </w:tcPr>
              <w:p>
                <w:pPr>
                  <w:overflowPunct w:val="0"/>
                  <w:jc w:val="both"/>
                  <w:textAlignment w:val="baseline"/>
                  <w:rPr>
                    <w:sz w:val="22"/>
                    <w:szCs w:val="22"/>
                  </w:rPr>
                </w:pPr>
                <w:r>
                  <w:rPr>
                    <w:sz w:val="22"/>
                    <w:szCs w:val="22"/>
                  </w:rPr>
                  <w:t xml:space="preserve">11. Kitų ūkio skolų padidėjimas </w:t>
                </w:r>
                <w:r>
                  <w:rPr>
                    <w:bCs/>
                    <w:sz w:val="22"/>
                    <w:szCs w:val="22"/>
                  </w:rPr>
                  <w:t>(+)</w:t>
                </w:r>
              </w:p>
            </w:tc>
            <w:tc>
              <w:tcPr>
                <w:tcW w:w="1701" w:type="dxa"/>
                <w:tcBorders>
                  <w:top w:val="single" w:sz="4" w:space="0" w:color="auto"/>
                  <w:left w:val="nil"/>
                  <w:bottom w:val="single" w:sz="4" w:space="0" w:color="auto"/>
                  <w:right w:val="single" w:sz="4" w:space="0" w:color="auto"/>
                </w:tcBorders>
                <w:noWrap/>
                <w:vAlign w:val="bottom"/>
              </w:tcPr>
              <w:p>
                <w:pPr>
                  <w:overflowPunct w:val="0"/>
                  <w:ind w:right="284"/>
                  <w:jc w:val="right"/>
                  <w:textAlignment w:val="baseline"/>
                  <w:rPr>
                    <w:b/>
                    <w:bCs/>
                    <w:sz w:val="22"/>
                    <w:szCs w:val="22"/>
                  </w:rPr>
                </w:pPr>
              </w:p>
            </w:tc>
            <w:tc>
              <w:tcPr>
                <w:tcW w:w="1602" w:type="dxa"/>
                <w:tcBorders>
                  <w:top w:val="single" w:sz="4" w:space="0" w:color="auto"/>
                  <w:left w:val="nil"/>
                  <w:bottom w:val="single" w:sz="4" w:space="0" w:color="auto"/>
                  <w:right w:val="single" w:sz="4" w:space="0" w:color="auto"/>
                </w:tcBorders>
                <w:vAlign w:val="bottom"/>
              </w:tcPr>
              <w:p>
                <w:pPr>
                  <w:overflowPunct w:val="0"/>
                  <w:ind w:right="284"/>
                  <w:jc w:val="right"/>
                  <w:textAlignment w:val="baseline"/>
                  <w:rPr>
                    <w:b/>
                    <w:bCs/>
                    <w:sz w:val="22"/>
                    <w:szCs w:val="22"/>
                  </w:rPr>
                </w:pPr>
              </w:p>
            </w:tc>
          </w:tr>
          <w:tr>
            <w:trPr>
              <w:trHeight w:val="255"/>
            </w:trPr>
            <w:tc>
              <w:tcPr>
                <w:tcW w:w="6379" w:type="dxa"/>
                <w:tcBorders>
                  <w:top w:val="single" w:sz="4" w:space="0" w:color="auto"/>
                  <w:left w:val="single" w:sz="4" w:space="0" w:color="auto"/>
                  <w:bottom w:val="single" w:sz="4" w:space="0" w:color="auto"/>
                  <w:right w:val="single" w:sz="4" w:space="0" w:color="auto"/>
                </w:tcBorders>
              </w:tcPr>
              <w:p>
                <w:pPr>
                  <w:overflowPunct w:val="0"/>
                  <w:jc w:val="both"/>
                  <w:textAlignment w:val="baseline"/>
                  <w:rPr>
                    <w:sz w:val="22"/>
                    <w:szCs w:val="22"/>
                  </w:rPr>
                </w:pPr>
                <w:r>
                  <w:rPr>
                    <w:sz w:val="22"/>
                    <w:szCs w:val="22"/>
                  </w:rPr>
                  <w:t>12. Kitų ūkio skolų sumažėjimas (-)</w:t>
                </w:r>
              </w:p>
            </w:tc>
            <w:tc>
              <w:tcPr>
                <w:tcW w:w="1701" w:type="dxa"/>
                <w:tcBorders>
                  <w:top w:val="single" w:sz="4" w:space="0" w:color="auto"/>
                  <w:left w:val="nil"/>
                  <w:bottom w:val="single" w:sz="4" w:space="0" w:color="auto"/>
                  <w:right w:val="single" w:sz="4" w:space="0" w:color="auto"/>
                </w:tcBorders>
                <w:noWrap/>
                <w:vAlign w:val="bottom"/>
              </w:tcPr>
              <w:p>
                <w:pPr>
                  <w:overflowPunct w:val="0"/>
                  <w:ind w:right="284"/>
                  <w:jc w:val="right"/>
                  <w:textAlignment w:val="baseline"/>
                  <w:rPr>
                    <w:b/>
                    <w:bCs/>
                    <w:sz w:val="22"/>
                    <w:szCs w:val="22"/>
                  </w:rPr>
                </w:pPr>
              </w:p>
            </w:tc>
            <w:tc>
              <w:tcPr>
                <w:tcW w:w="1602" w:type="dxa"/>
                <w:tcBorders>
                  <w:top w:val="single" w:sz="4" w:space="0" w:color="auto"/>
                  <w:left w:val="nil"/>
                  <w:bottom w:val="single" w:sz="4" w:space="0" w:color="auto"/>
                  <w:right w:val="single" w:sz="4" w:space="0" w:color="auto"/>
                </w:tcBorders>
                <w:vAlign w:val="bottom"/>
              </w:tcPr>
              <w:p>
                <w:pPr>
                  <w:overflowPunct w:val="0"/>
                  <w:ind w:right="284"/>
                  <w:jc w:val="right"/>
                  <w:textAlignment w:val="baseline"/>
                  <w:rPr>
                    <w:b/>
                    <w:bCs/>
                    <w:sz w:val="22"/>
                    <w:szCs w:val="22"/>
                  </w:rPr>
                </w:pPr>
              </w:p>
            </w:tc>
          </w:tr>
          <w:tr>
            <w:trPr>
              <w:trHeight w:val="255"/>
            </w:trPr>
            <w:tc>
              <w:tcPr>
                <w:tcW w:w="6379" w:type="dxa"/>
                <w:tcBorders>
                  <w:top w:val="single" w:sz="4" w:space="0" w:color="auto"/>
                  <w:left w:val="single" w:sz="4" w:space="0" w:color="auto"/>
                  <w:bottom w:val="single" w:sz="4" w:space="0" w:color="auto"/>
                  <w:right w:val="single" w:sz="4" w:space="0" w:color="auto"/>
                </w:tcBorders>
              </w:tcPr>
              <w:p>
                <w:pPr>
                  <w:overflowPunct w:val="0"/>
                  <w:jc w:val="both"/>
                  <w:textAlignment w:val="baseline"/>
                  <w:rPr>
                    <w:sz w:val="22"/>
                    <w:szCs w:val="22"/>
                  </w:rPr>
                </w:pPr>
                <w:r>
                  <w:rPr>
                    <w:sz w:val="22"/>
                    <w:szCs w:val="22"/>
                  </w:rPr>
                  <w:t>13. Atsargų likučių vertės sumažėjimas (+)</w:t>
                </w:r>
              </w:p>
            </w:tc>
            <w:tc>
              <w:tcPr>
                <w:tcW w:w="1701" w:type="dxa"/>
                <w:tcBorders>
                  <w:top w:val="single" w:sz="4" w:space="0" w:color="auto"/>
                  <w:left w:val="nil"/>
                  <w:bottom w:val="single" w:sz="4" w:space="0" w:color="auto"/>
                  <w:right w:val="single" w:sz="4" w:space="0" w:color="auto"/>
                </w:tcBorders>
                <w:noWrap/>
                <w:vAlign w:val="bottom"/>
              </w:tcPr>
              <w:p>
                <w:pPr>
                  <w:overflowPunct w:val="0"/>
                  <w:ind w:right="284"/>
                  <w:jc w:val="right"/>
                  <w:textAlignment w:val="baseline"/>
                  <w:rPr>
                    <w:b/>
                    <w:bCs/>
                    <w:sz w:val="22"/>
                    <w:szCs w:val="22"/>
                  </w:rPr>
                </w:pPr>
              </w:p>
            </w:tc>
            <w:tc>
              <w:tcPr>
                <w:tcW w:w="1602" w:type="dxa"/>
                <w:tcBorders>
                  <w:top w:val="single" w:sz="4" w:space="0" w:color="auto"/>
                  <w:left w:val="nil"/>
                  <w:bottom w:val="single" w:sz="4" w:space="0" w:color="auto"/>
                  <w:right w:val="single" w:sz="4" w:space="0" w:color="auto"/>
                </w:tcBorders>
                <w:vAlign w:val="bottom"/>
              </w:tcPr>
              <w:p>
                <w:pPr>
                  <w:overflowPunct w:val="0"/>
                  <w:ind w:right="284"/>
                  <w:jc w:val="right"/>
                  <w:textAlignment w:val="baseline"/>
                  <w:rPr>
                    <w:b/>
                    <w:bCs/>
                    <w:sz w:val="22"/>
                    <w:szCs w:val="22"/>
                  </w:rPr>
                </w:pPr>
              </w:p>
            </w:tc>
          </w:tr>
          <w:tr>
            <w:trPr>
              <w:trHeight w:val="255"/>
            </w:trPr>
            <w:tc>
              <w:tcPr>
                <w:tcW w:w="6379" w:type="dxa"/>
                <w:tcBorders>
                  <w:top w:val="single" w:sz="4" w:space="0" w:color="auto"/>
                  <w:left w:val="single" w:sz="4" w:space="0" w:color="auto"/>
                  <w:bottom w:val="single" w:sz="4" w:space="0" w:color="auto"/>
                  <w:right w:val="single" w:sz="4" w:space="0" w:color="auto"/>
                </w:tcBorders>
              </w:tcPr>
              <w:p>
                <w:pPr>
                  <w:overflowPunct w:val="0"/>
                  <w:jc w:val="both"/>
                  <w:textAlignment w:val="baseline"/>
                  <w:rPr>
                    <w:sz w:val="22"/>
                    <w:szCs w:val="22"/>
                  </w:rPr>
                </w:pPr>
                <w:r>
                  <w:rPr>
                    <w:sz w:val="22"/>
                    <w:szCs w:val="22"/>
                  </w:rPr>
                  <w:t>14. Atsargų likučių vertės padidėjimas (-)</w:t>
                </w:r>
              </w:p>
            </w:tc>
            <w:tc>
              <w:tcPr>
                <w:tcW w:w="1701" w:type="dxa"/>
                <w:tcBorders>
                  <w:top w:val="single" w:sz="4" w:space="0" w:color="auto"/>
                  <w:left w:val="nil"/>
                  <w:bottom w:val="single" w:sz="4" w:space="0" w:color="auto"/>
                  <w:right w:val="single" w:sz="4" w:space="0" w:color="auto"/>
                </w:tcBorders>
                <w:noWrap/>
                <w:vAlign w:val="bottom"/>
              </w:tcPr>
              <w:p>
                <w:pPr>
                  <w:overflowPunct w:val="0"/>
                  <w:ind w:right="284"/>
                  <w:jc w:val="right"/>
                  <w:textAlignment w:val="baseline"/>
                  <w:rPr>
                    <w:b/>
                    <w:bCs/>
                    <w:sz w:val="22"/>
                    <w:szCs w:val="22"/>
                  </w:rPr>
                </w:pPr>
              </w:p>
            </w:tc>
            <w:tc>
              <w:tcPr>
                <w:tcW w:w="1602" w:type="dxa"/>
                <w:tcBorders>
                  <w:top w:val="single" w:sz="4" w:space="0" w:color="auto"/>
                  <w:left w:val="nil"/>
                  <w:bottom w:val="single" w:sz="4" w:space="0" w:color="auto"/>
                  <w:right w:val="single" w:sz="4" w:space="0" w:color="auto"/>
                </w:tcBorders>
                <w:vAlign w:val="bottom"/>
              </w:tcPr>
              <w:p>
                <w:pPr>
                  <w:overflowPunct w:val="0"/>
                  <w:ind w:right="284"/>
                  <w:jc w:val="right"/>
                  <w:textAlignment w:val="baseline"/>
                  <w:rPr>
                    <w:b/>
                    <w:bCs/>
                    <w:sz w:val="22"/>
                    <w:szCs w:val="22"/>
                  </w:rPr>
                </w:pPr>
              </w:p>
            </w:tc>
          </w:tr>
          <w:tr>
            <w:trPr>
              <w:trHeight w:val="255"/>
            </w:trPr>
            <w:tc>
              <w:tcPr>
                <w:tcW w:w="6379" w:type="dxa"/>
                <w:tcBorders>
                  <w:top w:val="single" w:sz="4" w:space="0" w:color="auto"/>
                  <w:left w:val="single" w:sz="4" w:space="0" w:color="auto"/>
                  <w:bottom w:val="single" w:sz="4" w:space="0" w:color="auto"/>
                  <w:right w:val="single" w:sz="4" w:space="0" w:color="auto"/>
                </w:tcBorders>
                <w:vAlign w:val="center"/>
              </w:tcPr>
              <w:p>
                <w:pPr>
                  <w:overflowPunct w:val="0"/>
                  <w:jc w:val="both"/>
                  <w:textAlignment w:val="baseline"/>
                  <w:rPr>
                    <w:sz w:val="22"/>
                    <w:szCs w:val="22"/>
                  </w:rPr>
                </w:pPr>
                <w:r>
                  <w:rPr>
                    <w:sz w:val="22"/>
                    <w:szCs w:val="22"/>
                  </w:rPr>
                  <w:t xml:space="preserve">15. Gyvulių ir kitų gyvūnų likučių vertės  sumažėjimas (+)</w:t>
                </w:r>
              </w:p>
            </w:tc>
            <w:tc>
              <w:tcPr>
                <w:tcW w:w="1701" w:type="dxa"/>
                <w:tcBorders>
                  <w:top w:val="single" w:sz="4" w:space="0" w:color="auto"/>
                  <w:left w:val="nil"/>
                  <w:bottom w:val="single" w:sz="4" w:space="0" w:color="auto"/>
                  <w:right w:val="single" w:sz="4" w:space="0" w:color="auto"/>
                </w:tcBorders>
                <w:noWrap/>
                <w:vAlign w:val="center"/>
              </w:tcPr>
              <w:p>
                <w:pPr>
                  <w:overflowPunct w:val="0"/>
                  <w:ind w:right="284"/>
                  <w:jc w:val="right"/>
                  <w:textAlignment w:val="baseline"/>
                  <w:rPr>
                    <w:b/>
                    <w:bCs/>
                    <w:color w:val="008000"/>
                    <w:sz w:val="22"/>
                    <w:szCs w:val="22"/>
                  </w:rPr>
                </w:pPr>
              </w:p>
            </w:tc>
            <w:tc>
              <w:tcPr>
                <w:tcW w:w="1602" w:type="dxa"/>
                <w:tcBorders>
                  <w:top w:val="single" w:sz="4" w:space="0" w:color="auto"/>
                  <w:left w:val="nil"/>
                  <w:bottom w:val="single" w:sz="4" w:space="0" w:color="auto"/>
                  <w:right w:val="single" w:sz="4" w:space="0" w:color="auto"/>
                </w:tcBorders>
                <w:vAlign w:val="center"/>
              </w:tcPr>
              <w:p>
                <w:pPr>
                  <w:overflowPunct w:val="0"/>
                  <w:ind w:right="284"/>
                  <w:jc w:val="right"/>
                  <w:textAlignment w:val="baseline"/>
                  <w:rPr>
                    <w:b/>
                    <w:bCs/>
                    <w:color w:val="008000"/>
                    <w:sz w:val="22"/>
                    <w:szCs w:val="22"/>
                  </w:rPr>
                </w:pPr>
              </w:p>
            </w:tc>
          </w:tr>
          <w:tr>
            <w:trPr>
              <w:trHeight w:val="255"/>
            </w:trPr>
            <w:tc>
              <w:tcPr>
                <w:tcW w:w="6379" w:type="dxa"/>
                <w:tcBorders>
                  <w:top w:val="single" w:sz="4" w:space="0" w:color="auto"/>
                  <w:left w:val="single" w:sz="4" w:space="0" w:color="auto"/>
                  <w:bottom w:val="single" w:sz="4" w:space="0" w:color="auto"/>
                  <w:right w:val="single" w:sz="4" w:space="0" w:color="auto"/>
                </w:tcBorders>
                <w:vAlign w:val="center"/>
              </w:tcPr>
              <w:p>
                <w:pPr>
                  <w:overflowPunct w:val="0"/>
                  <w:jc w:val="both"/>
                  <w:textAlignment w:val="baseline"/>
                  <w:rPr>
                    <w:sz w:val="22"/>
                    <w:szCs w:val="22"/>
                  </w:rPr>
                </w:pPr>
                <w:r>
                  <w:rPr>
                    <w:sz w:val="22"/>
                    <w:szCs w:val="22"/>
                  </w:rPr>
                  <w:t xml:space="preserve">16. Gyvulių ir kitų gyvūnų likučių vertės  padidėjimas (-)</w:t>
                </w:r>
              </w:p>
            </w:tc>
            <w:tc>
              <w:tcPr>
                <w:tcW w:w="1701" w:type="dxa"/>
                <w:tcBorders>
                  <w:top w:val="single" w:sz="4" w:space="0" w:color="auto"/>
                  <w:left w:val="nil"/>
                  <w:bottom w:val="single" w:sz="4" w:space="0" w:color="auto"/>
                  <w:right w:val="single" w:sz="4" w:space="0" w:color="auto"/>
                </w:tcBorders>
                <w:noWrap/>
                <w:vAlign w:val="center"/>
              </w:tcPr>
              <w:p>
                <w:pPr>
                  <w:overflowPunct w:val="0"/>
                  <w:ind w:right="284"/>
                  <w:jc w:val="right"/>
                  <w:textAlignment w:val="baseline"/>
                  <w:rPr>
                    <w:b/>
                    <w:bCs/>
                    <w:color w:val="008000"/>
                    <w:sz w:val="22"/>
                    <w:szCs w:val="22"/>
                  </w:rPr>
                </w:pPr>
              </w:p>
            </w:tc>
            <w:tc>
              <w:tcPr>
                <w:tcW w:w="1602" w:type="dxa"/>
                <w:tcBorders>
                  <w:top w:val="single" w:sz="4" w:space="0" w:color="auto"/>
                  <w:left w:val="nil"/>
                  <w:bottom w:val="single" w:sz="4" w:space="0" w:color="auto"/>
                  <w:right w:val="single" w:sz="4" w:space="0" w:color="auto"/>
                </w:tcBorders>
                <w:vAlign w:val="center"/>
              </w:tcPr>
              <w:p>
                <w:pPr>
                  <w:overflowPunct w:val="0"/>
                  <w:ind w:right="284"/>
                  <w:jc w:val="right"/>
                  <w:textAlignment w:val="baseline"/>
                  <w:rPr>
                    <w:b/>
                    <w:bCs/>
                    <w:color w:val="008000"/>
                    <w:sz w:val="22"/>
                    <w:szCs w:val="22"/>
                  </w:rPr>
                </w:pPr>
              </w:p>
            </w:tc>
          </w:tr>
          <w:tr>
            <w:trPr>
              <w:trHeight w:val="255"/>
            </w:trPr>
            <w:tc>
              <w:tcPr>
                <w:tcW w:w="6379" w:type="dxa"/>
                <w:tcBorders>
                  <w:top w:val="single" w:sz="4" w:space="0" w:color="auto"/>
                  <w:left w:val="single" w:sz="4" w:space="0" w:color="auto"/>
                  <w:bottom w:val="single" w:sz="4" w:space="0" w:color="auto"/>
                  <w:right w:val="single" w:sz="4" w:space="0" w:color="auto"/>
                </w:tcBorders>
                <w:vAlign w:val="center"/>
              </w:tcPr>
              <w:p>
                <w:pPr>
                  <w:overflowPunct w:val="0"/>
                  <w:jc w:val="both"/>
                  <w:textAlignment w:val="baseline"/>
                  <w:rPr>
                    <w:sz w:val="22"/>
                    <w:szCs w:val="22"/>
                  </w:rPr>
                </w:pPr>
                <w:r>
                  <w:rPr>
                    <w:sz w:val="22"/>
                    <w:szCs w:val="22"/>
                  </w:rPr>
                  <w:t>17. Pasėlių likučių vertės sumažėjimas (+)</w:t>
                </w:r>
              </w:p>
            </w:tc>
            <w:tc>
              <w:tcPr>
                <w:tcW w:w="1701" w:type="dxa"/>
                <w:tcBorders>
                  <w:top w:val="single" w:sz="4" w:space="0" w:color="auto"/>
                  <w:left w:val="nil"/>
                  <w:bottom w:val="single" w:sz="4" w:space="0" w:color="auto"/>
                  <w:right w:val="single" w:sz="4" w:space="0" w:color="auto"/>
                </w:tcBorders>
                <w:noWrap/>
                <w:vAlign w:val="center"/>
              </w:tcPr>
              <w:p>
                <w:pPr>
                  <w:overflowPunct w:val="0"/>
                  <w:ind w:right="284"/>
                  <w:jc w:val="right"/>
                  <w:textAlignment w:val="baseline"/>
                  <w:rPr>
                    <w:b/>
                    <w:bCs/>
                    <w:color w:val="008000"/>
                    <w:sz w:val="22"/>
                    <w:szCs w:val="22"/>
                  </w:rPr>
                </w:pPr>
              </w:p>
            </w:tc>
            <w:tc>
              <w:tcPr>
                <w:tcW w:w="1602" w:type="dxa"/>
                <w:tcBorders>
                  <w:top w:val="single" w:sz="4" w:space="0" w:color="auto"/>
                  <w:left w:val="nil"/>
                  <w:bottom w:val="single" w:sz="4" w:space="0" w:color="auto"/>
                  <w:right w:val="single" w:sz="4" w:space="0" w:color="auto"/>
                </w:tcBorders>
                <w:vAlign w:val="center"/>
              </w:tcPr>
              <w:p>
                <w:pPr>
                  <w:overflowPunct w:val="0"/>
                  <w:ind w:right="284"/>
                  <w:jc w:val="right"/>
                  <w:textAlignment w:val="baseline"/>
                  <w:rPr>
                    <w:b/>
                    <w:bCs/>
                    <w:color w:val="008000"/>
                    <w:sz w:val="22"/>
                    <w:szCs w:val="22"/>
                  </w:rPr>
                </w:pPr>
              </w:p>
            </w:tc>
          </w:tr>
          <w:tr>
            <w:trPr>
              <w:trHeight w:val="255"/>
            </w:trPr>
            <w:tc>
              <w:tcPr>
                <w:tcW w:w="6379" w:type="dxa"/>
                <w:tcBorders>
                  <w:top w:val="single" w:sz="4" w:space="0" w:color="auto"/>
                  <w:left w:val="single" w:sz="4" w:space="0" w:color="auto"/>
                  <w:bottom w:val="single" w:sz="4" w:space="0" w:color="auto"/>
                  <w:right w:val="single" w:sz="4" w:space="0" w:color="auto"/>
                </w:tcBorders>
                <w:vAlign w:val="center"/>
              </w:tcPr>
              <w:p>
                <w:pPr>
                  <w:overflowPunct w:val="0"/>
                  <w:jc w:val="both"/>
                  <w:textAlignment w:val="baseline"/>
                  <w:rPr>
                    <w:sz w:val="22"/>
                    <w:szCs w:val="22"/>
                  </w:rPr>
                </w:pPr>
                <w:r>
                  <w:rPr>
                    <w:sz w:val="22"/>
                    <w:szCs w:val="22"/>
                  </w:rPr>
                  <w:t xml:space="preserve">18. Pasėlių likučių vertės  padidėjimas (-)</w:t>
                </w:r>
              </w:p>
            </w:tc>
            <w:tc>
              <w:tcPr>
                <w:tcW w:w="1701" w:type="dxa"/>
                <w:tcBorders>
                  <w:top w:val="single" w:sz="4" w:space="0" w:color="auto"/>
                  <w:left w:val="nil"/>
                  <w:bottom w:val="single" w:sz="4" w:space="0" w:color="auto"/>
                  <w:right w:val="single" w:sz="4" w:space="0" w:color="auto"/>
                </w:tcBorders>
                <w:noWrap/>
                <w:vAlign w:val="center"/>
              </w:tcPr>
              <w:p>
                <w:pPr>
                  <w:overflowPunct w:val="0"/>
                  <w:ind w:right="284"/>
                  <w:jc w:val="right"/>
                  <w:textAlignment w:val="baseline"/>
                  <w:rPr>
                    <w:b/>
                    <w:bCs/>
                    <w:color w:val="008000"/>
                    <w:sz w:val="22"/>
                    <w:szCs w:val="22"/>
                  </w:rPr>
                </w:pPr>
              </w:p>
            </w:tc>
            <w:tc>
              <w:tcPr>
                <w:tcW w:w="1602" w:type="dxa"/>
                <w:tcBorders>
                  <w:top w:val="single" w:sz="4" w:space="0" w:color="auto"/>
                  <w:left w:val="nil"/>
                  <w:bottom w:val="single" w:sz="4" w:space="0" w:color="auto"/>
                  <w:right w:val="single" w:sz="4" w:space="0" w:color="auto"/>
                </w:tcBorders>
                <w:vAlign w:val="center"/>
              </w:tcPr>
              <w:p>
                <w:pPr>
                  <w:overflowPunct w:val="0"/>
                  <w:ind w:right="284"/>
                  <w:jc w:val="right"/>
                  <w:textAlignment w:val="baseline"/>
                  <w:rPr>
                    <w:b/>
                    <w:bCs/>
                    <w:color w:val="008000"/>
                    <w:sz w:val="22"/>
                    <w:szCs w:val="22"/>
                  </w:rPr>
                </w:pPr>
              </w:p>
            </w:tc>
          </w:tr>
          <w:tr>
            <w:trPr>
              <w:trHeight w:val="255"/>
            </w:trPr>
            <w:tc>
              <w:tcPr>
                <w:tcW w:w="6379" w:type="dxa"/>
                <w:tcBorders>
                  <w:top w:val="single" w:sz="4" w:space="0" w:color="auto"/>
                  <w:left w:val="single" w:sz="4" w:space="0" w:color="auto"/>
                  <w:bottom w:val="single" w:sz="4" w:space="0" w:color="auto"/>
                  <w:right w:val="single" w:sz="4" w:space="0" w:color="auto"/>
                </w:tcBorders>
              </w:tcPr>
              <w:p>
                <w:pPr>
                  <w:overflowPunct w:val="0"/>
                  <w:jc w:val="both"/>
                  <w:textAlignment w:val="baseline"/>
                  <w:rPr>
                    <w:sz w:val="22"/>
                    <w:szCs w:val="22"/>
                  </w:rPr>
                </w:pPr>
                <w:r>
                  <w:rPr>
                    <w:sz w:val="22"/>
                    <w:szCs w:val="22"/>
                  </w:rPr>
                  <w:t>19. Ilgalaikio turto nusidėvėjimas (amortizacija) (+)</w:t>
                </w:r>
              </w:p>
            </w:tc>
            <w:tc>
              <w:tcPr>
                <w:tcW w:w="1701" w:type="dxa"/>
                <w:tcBorders>
                  <w:top w:val="single" w:sz="4" w:space="0" w:color="auto"/>
                  <w:left w:val="nil"/>
                  <w:bottom w:val="single" w:sz="4" w:space="0" w:color="auto"/>
                  <w:right w:val="single" w:sz="4" w:space="0" w:color="auto"/>
                </w:tcBorders>
                <w:noWrap/>
                <w:vAlign w:val="bottom"/>
              </w:tcPr>
              <w:p>
                <w:pPr>
                  <w:overflowPunct w:val="0"/>
                  <w:ind w:right="284"/>
                  <w:jc w:val="right"/>
                  <w:textAlignment w:val="baseline"/>
                  <w:rPr>
                    <w:b/>
                    <w:bCs/>
                    <w:sz w:val="22"/>
                    <w:szCs w:val="22"/>
                  </w:rPr>
                </w:pPr>
              </w:p>
            </w:tc>
            <w:tc>
              <w:tcPr>
                <w:tcW w:w="1602" w:type="dxa"/>
                <w:tcBorders>
                  <w:top w:val="single" w:sz="4" w:space="0" w:color="auto"/>
                  <w:left w:val="nil"/>
                  <w:bottom w:val="single" w:sz="4" w:space="0" w:color="auto"/>
                  <w:right w:val="single" w:sz="4" w:space="0" w:color="auto"/>
                </w:tcBorders>
                <w:vAlign w:val="bottom"/>
              </w:tcPr>
              <w:p>
                <w:pPr>
                  <w:overflowPunct w:val="0"/>
                  <w:ind w:right="284"/>
                  <w:jc w:val="right"/>
                  <w:textAlignment w:val="baseline"/>
                  <w:rPr>
                    <w:b/>
                    <w:bCs/>
                    <w:sz w:val="22"/>
                    <w:szCs w:val="22"/>
                  </w:rPr>
                </w:pPr>
              </w:p>
            </w:tc>
          </w:tr>
          <w:tr>
            <w:trPr>
              <w:trHeight w:val="255"/>
            </w:trPr>
            <w:tc>
              <w:tcPr>
                <w:tcW w:w="6379" w:type="dxa"/>
                <w:tcBorders>
                  <w:top w:val="single" w:sz="4" w:space="0" w:color="auto"/>
                  <w:left w:val="single" w:sz="4" w:space="0" w:color="auto"/>
                  <w:bottom w:val="single" w:sz="4" w:space="0" w:color="auto"/>
                  <w:right w:val="single" w:sz="4" w:space="0" w:color="auto"/>
                </w:tcBorders>
              </w:tcPr>
              <w:p>
                <w:pPr>
                  <w:overflowPunct w:val="0"/>
                  <w:jc w:val="both"/>
                  <w:textAlignment w:val="baseline"/>
                  <w:rPr>
                    <w:bCs/>
                    <w:sz w:val="22"/>
                    <w:szCs w:val="22"/>
                  </w:rPr>
                </w:pPr>
                <w:r>
                  <w:rPr>
                    <w:bCs/>
                    <w:sz w:val="22"/>
                    <w:szCs w:val="22"/>
                  </w:rPr>
                  <w:t>20. Dotacijų, susijusių su turtu, panaudotoji dalis (-)</w:t>
                </w:r>
              </w:p>
            </w:tc>
            <w:tc>
              <w:tcPr>
                <w:tcW w:w="1701" w:type="dxa"/>
                <w:tcBorders>
                  <w:top w:val="single" w:sz="4" w:space="0" w:color="auto"/>
                  <w:left w:val="nil"/>
                  <w:bottom w:val="single" w:sz="4" w:space="0" w:color="auto"/>
                  <w:right w:val="single" w:sz="4" w:space="0" w:color="auto"/>
                </w:tcBorders>
                <w:noWrap/>
                <w:vAlign w:val="bottom"/>
              </w:tcPr>
              <w:p>
                <w:pPr>
                  <w:overflowPunct w:val="0"/>
                  <w:ind w:right="284"/>
                  <w:jc w:val="right"/>
                  <w:textAlignment w:val="baseline"/>
                  <w:rPr>
                    <w:b/>
                    <w:bCs/>
                    <w:sz w:val="22"/>
                    <w:szCs w:val="22"/>
                  </w:rPr>
                </w:pPr>
              </w:p>
            </w:tc>
            <w:tc>
              <w:tcPr>
                <w:tcW w:w="1602" w:type="dxa"/>
                <w:tcBorders>
                  <w:top w:val="single" w:sz="4" w:space="0" w:color="auto"/>
                  <w:left w:val="nil"/>
                  <w:bottom w:val="single" w:sz="4" w:space="0" w:color="auto"/>
                  <w:right w:val="single" w:sz="4" w:space="0" w:color="auto"/>
                </w:tcBorders>
                <w:vAlign w:val="bottom"/>
              </w:tcPr>
              <w:p>
                <w:pPr>
                  <w:overflowPunct w:val="0"/>
                  <w:ind w:right="284"/>
                  <w:jc w:val="right"/>
                  <w:textAlignment w:val="baseline"/>
                  <w:rPr>
                    <w:b/>
                    <w:bCs/>
                    <w:sz w:val="22"/>
                    <w:szCs w:val="22"/>
                  </w:rPr>
                </w:pPr>
              </w:p>
            </w:tc>
          </w:tr>
          <w:tr>
            <w:trPr>
              <w:trHeight w:val="255"/>
            </w:trPr>
            <w:tc>
              <w:tcPr>
                <w:tcW w:w="6379" w:type="dxa"/>
                <w:tcBorders>
                  <w:top w:val="single" w:sz="4" w:space="0" w:color="auto"/>
                  <w:left w:val="single" w:sz="4" w:space="0" w:color="auto"/>
                  <w:bottom w:val="single" w:sz="4" w:space="0" w:color="auto"/>
                  <w:right w:val="single" w:sz="4" w:space="0" w:color="auto"/>
                </w:tcBorders>
              </w:tcPr>
              <w:p>
                <w:pPr>
                  <w:overflowPunct w:val="0"/>
                  <w:jc w:val="both"/>
                  <w:textAlignment w:val="baseline"/>
                  <w:rPr>
                    <w:b/>
                    <w:bCs/>
                    <w:sz w:val="22"/>
                    <w:szCs w:val="22"/>
                  </w:rPr>
                </w:pPr>
                <w:r>
                  <w:rPr>
                    <w:b/>
                    <w:bCs/>
                    <w:sz w:val="22"/>
                    <w:szCs w:val="22"/>
                  </w:rPr>
                  <w:t xml:space="preserve">21. </w:t>
                </w:r>
                <w:r>
                  <w:rPr>
                    <w:b/>
                    <w:bCs/>
                    <w:caps/>
                    <w:sz w:val="22"/>
                    <w:szCs w:val="22"/>
                  </w:rPr>
                  <w:t>Ūkio veiklos sąnaudos</w:t>
                </w:r>
                <w:r>
                  <w:rPr>
                    <w:b/>
                    <w:bCs/>
                    <w:sz w:val="22"/>
                    <w:szCs w:val="22"/>
                  </w:rPr>
                  <w:t xml:space="preserve"> (8...20 eil.)</w:t>
                </w:r>
              </w:p>
            </w:tc>
            <w:tc>
              <w:tcPr>
                <w:tcW w:w="1701" w:type="dxa"/>
                <w:tcBorders>
                  <w:top w:val="single" w:sz="4" w:space="0" w:color="auto"/>
                  <w:left w:val="nil"/>
                  <w:bottom w:val="single" w:sz="4" w:space="0" w:color="auto"/>
                  <w:right w:val="single" w:sz="4" w:space="0" w:color="auto"/>
                </w:tcBorders>
                <w:noWrap/>
                <w:vAlign w:val="bottom"/>
              </w:tcPr>
              <w:p>
                <w:pPr>
                  <w:overflowPunct w:val="0"/>
                  <w:ind w:right="284"/>
                  <w:jc w:val="right"/>
                  <w:textAlignment w:val="baseline"/>
                  <w:rPr>
                    <w:b/>
                    <w:bCs/>
                    <w:sz w:val="22"/>
                    <w:szCs w:val="22"/>
                  </w:rPr>
                </w:pPr>
              </w:p>
            </w:tc>
            <w:tc>
              <w:tcPr>
                <w:tcW w:w="1602" w:type="dxa"/>
                <w:tcBorders>
                  <w:top w:val="single" w:sz="4" w:space="0" w:color="auto"/>
                  <w:left w:val="nil"/>
                  <w:bottom w:val="single" w:sz="4" w:space="0" w:color="auto"/>
                  <w:right w:val="single" w:sz="4" w:space="0" w:color="auto"/>
                </w:tcBorders>
                <w:vAlign w:val="bottom"/>
              </w:tcPr>
              <w:p>
                <w:pPr>
                  <w:overflowPunct w:val="0"/>
                  <w:ind w:right="284"/>
                  <w:jc w:val="right"/>
                  <w:textAlignment w:val="baseline"/>
                  <w:rPr>
                    <w:b/>
                    <w:bCs/>
                    <w:sz w:val="22"/>
                    <w:szCs w:val="22"/>
                  </w:rPr>
                </w:pPr>
              </w:p>
            </w:tc>
          </w:tr>
          <w:tr>
            <w:trPr>
              <w:trHeight w:val="255"/>
            </w:trPr>
            <w:tc>
              <w:tcPr>
                <w:tcW w:w="6379" w:type="dxa"/>
                <w:tcBorders>
                  <w:top w:val="single" w:sz="4" w:space="0" w:color="auto"/>
                  <w:left w:val="single" w:sz="4" w:space="0" w:color="auto"/>
                  <w:bottom w:val="single" w:sz="4" w:space="0" w:color="auto"/>
                  <w:right w:val="single" w:sz="4" w:space="0" w:color="auto"/>
                </w:tcBorders>
              </w:tcPr>
              <w:p>
                <w:pPr>
                  <w:overflowPunct w:val="0"/>
                  <w:jc w:val="both"/>
                  <w:textAlignment w:val="baseline"/>
                  <w:rPr>
                    <w:b/>
                    <w:bCs/>
                    <w:sz w:val="22"/>
                    <w:szCs w:val="22"/>
                  </w:rPr>
                </w:pPr>
                <w:r>
                  <w:rPr>
                    <w:b/>
                    <w:bCs/>
                    <w:sz w:val="22"/>
                    <w:szCs w:val="22"/>
                  </w:rPr>
                  <w:t>22</w:t>
                </w:r>
                <w:r>
                  <w:rPr>
                    <w:b/>
                    <w:bCs/>
                    <w:caps/>
                    <w:sz w:val="22"/>
                    <w:szCs w:val="22"/>
                  </w:rPr>
                  <w:t>. Ūkio veiklos pelnas (nuostoliai)</w:t>
                </w:r>
                <w:r>
                  <w:rPr>
                    <w:b/>
                    <w:bCs/>
                    <w:sz w:val="22"/>
                    <w:szCs w:val="22"/>
                  </w:rPr>
                  <w:t xml:space="preserve"> (7 eil. – 21 eil.)</w:t>
                </w:r>
              </w:p>
            </w:tc>
            <w:tc>
              <w:tcPr>
                <w:tcW w:w="1701" w:type="dxa"/>
                <w:tcBorders>
                  <w:top w:val="single" w:sz="4" w:space="0" w:color="auto"/>
                  <w:left w:val="nil"/>
                  <w:bottom w:val="single" w:sz="4" w:space="0" w:color="auto"/>
                  <w:right w:val="single" w:sz="4" w:space="0" w:color="auto"/>
                </w:tcBorders>
                <w:noWrap/>
                <w:vAlign w:val="bottom"/>
              </w:tcPr>
              <w:p>
                <w:pPr>
                  <w:overflowPunct w:val="0"/>
                  <w:ind w:right="284"/>
                  <w:jc w:val="right"/>
                  <w:textAlignment w:val="baseline"/>
                  <w:rPr>
                    <w:b/>
                    <w:bCs/>
                    <w:sz w:val="22"/>
                    <w:szCs w:val="22"/>
                  </w:rPr>
                </w:pPr>
              </w:p>
            </w:tc>
            <w:tc>
              <w:tcPr>
                <w:tcW w:w="1602" w:type="dxa"/>
                <w:tcBorders>
                  <w:top w:val="single" w:sz="4" w:space="0" w:color="auto"/>
                  <w:left w:val="nil"/>
                  <w:bottom w:val="single" w:sz="4" w:space="0" w:color="auto"/>
                  <w:right w:val="single" w:sz="4" w:space="0" w:color="auto"/>
                </w:tcBorders>
                <w:vAlign w:val="bottom"/>
              </w:tcPr>
              <w:p>
                <w:pPr>
                  <w:overflowPunct w:val="0"/>
                  <w:ind w:right="284"/>
                  <w:jc w:val="right"/>
                  <w:textAlignment w:val="baseline"/>
                  <w:rPr>
                    <w:b/>
                    <w:bCs/>
                    <w:sz w:val="22"/>
                    <w:szCs w:val="22"/>
                  </w:rPr>
                </w:pPr>
              </w:p>
            </w:tc>
          </w:tr>
          <w:tr>
            <w:trPr>
              <w:trHeight w:val="255"/>
            </w:trPr>
            <w:tc>
              <w:tcPr>
                <w:tcW w:w="6379" w:type="dxa"/>
                <w:tcBorders>
                  <w:top w:val="single" w:sz="4" w:space="0" w:color="auto"/>
                  <w:left w:val="single" w:sz="4" w:space="0" w:color="auto"/>
                  <w:bottom w:val="single" w:sz="4" w:space="0" w:color="auto"/>
                  <w:right w:val="single" w:sz="4" w:space="0" w:color="auto"/>
                </w:tcBorders>
              </w:tcPr>
              <w:p>
                <w:pPr>
                  <w:overflowPunct w:val="0"/>
                  <w:jc w:val="both"/>
                  <w:textAlignment w:val="baseline"/>
                  <w:rPr>
                    <w:b/>
                    <w:bCs/>
                    <w:sz w:val="22"/>
                    <w:szCs w:val="22"/>
                  </w:rPr>
                </w:pPr>
                <w:r>
                  <w:rPr>
                    <w:b/>
                    <w:bCs/>
                    <w:sz w:val="22"/>
                    <w:szCs w:val="22"/>
                  </w:rPr>
                  <w:t>23. Dotacijos, susijusios su pajamomis (+)</w:t>
                </w:r>
              </w:p>
            </w:tc>
            <w:tc>
              <w:tcPr>
                <w:tcW w:w="1701" w:type="dxa"/>
                <w:tcBorders>
                  <w:top w:val="single" w:sz="4" w:space="0" w:color="auto"/>
                  <w:left w:val="nil"/>
                  <w:bottom w:val="single" w:sz="4" w:space="0" w:color="auto"/>
                  <w:right w:val="single" w:sz="4" w:space="0" w:color="auto"/>
                </w:tcBorders>
                <w:noWrap/>
                <w:vAlign w:val="center"/>
              </w:tcPr>
              <w:p>
                <w:pPr>
                  <w:overflowPunct w:val="0"/>
                  <w:ind w:right="284"/>
                  <w:jc w:val="right"/>
                  <w:textAlignment w:val="baseline"/>
                  <w:rPr>
                    <w:b/>
                    <w:bCs/>
                    <w:color w:val="008000"/>
                    <w:sz w:val="22"/>
                    <w:szCs w:val="22"/>
                  </w:rPr>
                </w:pPr>
              </w:p>
            </w:tc>
            <w:tc>
              <w:tcPr>
                <w:tcW w:w="1602" w:type="dxa"/>
                <w:tcBorders>
                  <w:top w:val="single" w:sz="4" w:space="0" w:color="auto"/>
                  <w:left w:val="nil"/>
                  <w:bottom w:val="single" w:sz="4" w:space="0" w:color="auto"/>
                  <w:right w:val="single" w:sz="4" w:space="0" w:color="auto"/>
                </w:tcBorders>
                <w:vAlign w:val="center"/>
              </w:tcPr>
              <w:p>
                <w:pPr>
                  <w:overflowPunct w:val="0"/>
                  <w:ind w:right="284"/>
                  <w:jc w:val="right"/>
                  <w:textAlignment w:val="baseline"/>
                  <w:rPr>
                    <w:b/>
                    <w:bCs/>
                    <w:color w:val="008000"/>
                    <w:sz w:val="22"/>
                    <w:szCs w:val="22"/>
                  </w:rPr>
                </w:pPr>
              </w:p>
            </w:tc>
          </w:tr>
          <w:tr>
            <w:trPr>
              <w:trHeight w:val="255"/>
            </w:trPr>
            <w:tc>
              <w:tcPr>
                <w:tcW w:w="6379" w:type="dxa"/>
                <w:tcBorders>
                  <w:top w:val="single" w:sz="4" w:space="0" w:color="auto"/>
                  <w:left w:val="single" w:sz="4" w:space="0" w:color="auto"/>
                  <w:bottom w:val="single" w:sz="4" w:space="0" w:color="auto"/>
                  <w:right w:val="single" w:sz="4" w:space="0" w:color="000000"/>
                </w:tcBorders>
                <w:noWrap/>
                <w:vAlign w:val="bottom"/>
              </w:tcPr>
              <w:p>
                <w:pPr>
                  <w:overflowPunct w:val="0"/>
                  <w:jc w:val="both"/>
                  <w:textAlignment w:val="baseline"/>
                  <w:rPr>
                    <w:b/>
                    <w:bCs/>
                    <w:sz w:val="22"/>
                    <w:szCs w:val="22"/>
                  </w:rPr>
                </w:pPr>
                <w:r>
                  <w:rPr>
                    <w:b/>
                    <w:bCs/>
                    <w:sz w:val="22"/>
                    <w:szCs w:val="22"/>
                  </w:rPr>
                  <w:t xml:space="preserve">24. </w:t>
                </w:r>
                <w:r>
                  <w:rPr>
                    <w:b/>
                    <w:bCs/>
                    <w:caps/>
                    <w:sz w:val="22"/>
                    <w:szCs w:val="22"/>
                  </w:rPr>
                  <w:t xml:space="preserve">FinansinĖ veikla </w:t>
                </w:r>
                <w:r>
                  <w:rPr>
                    <w:b/>
                    <w:bCs/>
                    <w:sz w:val="22"/>
                    <w:szCs w:val="22"/>
                  </w:rPr>
                  <w:t>(25 eil. – 26 eil.)</w:t>
                </w:r>
              </w:p>
            </w:tc>
            <w:tc>
              <w:tcPr>
                <w:tcW w:w="1701" w:type="dxa"/>
                <w:tcBorders>
                  <w:top w:val="single" w:sz="4" w:space="0" w:color="auto"/>
                  <w:left w:val="nil"/>
                  <w:bottom w:val="single" w:sz="4" w:space="0" w:color="auto"/>
                  <w:right w:val="single" w:sz="4" w:space="0" w:color="auto"/>
                </w:tcBorders>
                <w:noWrap/>
                <w:vAlign w:val="bottom"/>
              </w:tcPr>
              <w:p>
                <w:pPr>
                  <w:overflowPunct w:val="0"/>
                  <w:ind w:right="284"/>
                  <w:jc w:val="right"/>
                  <w:textAlignment w:val="baseline"/>
                  <w:rPr>
                    <w:b/>
                    <w:bCs/>
                    <w:sz w:val="22"/>
                    <w:szCs w:val="22"/>
                  </w:rPr>
                </w:pPr>
              </w:p>
            </w:tc>
            <w:tc>
              <w:tcPr>
                <w:tcW w:w="1602" w:type="dxa"/>
                <w:tcBorders>
                  <w:top w:val="single" w:sz="4" w:space="0" w:color="auto"/>
                  <w:left w:val="nil"/>
                  <w:bottom w:val="single" w:sz="4" w:space="0" w:color="auto"/>
                  <w:right w:val="single" w:sz="4" w:space="0" w:color="auto"/>
                </w:tcBorders>
                <w:vAlign w:val="bottom"/>
              </w:tcPr>
              <w:p>
                <w:pPr>
                  <w:overflowPunct w:val="0"/>
                  <w:ind w:right="284"/>
                  <w:jc w:val="right"/>
                  <w:textAlignment w:val="baseline"/>
                  <w:rPr>
                    <w:b/>
                    <w:bCs/>
                    <w:sz w:val="22"/>
                    <w:szCs w:val="22"/>
                  </w:rPr>
                </w:pPr>
              </w:p>
            </w:tc>
          </w:tr>
          <w:tr>
            <w:trPr>
              <w:trHeight w:val="255"/>
            </w:trPr>
            <w:tc>
              <w:tcPr>
                <w:tcW w:w="6379" w:type="dxa"/>
                <w:tcBorders>
                  <w:top w:val="single" w:sz="4" w:space="0" w:color="auto"/>
                  <w:left w:val="single" w:sz="4" w:space="0" w:color="auto"/>
                  <w:bottom w:val="single" w:sz="4" w:space="0" w:color="auto"/>
                  <w:right w:val="single" w:sz="4" w:space="0" w:color="000000"/>
                </w:tcBorders>
                <w:noWrap/>
                <w:vAlign w:val="bottom"/>
              </w:tcPr>
              <w:p>
                <w:pPr>
                  <w:overflowPunct w:val="0"/>
                  <w:jc w:val="both"/>
                  <w:textAlignment w:val="baseline"/>
                  <w:rPr>
                    <w:sz w:val="22"/>
                    <w:szCs w:val="22"/>
                  </w:rPr>
                </w:pPr>
                <w:r>
                  <w:rPr>
                    <w:sz w:val="22"/>
                    <w:szCs w:val="22"/>
                  </w:rPr>
                  <w:t>25. Finansinės veiklos pajamos (+)</w:t>
                </w:r>
              </w:p>
            </w:tc>
            <w:tc>
              <w:tcPr>
                <w:tcW w:w="1701" w:type="dxa"/>
                <w:tcBorders>
                  <w:top w:val="single" w:sz="4" w:space="0" w:color="auto"/>
                  <w:left w:val="nil"/>
                  <w:bottom w:val="single" w:sz="4" w:space="0" w:color="auto"/>
                  <w:right w:val="single" w:sz="4" w:space="0" w:color="auto"/>
                </w:tcBorders>
                <w:noWrap/>
                <w:vAlign w:val="bottom"/>
              </w:tcPr>
              <w:p>
                <w:pPr>
                  <w:overflowPunct w:val="0"/>
                  <w:ind w:right="284"/>
                  <w:jc w:val="right"/>
                  <w:textAlignment w:val="baseline"/>
                  <w:rPr>
                    <w:sz w:val="22"/>
                    <w:szCs w:val="22"/>
                  </w:rPr>
                </w:pPr>
              </w:p>
            </w:tc>
            <w:tc>
              <w:tcPr>
                <w:tcW w:w="1602" w:type="dxa"/>
                <w:tcBorders>
                  <w:top w:val="single" w:sz="4" w:space="0" w:color="auto"/>
                  <w:left w:val="nil"/>
                  <w:bottom w:val="single" w:sz="4" w:space="0" w:color="auto"/>
                  <w:right w:val="single" w:sz="4" w:space="0" w:color="auto"/>
                </w:tcBorders>
                <w:vAlign w:val="bottom"/>
              </w:tcPr>
              <w:p>
                <w:pPr>
                  <w:overflowPunct w:val="0"/>
                  <w:ind w:right="284"/>
                  <w:jc w:val="right"/>
                  <w:textAlignment w:val="baseline"/>
                  <w:rPr>
                    <w:sz w:val="22"/>
                    <w:szCs w:val="22"/>
                  </w:rPr>
                </w:pPr>
              </w:p>
            </w:tc>
          </w:tr>
          <w:tr>
            <w:trPr>
              <w:trHeight w:val="255"/>
            </w:trPr>
            <w:tc>
              <w:tcPr>
                <w:tcW w:w="6379" w:type="dxa"/>
                <w:tcBorders>
                  <w:top w:val="single" w:sz="4" w:space="0" w:color="auto"/>
                  <w:left w:val="single" w:sz="4" w:space="0" w:color="auto"/>
                  <w:bottom w:val="single" w:sz="4" w:space="0" w:color="auto"/>
                  <w:right w:val="single" w:sz="4" w:space="0" w:color="000000"/>
                </w:tcBorders>
                <w:noWrap/>
                <w:vAlign w:val="bottom"/>
              </w:tcPr>
              <w:p>
                <w:pPr>
                  <w:overflowPunct w:val="0"/>
                  <w:jc w:val="both"/>
                  <w:textAlignment w:val="baseline"/>
                  <w:rPr>
                    <w:sz w:val="22"/>
                    <w:szCs w:val="22"/>
                  </w:rPr>
                </w:pPr>
                <w:r>
                  <w:rPr>
                    <w:sz w:val="22"/>
                    <w:szCs w:val="22"/>
                  </w:rPr>
                  <w:t>26. Finansinės veiklos sąnaudos (-)</w:t>
                </w:r>
              </w:p>
            </w:tc>
            <w:tc>
              <w:tcPr>
                <w:tcW w:w="1701" w:type="dxa"/>
                <w:tcBorders>
                  <w:top w:val="single" w:sz="4" w:space="0" w:color="auto"/>
                  <w:left w:val="nil"/>
                  <w:bottom w:val="single" w:sz="4" w:space="0" w:color="auto"/>
                  <w:right w:val="single" w:sz="4" w:space="0" w:color="auto"/>
                </w:tcBorders>
                <w:noWrap/>
                <w:vAlign w:val="bottom"/>
              </w:tcPr>
              <w:p>
                <w:pPr>
                  <w:overflowPunct w:val="0"/>
                  <w:ind w:right="284"/>
                  <w:jc w:val="right"/>
                  <w:textAlignment w:val="baseline"/>
                  <w:rPr>
                    <w:sz w:val="22"/>
                    <w:szCs w:val="22"/>
                  </w:rPr>
                </w:pPr>
              </w:p>
            </w:tc>
            <w:tc>
              <w:tcPr>
                <w:tcW w:w="1602" w:type="dxa"/>
                <w:tcBorders>
                  <w:top w:val="single" w:sz="4" w:space="0" w:color="auto"/>
                  <w:left w:val="nil"/>
                  <w:bottom w:val="single" w:sz="4" w:space="0" w:color="auto"/>
                  <w:right w:val="single" w:sz="4" w:space="0" w:color="auto"/>
                </w:tcBorders>
                <w:vAlign w:val="bottom"/>
              </w:tcPr>
              <w:p>
                <w:pPr>
                  <w:overflowPunct w:val="0"/>
                  <w:ind w:right="284"/>
                  <w:jc w:val="right"/>
                  <w:textAlignment w:val="baseline"/>
                  <w:rPr>
                    <w:sz w:val="22"/>
                    <w:szCs w:val="22"/>
                  </w:rPr>
                </w:pPr>
              </w:p>
            </w:tc>
          </w:tr>
          <w:tr>
            <w:trPr>
              <w:trHeight w:val="255"/>
            </w:trPr>
            <w:tc>
              <w:tcPr>
                <w:tcW w:w="6379" w:type="dxa"/>
                <w:tcBorders>
                  <w:top w:val="single" w:sz="4" w:space="0" w:color="auto"/>
                  <w:left w:val="single" w:sz="4" w:space="0" w:color="auto"/>
                  <w:bottom w:val="single" w:sz="4" w:space="0" w:color="auto"/>
                  <w:right w:val="single" w:sz="4" w:space="0" w:color="000000"/>
                </w:tcBorders>
                <w:noWrap/>
                <w:vAlign w:val="bottom"/>
              </w:tcPr>
              <w:p>
                <w:pPr>
                  <w:overflowPunct w:val="0"/>
                  <w:jc w:val="both"/>
                  <w:textAlignment w:val="baseline"/>
                  <w:rPr>
                    <w:b/>
                    <w:bCs/>
                    <w:sz w:val="22"/>
                    <w:szCs w:val="22"/>
                  </w:rPr>
                </w:pPr>
                <w:r>
                  <w:rPr>
                    <w:b/>
                    <w:bCs/>
                    <w:sz w:val="22"/>
                    <w:szCs w:val="22"/>
                  </w:rPr>
                  <w:t>27</w:t>
                </w:r>
                <w:r>
                  <w:rPr>
                    <w:b/>
                    <w:bCs/>
                    <w:caps/>
                    <w:sz w:val="22"/>
                    <w:szCs w:val="22"/>
                  </w:rPr>
                  <w:t>. InvesticinĖ veikla</w:t>
                </w:r>
                <w:r>
                  <w:rPr>
                    <w:b/>
                    <w:bCs/>
                    <w:sz w:val="22"/>
                    <w:szCs w:val="22"/>
                  </w:rPr>
                  <w:t xml:space="preserve"> (28 eil. – 29 eil.)</w:t>
                </w:r>
              </w:p>
            </w:tc>
            <w:tc>
              <w:tcPr>
                <w:tcW w:w="1701" w:type="dxa"/>
                <w:tcBorders>
                  <w:top w:val="single" w:sz="4" w:space="0" w:color="auto"/>
                  <w:left w:val="nil"/>
                  <w:bottom w:val="single" w:sz="4" w:space="0" w:color="auto"/>
                  <w:right w:val="single" w:sz="4" w:space="0" w:color="auto"/>
                </w:tcBorders>
                <w:noWrap/>
                <w:vAlign w:val="bottom"/>
              </w:tcPr>
              <w:p>
                <w:pPr>
                  <w:overflowPunct w:val="0"/>
                  <w:ind w:right="284"/>
                  <w:jc w:val="right"/>
                  <w:textAlignment w:val="baseline"/>
                  <w:rPr>
                    <w:b/>
                    <w:bCs/>
                    <w:sz w:val="22"/>
                    <w:szCs w:val="22"/>
                  </w:rPr>
                </w:pPr>
              </w:p>
            </w:tc>
            <w:tc>
              <w:tcPr>
                <w:tcW w:w="1602" w:type="dxa"/>
                <w:tcBorders>
                  <w:top w:val="single" w:sz="4" w:space="0" w:color="auto"/>
                  <w:left w:val="nil"/>
                  <w:bottom w:val="single" w:sz="4" w:space="0" w:color="auto"/>
                  <w:right w:val="single" w:sz="4" w:space="0" w:color="auto"/>
                </w:tcBorders>
                <w:vAlign w:val="bottom"/>
              </w:tcPr>
              <w:p>
                <w:pPr>
                  <w:overflowPunct w:val="0"/>
                  <w:ind w:right="284"/>
                  <w:jc w:val="right"/>
                  <w:textAlignment w:val="baseline"/>
                  <w:rPr>
                    <w:b/>
                    <w:bCs/>
                    <w:sz w:val="22"/>
                    <w:szCs w:val="22"/>
                  </w:rPr>
                </w:pPr>
              </w:p>
            </w:tc>
          </w:tr>
          <w:tr>
            <w:trPr>
              <w:trHeight w:val="255"/>
            </w:trPr>
            <w:tc>
              <w:tcPr>
                <w:tcW w:w="6379" w:type="dxa"/>
                <w:tcBorders>
                  <w:top w:val="single" w:sz="4" w:space="0" w:color="auto"/>
                  <w:left w:val="single" w:sz="4" w:space="0" w:color="auto"/>
                  <w:bottom w:val="single" w:sz="4" w:space="0" w:color="auto"/>
                  <w:right w:val="single" w:sz="4" w:space="0" w:color="000000"/>
                </w:tcBorders>
                <w:noWrap/>
                <w:vAlign w:val="bottom"/>
              </w:tcPr>
              <w:p>
                <w:pPr>
                  <w:overflowPunct w:val="0"/>
                  <w:jc w:val="both"/>
                  <w:textAlignment w:val="baseline"/>
                  <w:rPr>
                    <w:sz w:val="22"/>
                    <w:szCs w:val="22"/>
                  </w:rPr>
                </w:pPr>
                <w:r>
                  <w:rPr>
                    <w:sz w:val="22"/>
                    <w:szCs w:val="22"/>
                  </w:rPr>
                  <w:t xml:space="preserve">28. Investicinės veiklos pajamos(+) </w:t>
                </w:r>
              </w:p>
            </w:tc>
            <w:tc>
              <w:tcPr>
                <w:tcW w:w="1701" w:type="dxa"/>
                <w:tcBorders>
                  <w:top w:val="single" w:sz="4" w:space="0" w:color="auto"/>
                  <w:left w:val="nil"/>
                  <w:bottom w:val="single" w:sz="4" w:space="0" w:color="auto"/>
                  <w:right w:val="single" w:sz="4" w:space="0" w:color="auto"/>
                </w:tcBorders>
                <w:noWrap/>
                <w:vAlign w:val="bottom"/>
              </w:tcPr>
              <w:p>
                <w:pPr>
                  <w:overflowPunct w:val="0"/>
                  <w:ind w:right="284"/>
                  <w:jc w:val="right"/>
                  <w:textAlignment w:val="baseline"/>
                  <w:rPr>
                    <w:sz w:val="22"/>
                    <w:szCs w:val="22"/>
                  </w:rPr>
                </w:pPr>
              </w:p>
            </w:tc>
            <w:tc>
              <w:tcPr>
                <w:tcW w:w="1602" w:type="dxa"/>
                <w:tcBorders>
                  <w:top w:val="single" w:sz="4" w:space="0" w:color="auto"/>
                  <w:left w:val="nil"/>
                  <w:bottom w:val="single" w:sz="4" w:space="0" w:color="auto"/>
                  <w:right w:val="single" w:sz="4" w:space="0" w:color="auto"/>
                </w:tcBorders>
                <w:vAlign w:val="bottom"/>
              </w:tcPr>
              <w:p>
                <w:pPr>
                  <w:overflowPunct w:val="0"/>
                  <w:ind w:right="284"/>
                  <w:jc w:val="right"/>
                  <w:textAlignment w:val="baseline"/>
                  <w:rPr>
                    <w:sz w:val="22"/>
                    <w:szCs w:val="22"/>
                  </w:rPr>
                </w:pPr>
              </w:p>
            </w:tc>
          </w:tr>
          <w:tr>
            <w:trPr>
              <w:trHeight w:val="255"/>
            </w:trPr>
            <w:tc>
              <w:tcPr>
                <w:tcW w:w="6379" w:type="dxa"/>
                <w:tcBorders>
                  <w:top w:val="single" w:sz="4" w:space="0" w:color="auto"/>
                  <w:left w:val="single" w:sz="4" w:space="0" w:color="auto"/>
                  <w:bottom w:val="single" w:sz="4" w:space="0" w:color="auto"/>
                  <w:right w:val="single" w:sz="4" w:space="0" w:color="000000"/>
                </w:tcBorders>
                <w:noWrap/>
                <w:vAlign w:val="bottom"/>
              </w:tcPr>
              <w:p>
                <w:pPr>
                  <w:overflowPunct w:val="0"/>
                  <w:jc w:val="both"/>
                  <w:textAlignment w:val="baseline"/>
                  <w:rPr>
                    <w:sz w:val="22"/>
                    <w:szCs w:val="22"/>
                  </w:rPr>
                </w:pPr>
                <w:r>
                  <w:rPr>
                    <w:sz w:val="22"/>
                    <w:szCs w:val="22"/>
                  </w:rPr>
                  <w:t>29. Investicinės veiklos sąnaudos (-) </w:t>
                </w:r>
              </w:p>
            </w:tc>
            <w:tc>
              <w:tcPr>
                <w:tcW w:w="1701" w:type="dxa"/>
                <w:tcBorders>
                  <w:top w:val="single" w:sz="4" w:space="0" w:color="auto"/>
                  <w:left w:val="nil"/>
                  <w:bottom w:val="single" w:sz="4" w:space="0" w:color="auto"/>
                  <w:right w:val="single" w:sz="4" w:space="0" w:color="auto"/>
                </w:tcBorders>
                <w:noWrap/>
                <w:vAlign w:val="center"/>
              </w:tcPr>
              <w:p>
                <w:pPr>
                  <w:overflowPunct w:val="0"/>
                  <w:ind w:right="284"/>
                  <w:jc w:val="right"/>
                  <w:textAlignment w:val="baseline"/>
                  <w:rPr>
                    <w:b/>
                    <w:bCs/>
                    <w:sz w:val="22"/>
                    <w:szCs w:val="22"/>
                  </w:rPr>
                </w:pPr>
              </w:p>
            </w:tc>
            <w:tc>
              <w:tcPr>
                <w:tcW w:w="1602" w:type="dxa"/>
                <w:tcBorders>
                  <w:top w:val="single" w:sz="4" w:space="0" w:color="auto"/>
                  <w:left w:val="nil"/>
                  <w:bottom w:val="single" w:sz="4" w:space="0" w:color="auto"/>
                  <w:right w:val="single" w:sz="4" w:space="0" w:color="auto"/>
                </w:tcBorders>
                <w:vAlign w:val="center"/>
              </w:tcPr>
              <w:p>
                <w:pPr>
                  <w:overflowPunct w:val="0"/>
                  <w:ind w:right="284"/>
                  <w:jc w:val="right"/>
                  <w:textAlignment w:val="baseline"/>
                  <w:rPr>
                    <w:b/>
                    <w:bCs/>
                    <w:sz w:val="22"/>
                    <w:szCs w:val="22"/>
                  </w:rPr>
                </w:pPr>
              </w:p>
            </w:tc>
          </w:tr>
          <w:tr>
            <w:trPr>
              <w:trHeight w:val="255"/>
            </w:trPr>
            <w:tc>
              <w:tcPr>
                <w:tcW w:w="6379" w:type="dxa"/>
                <w:tcBorders>
                  <w:top w:val="single" w:sz="4" w:space="0" w:color="auto"/>
                  <w:left w:val="single" w:sz="4" w:space="0" w:color="auto"/>
                  <w:bottom w:val="single" w:sz="4" w:space="0" w:color="auto"/>
                  <w:right w:val="single" w:sz="4" w:space="0" w:color="auto"/>
                </w:tcBorders>
                <w:noWrap/>
                <w:vAlign w:val="bottom"/>
              </w:tcPr>
              <w:p>
                <w:pPr>
                  <w:overflowPunct w:val="0"/>
                  <w:jc w:val="both"/>
                  <w:textAlignment w:val="baseline"/>
                  <w:rPr>
                    <w:b/>
                    <w:bCs/>
                    <w:sz w:val="22"/>
                    <w:szCs w:val="22"/>
                  </w:rPr>
                </w:pPr>
                <w:r>
                  <w:rPr>
                    <w:b/>
                    <w:bCs/>
                    <w:i/>
                    <w:sz w:val="22"/>
                    <w:szCs w:val="22"/>
                  </w:rPr>
                  <w:t xml:space="preserve">30. </w:t>
                </w:r>
                <w:r>
                  <w:rPr>
                    <w:b/>
                    <w:bCs/>
                    <w:i/>
                    <w:caps/>
                    <w:sz w:val="22"/>
                    <w:szCs w:val="22"/>
                  </w:rPr>
                  <w:t>Grynasis pelnas (nuostoliai</w:t>
                </w:r>
                <w:r>
                  <w:rPr>
                    <w:b/>
                    <w:bCs/>
                    <w:caps/>
                    <w:sz w:val="22"/>
                    <w:szCs w:val="22"/>
                  </w:rPr>
                  <w:t>)</w:t>
                </w:r>
                <w:r>
                  <w:rPr>
                    <w:b/>
                    <w:bCs/>
                    <w:sz w:val="22"/>
                    <w:szCs w:val="22"/>
                  </w:rPr>
                  <w:t xml:space="preserve"> (22 eil.+ 23 eil.+ (-)24 eil. + (-)27 eil.)</w:t>
                </w:r>
              </w:p>
            </w:tc>
            <w:tc>
              <w:tcPr>
                <w:tcW w:w="1701" w:type="dxa"/>
                <w:tcBorders>
                  <w:top w:val="single" w:sz="4" w:space="0" w:color="auto"/>
                  <w:left w:val="nil"/>
                  <w:bottom w:val="single" w:sz="4" w:space="0" w:color="auto"/>
                  <w:right w:val="single" w:sz="4" w:space="0" w:color="auto"/>
                </w:tcBorders>
                <w:noWrap/>
                <w:vAlign w:val="bottom"/>
              </w:tcPr>
              <w:p>
                <w:pPr>
                  <w:overflowPunct w:val="0"/>
                  <w:ind w:right="284"/>
                  <w:jc w:val="right"/>
                  <w:textAlignment w:val="baseline"/>
                  <w:rPr>
                    <w:b/>
                    <w:bCs/>
                    <w:sz w:val="22"/>
                    <w:szCs w:val="22"/>
                  </w:rPr>
                </w:pPr>
              </w:p>
            </w:tc>
            <w:tc>
              <w:tcPr>
                <w:tcW w:w="1602" w:type="dxa"/>
                <w:tcBorders>
                  <w:top w:val="single" w:sz="4" w:space="0" w:color="auto"/>
                  <w:left w:val="nil"/>
                  <w:bottom w:val="single" w:sz="4" w:space="0" w:color="auto"/>
                  <w:right w:val="single" w:sz="4" w:space="0" w:color="auto"/>
                </w:tcBorders>
                <w:vAlign w:val="bottom"/>
              </w:tcPr>
              <w:p>
                <w:pPr>
                  <w:overflowPunct w:val="0"/>
                  <w:ind w:right="284"/>
                  <w:jc w:val="right"/>
                  <w:textAlignment w:val="baseline"/>
                  <w:rPr>
                    <w:b/>
                    <w:bCs/>
                    <w:sz w:val="22"/>
                    <w:szCs w:val="22"/>
                  </w:rPr>
                </w:pPr>
              </w:p>
            </w:tc>
          </w:tr>
        </w:tbl>
        <w:p>
          <w:pPr>
            <w:overflowPunct w:val="0"/>
            <w:jc w:val="both"/>
            <w:textAlignment w:val="baseline"/>
            <w:rPr>
              <w:sz w:val="10"/>
              <w:szCs w:val="10"/>
            </w:rPr>
          </w:pPr>
        </w:p>
        <w:p>
          <w:pPr>
            <w:overflowPunct w:val="0"/>
            <w:jc w:val="both"/>
            <w:textAlignment w:val="baseline"/>
          </w:pPr>
          <w:r>
            <w:t>Ūkininkas</w:t>
            <w:tab/>
            <w:tab/>
            <w:t>_________________</w:t>
            <w:tab/>
            <w:tab/>
            <w:t>_________________________</w:t>
          </w:r>
        </w:p>
        <w:p>
          <w:pPr>
            <w:overflowPunct w:val="0"/>
            <w:ind w:left="1298" w:firstLine="1298"/>
            <w:jc w:val="both"/>
            <w:textAlignment w:val="baseline"/>
          </w:pPr>
          <w:r>
            <w:rPr>
              <w:sz w:val="20"/>
            </w:rPr>
            <w:t>(parašas)</w:t>
            <w:tab/>
          </w:r>
          <w:r>
            <w:tab/>
            <w:tab/>
          </w:r>
          <w:r>
            <w:rPr>
              <w:sz w:val="20"/>
            </w:rPr>
            <w:t>(vardas, pavardė)</w:t>
          </w:r>
        </w:p>
        <w:sdt>
          <w:sdtPr>
            <w:alias w:val="pabaiga"/>
            <w:tag w:val="part_4d3ff702e61c4de7a75706cda25ef2b3"/>
            <w:lock w:val="sdtLocked"/>
            <w:richText/>
          </w:sdtPr>
          <w:sdtContent>
            <w:p>
              <w:pPr>
                <w:overflowPunct w:val="0"/>
                <w:jc w:val="center"/>
                <w:textAlignment w:val="baseline"/>
                <w:rPr>
                  <w:szCs w:val="18"/>
                </w:rPr>
              </w:pPr>
              <w: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ba5c0506f11e4a698d921e3e46801">
            <w:r w:rsidRPr="00532B9F">
              <w:rPr>
                <w:rFonts w:ascii="Times New Roman" w:eastAsia="MS Mincho" w:hAnsi="Times New Roman"/>
                <w:sz w:val="20"/>
                <w:i/>
                <w:iCs/>
                <w:color w:val="0000FF" w:themeColor="hyperlink"/>
                <w:u w:val="single"/>
              </w:rPr>
              <w:t>3D-725</w:t>
            </w:r>
          </w:fldSimple>
          <w:r>
            <w:rPr>
              <w:rFonts w:ascii="Times New Roman" w:eastAsia="MS Mincho" w:hAnsi="Times New Roman"/>
              <w:sz w:val="20"/>
              <w:i/>
              <w:iCs/>
            </w:rPr>
            <w:t>,
2014-10-10,
paskelbta TAR 2014-10-10, i. k. 2014-13951            </w:t>
          </w:r>
        </w:p>
        <w:p/>
      </w:sdtContent>
    </w:sdt>
    <w:sdt>
      <w:sdtPr>
        <w:alias w:val="13 pr."/>
        <w:tag w:val="part_71c602c836454004848e0559c8804475"/>
        <w:lock w:val="sdtLocked"/>
        <w:richText/>
      </w:sdtPr>
      <w:sdtContent>
        <w:p>
          <w:pPr>
            <w:overflowPunct w:val="0"/>
            <w:jc w:val="both"/>
            <w:textAlignment w:val="baseline"/>
            <w:rPr>
              <w:sz w:val="20"/>
            </w:rPr>
          </w:pPr>
          <w:r>
            <w:rPr>
              <w:sz w:val="20"/>
            </w:rPr>
            <w:br w:type="page"/>
          </w:r>
        </w:p>
        <w:p>
          <w:pPr>
            <w:overflowPunct w:val="0"/>
            <w:ind w:firstLine="6379"/>
            <w:jc w:val="both"/>
            <w:textAlignment w:val="baseline"/>
            <w:rPr>
              <w:szCs w:val="24"/>
            </w:rPr>
          </w:pPr>
          <w:r>
            <w:rPr>
              <w:szCs w:val="24"/>
            </w:rPr>
            <w:t>Ūkininko ūkio veiklos</w:t>
          </w:r>
        </w:p>
        <w:p>
          <w:pPr>
            <w:overflowPunct w:val="0"/>
            <w:ind w:left="6379"/>
            <w:jc w:val="both"/>
            <w:textAlignment w:val="baseline"/>
            <w:rPr>
              <w:szCs w:val="24"/>
            </w:rPr>
          </w:pPr>
          <w:r>
            <w:rPr>
              <w:szCs w:val="24"/>
            </w:rPr>
            <w:t>buhalterinės apskaitos tvarkymo</w:t>
          </w:r>
        </w:p>
        <w:p>
          <w:pPr>
            <w:overflowPunct w:val="0"/>
            <w:ind w:left="6379"/>
            <w:jc w:val="both"/>
            <w:textAlignment w:val="baseline"/>
            <w:rPr>
              <w:szCs w:val="24"/>
            </w:rPr>
          </w:pPr>
          <w:r>
            <w:rPr>
              <w:szCs w:val="24"/>
            </w:rPr>
            <w:t>supaprastintąja apskaitos sistema</w:t>
          </w:r>
        </w:p>
        <w:p>
          <w:pPr>
            <w:overflowPunct w:val="0"/>
            <w:ind w:left="6379"/>
            <w:jc w:val="both"/>
            <w:textAlignment w:val="baseline"/>
            <w:rPr>
              <w:szCs w:val="24"/>
            </w:rPr>
          </w:pPr>
          <w:r>
            <w:rPr>
              <w:szCs w:val="24"/>
            </w:rPr>
            <w:t xml:space="preserve">rekomendacijų </w:t>
          </w:r>
        </w:p>
        <w:p>
          <w:pPr>
            <w:overflowPunct w:val="0"/>
            <w:ind w:left="6379"/>
            <w:jc w:val="both"/>
            <w:textAlignment w:val="baseline"/>
            <w:rPr>
              <w:szCs w:val="24"/>
            </w:rPr>
          </w:pPr>
          <w:sdt>
            <w:sdtPr>
              <w:alias w:val="Numeris"/>
              <w:tag w:val="nr_71c602c836454004848e0559c8804475"/>
              <w:lock w:val="sdtLocked"/>
              <w:richText/>
            </w:sdtPr>
            <w:sdtContent>
              <w:r>
                <w:rPr>
                  <w:szCs w:val="24"/>
                </w:rPr>
                <w:t>13</w:t>
              </w:r>
            </w:sdtContent>
          </w:sdt>
          <w:r>
            <w:rPr>
              <w:szCs w:val="24"/>
            </w:rPr>
            <w:t xml:space="preserve">  priedas</w:t>
          </w:r>
        </w:p>
        <w:p>
          <w:pPr>
            <w:keepNext/>
            <w:overflowPunct w:val="0"/>
            <w:jc w:val="center"/>
            <w:textAlignment w:val="baseline"/>
            <w:rPr>
              <w:b/>
              <w:sz w:val="10"/>
              <w:szCs w:val="10"/>
            </w:rPr>
          </w:pPr>
        </w:p>
        <w:p>
          <w:pPr>
            <w:overflowPunct w:val="0"/>
            <w:jc w:val="center"/>
            <w:textAlignment w:val="baseline"/>
          </w:pPr>
          <w:r>
            <w:t>Ūkininko ________________________________ ūkis</w:t>
          </w:r>
        </w:p>
        <w:p>
          <w:pPr>
            <w:overflowPunct w:val="0"/>
            <w:jc w:val="center"/>
            <w:textAlignment w:val="baseline"/>
            <w:rPr>
              <w:sz w:val="10"/>
              <w:szCs w:val="10"/>
            </w:rPr>
          </w:pPr>
        </w:p>
        <w:p>
          <w:pPr>
            <w:overflowPunct w:val="0"/>
            <w:jc w:val="center"/>
            <w:textAlignment w:val="baseline"/>
          </w:pPr>
          <w:r>
            <w:t>Ūkininko ūkio įregistravimo pažymėjimo Nr. ___________</w:t>
          </w:r>
        </w:p>
        <w:p>
          <w:pPr>
            <w:overflowPunct w:val="0"/>
            <w:jc w:val="center"/>
            <w:textAlignment w:val="baseline"/>
            <w:rPr>
              <w:sz w:val="10"/>
              <w:szCs w:val="10"/>
            </w:rPr>
          </w:pPr>
        </w:p>
        <w:p>
          <w:pPr>
            <w:overflowPunct w:val="0"/>
            <w:jc w:val="center"/>
            <w:textAlignment w:val="baseline"/>
          </w:pPr>
          <w:r>
            <w:t>Adresas ____________________________________________</w:t>
          </w:r>
        </w:p>
        <w:p>
          <w:pPr>
            <w:overflowPunct w:val="0"/>
            <w:jc w:val="center"/>
            <w:textAlignment w:val="baseline"/>
          </w:pPr>
        </w:p>
        <w:p>
          <w:pPr>
            <w:overflowPunct w:val="0"/>
            <w:jc w:val="center"/>
            <w:textAlignment w:val="baseline"/>
            <w:rPr>
              <w:b/>
              <w:sz w:val="28"/>
            </w:rPr>
          </w:pPr>
          <w:r>
            <w:rPr>
              <w:b/>
              <w:bCs/>
              <w:szCs w:val="22"/>
            </w:rPr>
            <w:t>BALANSAS</w:t>
          </w:r>
        </w:p>
        <w:p>
          <w:pPr>
            <w:overflowPunct w:val="0"/>
            <w:jc w:val="center"/>
            <w:textAlignment w:val="baseline"/>
            <w:rPr>
              <w:sz w:val="10"/>
              <w:szCs w:val="10"/>
            </w:rPr>
          </w:pPr>
        </w:p>
        <w:p>
          <w:pPr>
            <w:overflowPunct w:val="0"/>
            <w:jc w:val="center"/>
            <w:textAlignment w:val="baseline"/>
          </w:pPr>
          <w:r>
            <w:t>_____________ Nr. _____________</w:t>
          </w:r>
        </w:p>
        <w:p>
          <w:pPr>
            <w:overflowPunct w:val="0"/>
            <w:ind w:left="3544"/>
            <w:jc w:val="both"/>
            <w:textAlignment w:val="baseline"/>
            <w:rPr>
              <w:sz w:val="20"/>
            </w:rPr>
          </w:pPr>
          <w:r>
            <w:rPr>
              <w:sz w:val="20"/>
            </w:rPr>
            <w:t>(data)</w:t>
          </w:r>
        </w:p>
        <w:p>
          <w:pPr>
            <w:overflowPunct w:val="0"/>
            <w:ind w:left="7513"/>
            <w:jc w:val="both"/>
            <w:textAlignment w:val="baseline"/>
          </w:pPr>
          <w:r>
            <w:t>_______________</w:t>
          </w:r>
        </w:p>
        <w:p>
          <w:pPr>
            <w:overflowPunct w:val="0"/>
            <w:ind w:left="8080"/>
            <w:jc w:val="both"/>
            <w:textAlignment w:val="baseline"/>
            <w:rPr>
              <w:sz w:val="20"/>
            </w:rPr>
          </w:pPr>
          <w:r>
            <w:rPr>
              <w:sz w:val="20"/>
            </w:rPr>
            <w:t>(valiuta)</w:t>
          </w:r>
        </w:p>
        <w:p>
          <w:pPr>
            <w:overflowPunct w:val="0"/>
            <w:ind w:left="8080"/>
            <w:jc w:val="both"/>
            <w:textAlignment w:val="baseline"/>
            <w:rPr>
              <w:sz w:val="10"/>
              <w:szCs w:val="10"/>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8"/>
            <w:gridCol w:w="5337"/>
            <w:gridCol w:w="1701"/>
            <w:gridCol w:w="1560"/>
          </w:tblGrid>
          <w:tr>
            <w:tc>
              <w:tcPr>
                <w:tcW w:w="1008" w:type="dxa"/>
                <w:vAlign w:val="center"/>
              </w:tcPr>
              <w:p>
                <w:pPr>
                  <w:overflowPunct w:val="0"/>
                  <w:jc w:val="center"/>
                  <w:textAlignment w:val="baseline"/>
                  <w:rPr>
                    <w:b/>
                    <w:bCs/>
                    <w:sz w:val="22"/>
                    <w:szCs w:val="22"/>
                  </w:rPr>
                </w:pPr>
              </w:p>
            </w:tc>
            <w:tc>
              <w:tcPr>
                <w:tcW w:w="5337" w:type="dxa"/>
                <w:vAlign w:val="center"/>
              </w:tcPr>
              <w:p>
                <w:pPr>
                  <w:overflowPunct w:val="0"/>
                  <w:jc w:val="center"/>
                  <w:textAlignment w:val="baseline"/>
                  <w:rPr>
                    <w:sz w:val="22"/>
                    <w:szCs w:val="22"/>
                  </w:rPr>
                </w:pPr>
                <w:r>
                  <w:rPr>
                    <w:b/>
                    <w:bCs/>
                    <w:sz w:val="22"/>
                    <w:szCs w:val="22"/>
                  </w:rPr>
                  <w:t>TURTAS</w:t>
                </w:r>
              </w:p>
            </w:tc>
            <w:tc>
              <w:tcPr>
                <w:tcW w:w="1701" w:type="dxa"/>
                <w:vAlign w:val="center"/>
              </w:tcPr>
              <w:p>
                <w:pPr>
                  <w:overflowPunct w:val="0"/>
                  <w:jc w:val="center"/>
                  <w:textAlignment w:val="baseline"/>
                  <w:rPr>
                    <w:b/>
                    <w:bCs/>
                    <w:sz w:val="22"/>
                    <w:szCs w:val="22"/>
                  </w:rPr>
                </w:pPr>
                <w:r>
                  <w:rPr>
                    <w:b/>
                    <w:bCs/>
                    <w:sz w:val="22"/>
                    <w:szCs w:val="22"/>
                  </w:rPr>
                  <w:t>Finansiniai</w:t>
                </w:r>
              </w:p>
              <w:p>
                <w:pPr>
                  <w:overflowPunct w:val="0"/>
                  <w:jc w:val="center"/>
                  <w:textAlignment w:val="baseline"/>
                  <w:rPr>
                    <w:b/>
                    <w:bCs/>
                    <w:sz w:val="22"/>
                    <w:szCs w:val="22"/>
                  </w:rPr>
                </w:pPr>
                <w:r>
                  <w:rPr>
                    <w:b/>
                    <w:bCs/>
                    <w:sz w:val="22"/>
                    <w:szCs w:val="22"/>
                  </w:rPr>
                  <w:t>metai</w:t>
                </w:r>
              </w:p>
            </w:tc>
            <w:tc>
              <w:tcPr>
                <w:tcW w:w="1560" w:type="dxa"/>
                <w:vAlign w:val="center"/>
              </w:tcPr>
              <w:p>
                <w:pPr>
                  <w:overflowPunct w:val="0"/>
                  <w:jc w:val="center"/>
                  <w:textAlignment w:val="baseline"/>
                  <w:rPr>
                    <w:b/>
                    <w:bCs/>
                    <w:sz w:val="22"/>
                    <w:szCs w:val="22"/>
                  </w:rPr>
                </w:pPr>
                <w:r>
                  <w:rPr>
                    <w:b/>
                    <w:bCs/>
                    <w:sz w:val="22"/>
                    <w:szCs w:val="22"/>
                  </w:rPr>
                  <w:t>Praėję finansiniai</w:t>
                </w:r>
              </w:p>
              <w:p>
                <w:pPr>
                  <w:overflowPunct w:val="0"/>
                  <w:jc w:val="center"/>
                  <w:textAlignment w:val="baseline"/>
                  <w:rPr>
                    <w:b/>
                    <w:bCs/>
                    <w:sz w:val="22"/>
                    <w:szCs w:val="22"/>
                  </w:rPr>
                </w:pPr>
                <w:r>
                  <w:rPr>
                    <w:b/>
                    <w:bCs/>
                    <w:sz w:val="22"/>
                    <w:szCs w:val="22"/>
                  </w:rPr>
                  <w:t>metai</w:t>
                </w:r>
              </w:p>
            </w:tc>
          </w:tr>
          <w:tr>
            <w:tc>
              <w:tcPr>
                <w:tcW w:w="1008" w:type="dxa"/>
              </w:tcPr>
              <w:p>
                <w:pPr>
                  <w:overflowPunct w:val="0"/>
                  <w:jc w:val="center"/>
                  <w:textAlignment w:val="baseline"/>
                  <w:rPr>
                    <w:b/>
                    <w:sz w:val="22"/>
                    <w:szCs w:val="22"/>
                  </w:rPr>
                </w:pPr>
                <w:r>
                  <w:rPr>
                    <w:b/>
                    <w:sz w:val="22"/>
                    <w:szCs w:val="22"/>
                  </w:rPr>
                  <w:t>A.</w:t>
                </w:r>
              </w:p>
            </w:tc>
            <w:tc>
              <w:tcPr>
                <w:tcW w:w="5337" w:type="dxa"/>
              </w:tcPr>
              <w:p>
                <w:pPr>
                  <w:overflowPunct w:val="0"/>
                  <w:jc w:val="both"/>
                  <w:textAlignment w:val="baseline"/>
                  <w:rPr>
                    <w:b/>
                    <w:sz w:val="22"/>
                    <w:szCs w:val="22"/>
                  </w:rPr>
                </w:pPr>
                <w:r>
                  <w:rPr>
                    <w:b/>
                    <w:sz w:val="22"/>
                    <w:szCs w:val="22"/>
                  </w:rPr>
                  <w:t>ILGALAIKIS TURTAS</w:t>
                </w:r>
              </w:p>
            </w:tc>
            <w:tc>
              <w:tcPr>
                <w:tcW w:w="1701" w:type="dxa"/>
              </w:tcPr>
              <w:p>
                <w:pPr>
                  <w:overflowPunct w:val="0"/>
                  <w:ind w:right="284"/>
                  <w:jc w:val="right"/>
                  <w:textAlignment w:val="baseline"/>
                  <w:rPr>
                    <w:b/>
                    <w:sz w:val="22"/>
                    <w:szCs w:val="22"/>
                  </w:rPr>
                </w:pPr>
              </w:p>
            </w:tc>
            <w:tc>
              <w:tcPr>
                <w:tcW w:w="1560" w:type="dxa"/>
              </w:tcPr>
              <w:p>
                <w:pPr>
                  <w:overflowPunct w:val="0"/>
                  <w:ind w:right="284"/>
                  <w:jc w:val="right"/>
                  <w:textAlignment w:val="baseline"/>
                  <w:rPr>
                    <w:b/>
                    <w:sz w:val="22"/>
                    <w:szCs w:val="22"/>
                  </w:rPr>
                </w:pPr>
              </w:p>
            </w:tc>
          </w:tr>
          <w:tr>
            <w:tc>
              <w:tcPr>
                <w:tcW w:w="1008" w:type="dxa"/>
              </w:tcPr>
              <w:p>
                <w:pPr>
                  <w:overflowPunct w:val="0"/>
                  <w:jc w:val="center"/>
                  <w:textAlignment w:val="baseline"/>
                  <w:rPr>
                    <w:b/>
                    <w:sz w:val="22"/>
                    <w:szCs w:val="22"/>
                  </w:rPr>
                </w:pPr>
                <w:r>
                  <w:rPr>
                    <w:b/>
                    <w:sz w:val="22"/>
                    <w:szCs w:val="22"/>
                  </w:rPr>
                  <w:t>I.</w:t>
                </w:r>
              </w:p>
            </w:tc>
            <w:tc>
              <w:tcPr>
                <w:tcW w:w="5337" w:type="dxa"/>
              </w:tcPr>
              <w:p>
                <w:pPr>
                  <w:overflowPunct w:val="0"/>
                  <w:jc w:val="both"/>
                  <w:textAlignment w:val="baseline"/>
                  <w:rPr>
                    <w:b/>
                    <w:sz w:val="22"/>
                    <w:szCs w:val="22"/>
                  </w:rPr>
                </w:pPr>
                <w:r>
                  <w:rPr>
                    <w:b/>
                    <w:sz w:val="22"/>
                    <w:szCs w:val="22"/>
                  </w:rPr>
                  <w:t xml:space="preserve">NEMATERIALUSIS TURTAS </w:t>
                </w:r>
              </w:p>
            </w:tc>
            <w:tc>
              <w:tcPr>
                <w:tcW w:w="1701" w:type="dxa"/>
              </w:tcPr>
              <w:p>
                <w:pPr>
                  <w:overflowPunct w:val="0"/>
                  <w:ind w:right="284"/>
                  <w:jc w:val="right"/>
                  <w:textAlignment w:val="baseline"/>
                  <w:rPr>
                    <w:b/>
                    <w:sz w:val="22"/>
                    <w:szCs w:val="22"/>
                  </w:rPr>
                </w:pPr>
              </w:p>
            </w:tc>
            <w:tc>
              <w:tcPr>
                <w:tcW w:w="1560" w:type="dxa"/>
              </w:tcPr>
              <w:p>
                <w:pPr>
                  <w:overflowPunct w:val="0"/>
                  <w:ind w:right="284"/>
                  <w:jc w:val="right"/>
                  <w:textAlignment w:val="baseline"/>
                  <w:rPr>
                    <w:b/>
                    <w:sz w:val="22"/>
                    <w:szCs w:val="22"/>
                  </w:rPr>
                </w:pPr>
              </w:p>
            </w:tc>
          </w:tr>
          <w:tr>
            <w:tc>
              <w:tcPr>
                <w:tcW w:w="1008" w:type="dxa"/>
              </w:tcPr>
              <w:p>
                <w:pPr>
                  <w:overflowPunct w:val="0"/>
                  <w:jc w:val="center"/>
                  <w:textAlignment w:val="baseline"/>
                  <w:rPr>
                    <w:b/>
                    <w:sz w:val="22"/>
                    <w:szCs w:val="22"/>
                  </w:rPr>
                </w:pPr>
                <w:r>
                  <w:rPr>
                    <w:b/>
                    <w:sz w:val="22"/>
                    <w:szCs w:val="22"/>
                  </w:rPr>
                  <w:t>II.</w:t>
                </w:r>
              </w:p>
            </w:tc>
            <w:tc>
              <w:tcPr>
                <w:tcW w:w="5337" w:type="dxa"/>
              </w:tcPr>
              <w:p>
                <w:pPr>
                  <w:overflowPunct w:val="0"/>
                  <w:jc w:val="both"/>
                  <w:textAlignment w:val="baseline"/>
                  <w:rPr>
                    <w:b/>
                    <w:sz w:val="22"/>
                    <w:szCs w:val="22"/>
                  </w:rPr>
                </w:pPr>
                <w:r>
                  <w:rPr>
                    <w:b/>
                    <w:sz w:val="22"/>
                    <w:szCs w:val="22"/>
                  </w:rPr>
                  <w:t xml:space="preserve">MATERIALUSIS TURTAS </w:t>
                </w:r>
              </w:p>
            </w:tc>
            <w:tc>
              <w:tcPr>
                <w:tcW w:w="1701" w:type="dxa"/>
              </w:tcPr>
              <w:p>
                <w:pPr>
                  <w:overflowPunct w:val="0"/>
                  <w:ind w:right="284"/>
                  <w:jc w:val="right"/>
                  <w:textAlignment w:val="baseline"/>
                  <w:rPr>
                    <w:b/>
                    <w:sz w:val="22"/>
                    <w:szCs w:val="22"/>
                  </w:rPr>
                </w:pPr>
              </w:p>
            </w:tc>
            <w:tc>
              <w:tcPr>
                <w:tcW w:w="1560" w:type="dxa"/>
              </w:tcPr>
              <w:p>
                <w:pPr>
                  <w:overflowPunct w:val="0"/>
                  <w:ind w:right="284"/>
                  <w:jc w:val="right"/>
                  <w:textAlignment w:val="baseline"/>
                  <w:rPr>
                    <w:b/>
                    <w:sz w:val="22"/>
                    <w:szCs w:val="22"/>
                  </w:rPr>
                </w:pPr>
              </w:p>
            </w:tc>
          </w:tr>
          <w:tr>
            <w:tc>
              <w:tcPr>
                <w:tcW w:w="1008" w:type="dxa"/>
              </w:tcPr>
              <w:p>
                <w:pPr>
                  <w:overflowPunct w:val="0"/>
                  <w:jc w:val="center"/>
                  <w:textAlignment w:val="baseline"/>
                  <w:rPr>
                    <w:sz w:val="22"/>
                    <w:szCs w:val="22"/>
                  </w:rPr>
                </w:pPr>
                <w:r>
                  <w:rPr>
                    <w:sz w:val="22"/>
                    <w:szCs w:val="22"/>
                  </w:rPr>
                  <w:t>II.1.</w:t>
                </w:r>
              </w:p>
            </w:tc>
            <w:tc>
              <w:tcPr>
                <w:tcW w:w="5337" w:type="dxa"/>
              </w:tcPr>
              <w:p>
                <w:pPr>
                  <w:overflowPunct w:val="0"/>
                  <w:jc w:val="both"/>
                  <w:textAlignment w:val="baseline"/>
                  <w:rPr>
                    <w:sz w:val="22"/>
                    <w:szCs w:val="22"/>
                  </w:rPr>
                </w:pPr>
                <w:r>
                  <w:rPr>
                    <w:sz w:val="22"/>
                    <w:szCs w:val="22"/>
                  </w:rPr>
                  <w:t>Žemė</w:t>
                </w:r>
              </w:p>
            </w:tc>
            <w:tc>
              <w:tcPr>
                <w:tcW w:w="1701" w:type="dxa"/>
              </w:tcPr>
              <w:p>
                <w:pPr>
                  <w:overflowPunct w:val="0"/>
                  <w:ind w:right="284"/>
                  <w:jc w:val="right"/>
                  <w:textAlignment w:val="baseline"/>
                  <w:rPr>
                    <w:sz w:val="22"/>
                    <w:szCs w:val="22"/>
                  </w:rPr>
                </w:pPr>
              </w:p>
            </w:tc>
            <w:tc>
              <w:tcPr>
                <w:tcW w:w="1560" w:type="dxa"/>
              </w:tcPr>
              <w:p>
                <w:pPr>
                  <w:overflowPunct w:val="0"/>
                  <w:ind w:right="284"/>
                  <w:jc w:val="right"/>
                  <w:textAlignment w:val="baseline"/>
                  <w:rPr>
                    <w:sz w:val="22"/>
                    <w:szCs w:val="22"/>
                  </w:rPr>
                </w:pPr>
              </w:p>
            </w:tc>
          </w:tr>
          <w:tr>
            <w:tc>
              <w:tcPr>
                <w:tcW w:w="1008" w:type="dxa"/>
              </w:tcPr>
              <w:p>
                <w:pPr>
                  <w:overflowPunct w:val="0"/>
                  <w:jc w:val="center"/>
                  <w:textAlignment w:val="baseline"/>
                  <w:rPr>
                    <w:sz w:val="22"/>
                    <w:szCs w:val="22"/>
                  </w:rPr>
                </w:pPr>
                <w:r>
                  <w:rPr>
                    <w:sz w:val="22"/>
                    <w:szCs w:val="22"/>
                  </w:rPr>
                  <w:t>II.2.</w:t>
                </w:r>
              </w:p>
            </w:tc>
            <w:tc>
              <w:tcPr>
                <w:tcW w:w="5337" w:type="dxa"/>
              </w:tcPr>
              <w:p>
                <w:pPr>
                  <w:overflowPunct w:val="0"/>
                  <w:jc w:val="both"/>
                  <w:textAlignment w:val="baseline"/>
                  <w:rPr>
                    <w:sz w:val="22"/>
                    <w:szCs w:val="22"/>
                  </w:rPr>
                </w:pPr>
                <w:r>
                  <w:rPr>
                    <w:sz w:val="22"/>
                    <w:szCs w:val="22"/>
                  </w:rPr>
                  <w:t>Pastatai ir statiniai</w:t>
                </w:r>
              </w:p>
            </w:tc>
            <w:tc>
              <w:tcPr>
                <w:tcW w:w="1701" w:type="dxa"/>
              </w:tcPr>
              <w:p>
                <w:pPr>
                  <w:overflowPunct w:val="0"/>
                  <w:ind w:right="284"/>
                  <w:jc w:val="right"/>
                  <w:textAlignment w:val="baseline"/>
                  <w:rPr>
                    <w:sz w:val="22"/>
                    <w:szCs w:val="22"/>
                  </w:rPr>
                </w:pPr>
              </w:p>
            </w:tc>
            <w:tc>
              <w:tcPr>
                <w:tcW w:w="1560" w:type="dxa"/>
              </w:tcPr>
              <w:p>
                <w:pPr>
                  <w:overflowPunct w:val="0"/>
                  <w:ind w:right="284"/>
                  <w:jc w:val="right"/>
                  <w:textAlignment w:val="baseline"/>
                  <w:rPr>
                    <w:sz w:val="22"/>
                    <w:szCs w:val="22"/>
                  </w:rPr>
                </w:pPr>
              </w:p>
            </w:tc>
          </w:tr>
          <w:tr>
            <w:tc>
              <w:tcPr>
                <w:tcW w:w="1008" w:type="dxa"/>
              </w:tcPr>
              <w:p>
                <w:pPr>
                  <w:overflowPunct w:val="0"/>
                  <w:jc w:val="center"/>
                  <w:textAlignment w:val="baseline"/>
                  <w:rPr>
                    <w:sz w:val="22"/>
                    <w:szCs w:val="22"/>
                  </w:rPr>
                </w:pPr>
                <w:r>
                  <w:rPr>
                    <w:sz w:val="22"/>
                    <w:szCs w:val="22"/>
                  </w:rPr>
                  <w:t>II.3.</w:t>
                </w:r>
              </w:p>
            </w:tc>
            <w:tc>
              <w:tcPr>
                <w:tcW w:w="5337" w:type="dxa"/>
              </w:tcPr>
              <w:p>
                <w:pPr>
                  <w:overflowPunct w:val="0"/>
                  <w:jc w:val="both"/>
                  <w:textAlignment w:val="baseline"/>
                  <w:rPr>
                    <w:sz w:val="22"/>
                    <w:szCs w:val="22"/>
                  </w:rPr>
                </w:pPr>
                <w:r>
                  <w:rPr>
                    <w:sz w:val="22"/>
                    <w:szCs w:val="22"/>
                  </w:rPr>
                  <w:t>Mašinos ir įrengimai</w:t>
                </w:r>
              </w:p>
            </w:tc>
            <w:tc>
              <w:tcPr>
                <w:tcW w:w="1701" w:type="dxa"/>
              </w:tcPr>
              <w:p>
                <w:pPr>
                  <w:overflowPunct w:val="0"/>
                  <w:ind w:right="284"/>
                  <w:jc w:val="right"/>
                  <w:textAlignment w:val="baseline"/>
                  <w:rPr>
                    <w:sz w:val="22"/>
                    <w:szCs w:val="22"/>
                  </w:rPr>
                </w:pPr>
              </w:p>
            </w:tc>
            <w:tc>
              <w:tcPr>
                <w:tcW w:w="1560" w:type="dxa"/>
              </w:tcPr>
              <w:p>
                <w:pPr>
                  <w:overflowPunct w:val="0"/>
                  <w:ind w:right="284"/>
                  <w:jc w:val="right"/>
                  <w:textAlignment w:val="baseline"/>
                  <w:rPr>
                    <w:sz w:val="22"/>
                    <w:szCs w:val="22"/>
                  </w:rPr>
                </w:pPr>
              </w:p>
            </w:tc>
          </w:tr>
          <w:tr>
            <w:tc>
              <w:tcPr>
                <w:tcW w:w="1008" w:type="dxa"/>
              </w:tcPr>
              <w:p>
                <w:pPr>
                  <w:overflowPunct w:val="0"/>
                  <w:jc w:val="center"/>
                  <w:textAlignment w:val="baseline"/>
                  <w:rPr>
                    <w:sz w:val="22"/>
                    <w:szCs w:val="22"/>
                  </w:rPr>
                </w:pPr>
                <w:r>
                  <w:rPr>
                    <w:sz w:val="22"/>
                    <w:szCs w:val="22"/>
                  </w:rPr>
                  <w:t>II.4.</w:t>
                </w:r>
              </w:p>
            </w:tc>
            <w:tc>
              <w:tcPr>
                <w:tcW w:w="5337" w:type="dxa"/>
              </w:tcPr>
              <w:p>
                <w:pPr>
                  <w:overflowPunct w:val="0"/>
                  <w:jc w:val="both"/>
                  <w:textAlignment w:val="baseline"/>
                  <w:rPr>
                    <w:sz w:val="22"/>
                    <w:szCs w:val="22"/>
                  </w:rPr>
                </w:pPr>
                <w:r>
                  <w:rPr>
                    <w:sz w:val="22"/>
                    <w:szCs w:val="22"/>
                  </w:rPr>
                  <w:t>Transporto priemonės</w:t>
                </w:r>
              </w:p>
            </w:tc>
            <w:tc>
              <w:tcPr>
                <w:tcW w:w="1701" w:type="dxa"/>
              </w:tcPr>
              <w:p>
                <w:pPr>
                  <w:overflowPunct w:val="0"/>
                  <w:ind w:right="284"/>
                  <w:jc w:val="right"/>
                  <w:textAlignment w:val="baseline"/>
                  <w:rPr>
                    <w:sz w:val="22"/>
                    <w:szCs w:val="22"/>
                  </w:rPr>
                </w:pPr>
              </w:p>
            </w:tc>
            <w:tc>
              <w:tcPr>
                <w:tcW w:w="1560" w:type="dxa"/>
              </w:tcPr>
              <w:p>
                <w:pPr>
                  <w:overflowPunct w:val="0"/>
                  <w:ind w:right="284"/>
                  <w:jc w:val="right"/>
                  <w:textAlignment w:val="baseline"/>
                  <w:rPr>
                    <w:sz w:val="22"/>
                    <w:szCs w:val="22"/>
                  </w:rPr>
                </w:pPr>
              </w:p>
            </w:tc>
          </w:tr>
          <w:tr>
            <w:tc>
              <w:tcPr>
                <w:tcW w:w="1008" w:type="dxa"/>
              </w:tcPr>
              <w:p>
                <w:pPr>
                  <w:overflowPunct w:val="0"/>
                  <w:jc w:val="center"/>
                  <w:textAlignment w:val="baseline"/>
                  <w:rPr>
                    <w:sz w:val="22"/>
                    <w:szCs w:val="22"/>
                  </w:rPr>
                </w:pPr>
                <w:r>
                  <w:rPr>
                    <w:sz w:val="22"/>
                    <w:szCs w:val="22"/>
                  </w:rPr>
                  <w:t>II.5.</w:t>
                </w:r>
              </w:p>
            </w:tc>
            <w:tc>
              <w:tcPr>
                <w:tcW w:w="5337" w:type="dxa"/>
              </w:tcPr>
              <w:p>
                <w:pPr>
                  <w:overflowPunct w:val="0"/>
                  <w:jc w:val="both"/>
                  <w:textAlignment w:val="baseline"/>
                  <w:rPr>
                    <w:sz w:val="22"/>
                    <w:szCs w:val="22"/>
                  </w:rPr>
                </w:pPr>
                <w:r>
                  <w:rPr>
                    <w:sz w:val="22"/>
                    <w:szCs w:val="22"/>
                  </w:rPr>
                  <w:t>Kita įranga, prietaisai, įrankiai ir įrenginiai</w:t>
                </w:r>
              </w:p>
            </w:tc>
            <w:tc>
              <w:tcPr>
                <w:tcW w:w="1701" w:type="dxa"/>
              </w:tcPr>
              <w:p>
                <w:pPr>
                  <w:overflowPunct w:val="0"/>
                  <w:ind w:right="284"/>
                  <w:jc w:val="right"/>
                  <w:textAlignment w:val="baseline"/>
                  <w:rPr>
                    <w:b/>
                    <w:sz w:val="22"/>
                    <w:szCs w:val="22"/>
                  </w:rPr>
                </w:pPr>
              </w:p>
            </w:tc>
            <w:tc>
              <w:tcPr>
                <w:tcW w:w="1560" w:type="dxa"/>
              </w:tcPr>
              <w:p>
                <w:pPr>
                  <w:overflowPunct w:val="0"/>
                  <w:ind w:right="284"/>
                  <w:jc w:val="right"/>
                  <w:textAlignment w:val="baseline"/>
                  <w:rPr>
                    <w:b/>
                    <w:sz w:val="22"/>
                    <w:szCs w:val="22"/>
                  </w:rPr>
                </w:pPr>
              </w:p>
            </w:tc>
          </w:tr>
          <w:tr>
            <w:tc>
              <w:tcPr>
                <w:tcW w:w="1008" w:type="dxa"/>
              </w:tcPr>
              <w:p>
                <w:pPr>
                  <w:overflowPunct w:val="0"/>
                  <w:jc w:val="center"/>
                  <w:textAlignment w:val="baseline"/>
                  <w:rPr>
                    <w:sz w:val="22"/>
                    <w:szCs w:val="22"/>
                  </w:rPr>
                </w:pPr>
                <w:r>
                  <w:rPr>
                    <w:sz w:val="22"/>
                    <w:szCs w:val="22"/>
                  </w:rPr>
                  <w:t>II.6.</w:t>
                </w:r>
              </w:p>
            </w:tc>
            <w:tc>
              <w:tcPr>
                <w:tcW w:w="5337" w:type="dxa"/>
              </w:tcPr>
              <w:p>
                <w:pPr>
                  <w:overflowPunct w:val="0"/>
                  <w:jc w:val="both"/>
                  <w:textAlignment w:val="baseline"/>
                  <w:rPr>
                    <w:sz w:val="22"/>
                    <w:szCs w:val="22"/>
                  </w:rPr>
                </w:pPr>
                <w:r>
                  <w:rPr>
                    <w:sz w:val="22"/>
                    <w:szCs w:val="22"/>
                  </w:rPr>
                  <w:t>Nebaigta statyba</w:t>
                </w:r>
              </w:p>
            </w:tc>
            <w:tc>
              <w:tcPr>
                <w:tcW w:w="1701" w:type="dxa"/>
              </w:tcPr>
              <w:p>
                <w:pPr>
                  <w:overflowPunct w:val="0"/>
                  <w:ind w:right="284"/>
                  <w:jc w:val="right"/>
                  <w:textAlignment w:val="baseline"/>
                  <w:rPr>
                    <w:b/>
                    <w:sz w:val="22"/>
                    <w:szCs w:val="22"/>
                  </w:rPr>
                </w:pPr>
              </w:p>
            </w:tc>
            <w:tc>
              <w:tcPr>
                <w:tcW w:w="1560" w:type="dxa"/>
              </w:tcPr>
              <w:p>
                <w:pPr>
                  <w:overflowPunct w:val="0"/>
                  <w:ind w:right="284"/>
                  <w:jc w:val="right"/>
                  <w:textAlignment w:val="baseline"/>
                  <w:rPr>
                    <w:b/>
                    <w:sz w:val="22"/>
                    <w:szCs w:val="22"/>
                  </w:rPr>
                </w:pPr>
              </w:p>
            </w:tc>
          </w:tr>
          <w:tr>
            <w:tc>
              <w:tcPr>
                <w:tcW w:w="1008" w:type="dxa"/>
              </w:tcPr>
              <w:p>
                <w:pPr>
                  <w:overflowPunct w:val="0"/>
                  <w:jc w:val="center"/>
                  <w:textAlignment w:val="baseline"/>
                  <w:rPr>
                    <w:sz w:val="22"/>
                    <w:szCs w:val="22"/>
                  </w:rPr>
                </w:pPr>
                <w:r>
                  <w:rPr>
                    <w:sz w:val="22"/>
                    <w:szCs w:val="22"/>
                  </w:rPr>
                  <w:t>II.7.</w:t>
                </w:r>
              </w:p>
            </w:tc>
            <w:tc>
              <w:tcPr>
                <w:tcW w:w="5337" w:type="dxa"/>
              </w:tcPr>
              <w:p>
                <w:pPr>
                  <w:overflowPunct w:val="0"/>
                  <w:jc w:val="both"/>
                  <w:textAlignment w:val="baseline"/>
                  <w:rPr>
                    <w:sz w:val="22"/>
                    <w:szCs w:val="22"/>
                  </w:rPr>
                </w:pPr>
                <w:r>
                  <w:rPr>
                    <w:sz w:val="22"/>
                    <w:szCs w:val="22"/>
                  </w:rPr>
                  <w:t>Kitas materialusis turtas</w:t>
                </w:r>
              </w:p>
            </w:tc>
            <w:tc>
              <w:tcPr>
                <w:tcW w:w="1701" w:type="dxa"/>
              </w:tcPr>
              <w:p>
                <w:pPr>
                  <w:overflowPunct w:val="0"/>
                  <w:ind w:right="284"/>
                  <w:jc w:val="right"/>
                  <w:textAlignment w:val="baseline"/>
                  <w:rPr>
                    <w:b/>
                    <w:sz w:val="22"/>
                    <w:szCs w:val="22"/>
                  </w:rPr>
                </w:pPr>
              </w:p>
            </w:tc>
            <w:tc>
              <w:tcPr>
                <w:tcW w:w="1560" w:type="dxa"/>
              </w:tcPr>
              <w:p>
                <w:pPr>
                  <w:overflowPunct w:val="0"/>
                  <w:ind w:right="284"/>
                  <w:jc w:val="right"/>
                  <w:textAlignment w:val="baseline"/>
                  <w:rPr>
                    <w:b/>
                    <w:sz w:val="22"/>
                    <w:szCs w:val="22"/>
                  </w:rPr>
                </w:pPr>
              </w:p>
            </w:tc>
          </w:tr>
          <w:tr>
            <w:tc>
              <w:tcPr>
                <w:tcW w:w="1008" w:type="dxa"/>
              </w:tcPr>
              <w:p>
                <w:pPr>
                  <w:overflowPunct w:val="0"/>
                  <w:jc w:val="center"/>
                  <w:textAlignment w:val="baseline"/>
                  <w:rPr>
                    <w:b/>
                    <w:sz w:val="22"/>
                    <w:szCs w:val="22"/>
                  </w:rPr>
                </w:pPr>
                <w:r>
                  <w:rPr>
                    <w:b/>
                    <w:sz w:val="22"/>
                    <w:szCs w:val="22"/>
                  </w:rPr>
                  <w:t>III.</w:t>
                </w:r>
              </w:p>
            </w:tc>
            <w:tc>
              <w:tcPr>
                <w:tcW w:w="5337" w:type="dxa"/>
              </w:tcPr>
              <w:p>
                <w:pPr>
                  <w:overflowPunct w:val="0"/>
                  <w:jc w:val="both"/>
                  <w:textAlignment w:val="baseline"/>
                  <w:rPr>
                    <w:b/>
                    <w:sz w:val="22"/>
                    <w:szCs w:val="22"/>
                  </w:rPr>
                </w:pPr>
                <w:r>
                  <w:rPr>
                    <w:b/>
                    <w:sz w:val="22"/>
                    <w:szCs w:val="22"/>
                  </w:rPr>
                  <w:t>FINANSINIS TURTAS</w:t>
                </w:r>
              </w:p>
            </w:tc>
            <w:tc>
              <w:tcPr>
                <w:tcW w:w="1701" w:type="dxa"/>
              </w:tcPr>
              <w:p>
                <w:pPr>
                  <w:overflowPunct w:val="0"/>
                  <w:ind w:right="284"/>
                  <w:jc w:val="right"/>
                  <w:textAlignment w:val="baseline"/>
                  <w:rPr>
                    <w:b/>
                    <w:sz w:val="22"/>
                    <w:szCs w:val="22"/>
                  </w:rPr>
                </w:pPr>
              </w:p>
            </w:tc>
            <w:tc>
              <w:tcPr>
                <w:tcW w:w="1560" w:type="dxa"/>
              </w:tcPr>
              <w:p>
                <w:pPr>
                  <w:overflowPunct w:val="0"/>
                  <w:ind w:right="284"/>
                  <w:jc w:val="right"/>
                  <w:textAlignment w:val="baseline"/>
                  <w:rPr>
                    <w:b/>
                    <w:sz w:val="22"/>
                    <w:szCs w:val="22"/>
                  </w:rPr>
                </w:pPr>
              </w:p>
            </w:tc>
          </w:tr>
          <w:tr>
            <w:tc>
              <w:tcPr>
                <w:tcW w:w="1008" w:type="dxa"/>
              </w:tcPr>
              <w:p>
                <w:pPr>
                  <w:overflowPunct w:val="0"/>
                  <w:jc w:val="center"/>
                  <w:textAlignment w:val="baseline"/>
                  <w:rPr>
                    <w:b/>
                    <w:sz w:val="22"/>
                    <w:szCs w:val="22"/>
                  </w:rPr>
                </w:pPr>
                <w:r>
                  <w:rPr>
                    <w:b/>
                    <w:sz w:val="22"/>
                    <w:szCs w:val="22"/>
                  </w:rPr>
                  <w:t>G.</w:t>
                </w:r>
              </w:p>
            </w:tc>
            <w:tc>
              <w:tcPr>
                <w:tcW w:w="5337" w:type="dxa"/>
              </w:tcPr>
              <w:p>
                <w:pPr>
                  <w:overflowPunct w:val="0"/>
                  <w:jc w:val="both"/>
                  <w:textAlignment w:val="baseline"/>
                  <w:rPr>
                    <w:b/>
                    <w:sz w:val="22"/>
                    <w:szCs w:val="22"/>
                  </w:rPr>
                </w:pPr>
                <w:r>
                  <w:rPr>
                    <w:b/>
                    <w:sz w:val="22"/>
                    <w:szCs w:val="22"/>
                  </w:rPr>
                  <w:t xml:space="preserve">BIOLOGINIS TURTAS </w:t>
                </w:r>
              </w:p>
            </w:tc>
            <w:tc>
              <w:tcPr>
                <w:tcW w:w="1701" w:type="dxa"/>
              </w:tcPr>
              <w:p>
                <w:pPr>
                  <w:overflowPunct w:val="0"/>
                  <w:ind w:right="284"/>
                  <w:jc w:val="right"/>
                  <w:textAlignment w:val="baseline"/>
                  <w:rPr>
                    <w:b/>
                    <w:sz w:val="22"/>
                    <w:szCs w:val="22"/>
                  </w:rPr>
                </w:pPr>
              </w:p>
            </w:tc>
            <w:tc>
              <w:tcPr>
                <w:tcW w:w="1560" w:type="dxa"/>
              </w:tcPr>
              <w:p>
                <w:pPr>
                  <w:overflowPunct w:val="0"/>
                  <w:ind w:right="284"/>
                  <w:jc w:val="right"/>
                  <w:textAlignment w:val="baseline"/>
                  <w:rPr>
                    <w:b/>
                    <w:sz w:val="22"/>
                    <w:szCs w:val="22"/>
                  </w:rPr>
                </w:pPr>
              </w:p>
            </w:tc>
          </w:tr>
          <w:tr>
            <w:tc>
              <w:tcPr>
                <w:tcW w:w="1008" w:type="dxa"/>
              </w:tcPr>
              <w:p>
                <w:pPr>
                  <w:overflowPunct w:val="0"/>
                  <w:jc w:val="center"/>
                  <w:textAlignment w:val="baseline"/>
                  <w:rPr>
                    <w:sz w:val="22"/>
                    <w:szCs w:val="22"/>
                  </w:rPr>
                </w:pPr>
                <w:r>
                  <w:rPr>
                    <w:sz w:val="22"/>
                    <w:szCs w:val="22"/>
                  </w:rPr>
                  <w:t>I.</w:t>
                </w:r>
              </w:p>
            </w:tc>
            <w:tc>
              <w:tcPr>
                <w:tcW w:w="5337" w:type="dxa"/>
              </w:tcPr>
              <w:p>
                <w:pPr>
                  <w:overflowPunct w:val="0"/>
                  <w:jc w:val="both"/>
                  <w:textAlignment w:val="baseline"/>
                  <w:rPr>
                    <w:sz w:val="22"/>
                    <w:szCs w:val="22"/>
                  </w:rPr>
                </w:pPr>
                <w:r>
                  <w:rPr>
                    <w:sz w:val="22"/>
                    <w:szCs w:val="22"/>
                  </w:rPr>
                  <w:t>Daugiamečiai sodiniai</w:t>
                </w:r>
              </w:p>
            </w:tc>
            <w:tc>
              <w:tcPr>
                <w:tcW w:w="1701" w:type="dxa"/>
              </w:tcPr>
              <w:p>
                <w:pPr>
                  <w:overflowPunct w:val="0"/>
                  <w:ind w:right="284"/>
                  <w:jc w:val="right"/>
                  <w:textAlignment w:val="baseline"/>
                  <w:rPr>
                    <w:sz w:val="22"/>
                    <w:szCs w:val="22"/>
                  </w:rPr>
                </w:pPr>
              </w:p>
            </w:tc>
            <w:tc>
              <w:tcPr>
                <w:tcW w:w="1560" w:type="dxa"/>
              </w:tcPr>
              <w:p>
                <w:pPr>
                  <w:overflowPunct w:val="0"/>
                  <w:ind w:right="284"/>
                  <w:jc w:val="right"/>
                  <w:textAlignment w:val="baseline"/>
                  <w:rPr>
                    <w:sz w:val="22"/>
                    <w:szCs w:val="22"/>
                  </w:rPr>
                </w:pPr>
              </w:p>
            </w:tc>
          </w:tr>
          <w:tr>
            <w:tc>
              <w:tcPr>
                <w:tcW w:w="1008" w:type="dxa"/>
              </w:tcPr>
              <w:p>
                <w:pPr>
                  <w:overflowPunct w:val="0"/>
                  <w:jc w:val="center"/>
                  <w:textAlignment w:val="baseline"/>
                  <w:rPr>
                    <w:sz w:val="22"/>
                    <w:szCs w:val="22"/>
                  </w:rPr>
                </w:pPr>
                <w:r>
                  <w:rPr>
                    <w:sz w:val="22"/>
                    <w:szCs w:val="22"/>
                  </w:rPr>
                  <w:t>II.</w:t>
                </w:r>
              </w:p>
            </w:tc>
            <w:tc>
              <w:tcPr>
                <w:tcW w:w="5337" w:type="dxa"/>
              </w:tcPr>
              <w:p>
                <w:pPr>
                  <w:overflowPunct w:val="0"/>
                  <w:jc w:val="both"/>
                  <w:textAlignment w:val="baseline"/>
                  <w:rPr>
                    <w:sz w:val="22"/>
                    <w:szCs w:val="22"/>
                  </w:rPr>
                </w:pPr>
                <w:r>
                  <w:rPr>
                    <w:sz w:val="22"/>
                    <w:szCs w:val="22"/>
                  </w:rPr>
                  <w:t>Gyvuliai ir kiti gyvūnai</w:t>
                </w:r>
              </w:p>
            </w:tc>
            <w:tc>
              <w:tcPr>
                <w:tcW w:w="1701" w:type="dxa"/>
              </w:tcPr>
              <w:p>
                <w:pPr>
                  <w:overflowPunct w:val="0"/>
                  <w:ind w:right="284"/>
                  <w:jc w:val="right"/>
                  <w:textAlignment w:val="baseline"/>
                  <w:rPr>
                    <w:sz w:val="22"/>
                    <w:szCs w:val="22"/>
                  </w:rPr>
                </w:pPr>
              </w:p>
            </w:tc>
            <w:tc>
              <w:tcPr>
                <w:tcW w:w="1560" w:type="dxa"/>
              </w:tcPr>
              <w:p>
                <w:pPr>
                  <w:overflowPunct w:val="0"/>
                  <w:ind w:right="284"/>
                  <w:jc w:val="right"/>
                  <w:textAlignment w:val="baseline"/>
                  <w:rPr>
                    <w:sz w:val="22"/>
                    <w:szCs w:val="22"/>
                  </w:rPr>
                </w:pPr>
              </w:p>
            </w:tc>
          </w:tr>
          <w:tr>
            <w:tc>
              <w:tcPr>
                <w:tcW w:w="1008" w:type="dxa"/>
              </w:tcPr>
              <w:p>
                <w:pPr>
                  <w:overflowPunct w:val="0"/>
                  <w:jc w:val="center"/>
                  <w:textAlignment w:val="baseline"/>
                  <w:rPr>
                    <w:sz w:val="22"/>
                    <w:szCs w:val="22"/>
                  </w:rPr>
                </w:pPr>
                <w:r>
                  <w:rPr>
                    <w:sz w:val="22"/>
                    <w:szCs w:val="22"/>
                  </w:rPr>
                  <w:t>III.</w:t>
                </w:r>
              </w:p>
            </w:tc>
            <w:tc>
              <w:tcPr>
                <w:tcW w:w="5337" w:type="dxa"/>
              </w:tcPr>
              <w:p>
                <w:pPr>
                  <w:overflowPunct w:val="0"/>
                  <w:jc w:val="both"/>
                  <w:textAlignment w:val="baseline"/>
                  <w:rPr>
                    <w:sz w:val="22"/>
                    <w:szCs w:val="22"/>
                  </w:rPr>
                </w:pPr>
                <w:r>
                  <w:rPr>
                    <w:sz w:val="22"/>
                    <w:szCs w:val="22"/>
                  </w:rPr>
                  <w:t xml:space="preserve">Pasėliai </w:t>
                </w:r>
              </w:p>
            </w:tc>
            <w:tc>
              <w:tcPr>
                <w:tcW w:w="1701" w:type="dxa"/>
              </w:tcPr>
              <w:p>
                <w:pPr>
                  <w:overflowPunct w:val="0"/>
                  <w:ind w:right="284"/>
                  <w:jc w:val="right"/>
                  <w:textAlignment w:val="baseline"/>
                  <w:rPr>
                    <w:sz w:val="22"/>
                    <w:szCs w:val="22"/>
                  </w:rPr>
                </w:pPr>
              </w:p>
            </w:tc>
            <w:tc>
              <w:tcPr>
                <w:tcW w:w="1560" w:type="dxa"/>
              </w:tcPr>
              <w:p>
                <w:pPr>
                  <w:overflowPunct w:val="0"/>
                  <w:ind w:right="284"/>
                  <w:jc w:val="right"/>
                  <w:textAlignment w:val="baseline"/>
                  <w:rPr>
                    <w:sz w:val="22"/>
                    <w:szCs w:val="22"/>
                  </w:rPr>
                </w:pPr>
              </w:p>
            </w:tc>
          </w:tr>
          <w:tr>
            <w:tc>
              <w:tcPr>
                <w:tcW w:w="1008" w:type="dxa"/>
              </w:tcPr>
              <w:p>
                <w:pPr>
                  <w:overflowPunct w:val="0"/>
                  <w:jc w:val="center"/>
                  <w:textAlignment w:val="baseline"/>
                  <w:rPr>
                    <w:b/>
                    <w:sz w:val="22"/>
                    <w:szCs w:val="22"/>
                  </w:rPr>
                </w:pPr>
                <w:r>
                  <w:rPr>
                    <w:b/>
                    <w:sz w:val="22"/>
                    <w:szCs w:val="22"/>
                  </w:rPr>
                  <w:t>B.</w:t>
                </w:r>
              </w:p>
            </w:tc>
            <w:tc>
              <w:tcPr>
                <w:tcW w:w="5337" w:type="dxa"/>
              </w:tcPr>
              <w:p>
                <w:pPr>
                  <w:overflowPunct w:val="0"/>
                  <w:jc w:val="both"/>
                  <w:textAlignment w:val="baseline"/>
                  <w:rPr>
                    <w:b/>
                    <w:sz w:val="22"/>
                    <w:szCs w:val="22"/>
                  </w:rPr>
                </w:pPr>
                <w:r>
                  <w:rPr>
                    <w:b/>
                    <w:sz w:val="22"/>
                    <w:szCs w:val="22"/>
                  </w:rPr>
                  <w:t>TRUMPALAIKIS TURTAS</w:t>
                </w:r>
              </w:p>
            </w:tc>
            <w:tc>
              <w:tcPr>
                <w:tcW w:w="1701" w:type="dxa"/>
              </w:tcPr>
              <w:p>
                <w:pPr>
                  <w:overflowPunct w:val="0"/>
                  <w:ind w:right="284"/>
                  <w:jc w:val="right"/>
                  <w:textAlignment w:val="baseline"/>
                  <w:rPr>
                    <w:b/>
                    <w:sz w:val="22"/>
                    <w:szCs w:val="22"/>
                  </w:rPr>
                </w:pPr>
              </w:p>
            </w:tc>
            <w:tc>
              <w:tcPr>
                <w:tcW w:w="1560" w:type="dxa"/>
              </w:tcPr>
              <w:p>
                <w:pPr>
                  <w:overflowPunct w:val="0"/>
                  <w:ind w:right="284"/>
                  <w:jc w:val="right"/>
                  <w:textAlignment w:val="baseline"/>
                  <w:rPr>
                    <w:b/>
                    <w:sz w:val="22"/>
                    <w:szCs w:val="22"/>
                  </w:rPr>
                </w:pPr>
              </w:p>
            </w:tc>
          </w:tr>
          <w:tr>
            <w:tc>
              <w:tcPr>
                <w:tcW w:w="1008" w:type="dxa"/>
              </w:tcPr>
              <w:p>
                <w:pPr>
                  <w:overflowPunct w:val="0"/>
                  <w:jc w:val="center"/>
                  <w:textAlignment w:val="baseline"/>
                  <w:rPr>
                    <w:b/>
                    <w:sz w:val="22"/>
                    <w:szCs w:val="22"/>
                  </w:rPr>
                </w:pPr>
                <w:r>
                  <w:rPr>
                    <w:b/>
                    <w:sz w:val="22"/>
                    <w:szCs w:val="22"/>
                  </w:rPr>
                  <w:t>I.</w:t>
                </w:r>
              </w:p>
            </w:tc>
            <w:tc>
              <w:tcPr>
                <w:tcW w:w="5337" w:type="dxa"/>
              </w:tcPr>
              <w:p>
                <w:pPr>
                  <w:overflowPunct w:val="0"/>
                  <w:jc w:val="both"/>
                  <w:textAlignment w:val="baseline"/>
                  <w:rPr>
                    <w:b/>
                    <w:sz w:val="22"/>
                    <w:szCs w:val="22"/>
                  </w:rPr>
                </w:pPr>
                <w:r>
                  <w:rPr>
                    <w:b/>
                    <w:sz w:val="22"/>
                    <w:szCs w:val="22"/>
                  </w:rPr>
                  <w:t>ATSARGOS, IŠANKSTINIAI APMOKĖJIMAI IR NEBAIGTOS VYKDYTI SUTARYS</w:t>
                </w:r>
              </w:p>
            </w:tc>
            <w:tc>
              <w:tcPr>
                <w:tcW w:w="1701" w:type="dxa"/>
                <w:vAlign w:val="center"/>
              </w:tcPr>
              <w:p>
                <w:pPr>
                  <w:overflowPunct w:val="0"/>
                  <w:ind w:right="284"/>
                  <w:jc w:val="right"/>
                  <w:textAlignment w:val="baseline"/>
                  <w:rPr>
                    <w:b/>
                    <w:sz w:val="22"/>
                    <w:szCs w:val="22"/>
                  </w:rPr>
                </w:pPr>
              </w:p>
            </w:tc>
            <w:tc>
              <w:tcPr>
                <w:tcW w:w="1560" w:type="dxa"/>
                <w:vAlign w:val="center"/>
              </w:tcPr>
              <w:p>
                <w:pPr>
                  <w:overflowPunct w:val="0"/>
                  <w:ind w:right="284"/>
                  <w:jc w:val="right"/>
                  <w:textAlignment w:val="baseline"/>
                  <w:rPr>
                    <w:b/>
                    <w:sz w:val="22"/>
                    <w:szCs w:val="22"/>
                  </w:rPr>
                </w:pPr>
              </w:p>
            </w:tc>
          </w:tr>
          <w:tr>
            <w:tc>
              <w:tcPr>
                <w:tcW w:w="1008" w:type="dxa"/>
              </w:tcPr>
              <w:p>
                <w:pPr>
                  <w:overflowPunct w:val="0"/>
                  <w:jc w:val="center"/>
                  <w:textAlignment w:val="baseline"/>
                  <w:rPr>
                    <w:sz w:val="22"/>
                    <w:szCs w:val="22"/>
                  </w:rPr>
                </w:pPr>
                <w:r>
                  <w:rPr>
                    <w:sz w:val="22"/>
                    <w:szCs w:val="22"/>
                  </w:rPr>
                  <w:t>I.1.</w:t>
                </w:r>
              </w:p>
            </w:tc>
            <w:tc>
              <w:tcPr>
                <w:tcW w:w="5337" w:type="dxa"/>
              </w:tcPr>
              <w:p>
                <w:pPr>
                  <w:overflowPunct w:val="0"/>
                  <w:jc w:val="both"/>
                  <w:textAlignment w:val="baseline"/>
                  <w:rPr>
                    <w:sz w:val="22"/>
                    <w:szCs w:val="22"/>
                  </w:rPr>
                </w:pPr>
                <w:r>
                  <w:rPr>
                    <w:sz w:val="22"/>
                    <w:szCs w:val="22"/>
                  </w:rPr>
                  <w:t>Atsargos</w:t>
                </w:r>
              </w:p>
            </w:tc>
            <w:tc>
              <w:tcPr>
                <w:tcW w:w="1701" w:type="dxa"/>
                <w:vAlign w:val="center"/>
              </w:tcPr>
              <w:p>
                <w:pPr>
                  <w:overflowPunct w:val="0"/>
                  <w:ind w:right="284"/>
                  <w:jc w:val="right"/>
                  <w:textAlignment w:val="baseline"/>
                  <w:rPr>
                    <w:sz w:val="22"/>
                    <w:szCs w:val="22"/>
                  </w:rPr>
                </w:pPr>
              </w:p>
            </w:tc>
            <w:tc>
              <w:tcPr>
                <w:tcW w:w="1560" w:type="dxa"/>
                <w:vAlign w:val="center"/>
              </w:tcPr>
              <w:p>
                <w:pPr>
                  <w:overflowPunct w:val="0"/>
                  <w:ind w:right="284"/>
                  <w:jc w:val="right"/>
                  <w:textAlignment w:val="baseline"/>
                  <w:rPr>
                    <w:sz w:val="22"/>
                    <w:szCs w:val="22"/>
                  </w:rPr>
                </w:pPr>
              </w:p>
            </w:tc>
          </w:tr>
          <w:tr>
            <w:tc>
              <w:tcPr>
                <w:tcW w:w="1008" w:type="dxa"/>
              </w:tcPr>
              <w:p>
                <w:pPr>
                  <w:overflowPunct w:val="0"/>
                  <w:jc w:val="center"/>
                  <w:textAlignment w:val="baseline"/>
                  <w:rPr>
                    <w:sz w:val="22"/>
                    <w:szCs w:val="22"/>
                  </w:rPr>
                </w:pPr>
                <w:r>
                  <w:rPr>
                    <w:sz w:val="22"/>
                    <w:szCs w:val="22"/>
                  </w:rPr>
                  <w:t>I.1.1.</w:t>
                </w:r>
              </w:p>
            </w:tc>
            <w:tc>
              <w:tcPr>
                <w:tcW w:w="5337" w:type="dxa"/>
              </w:tcPr>
              <w:p>
                <w:pPr>
                  <w:overflowPunct w:val="0"/>
                  <w:jc w:val="both"/>
                  <w:textAlignment w:val="baseline"/>
                  <w:rPr>
                    <w:sz w:val="22"/>
                    <w:szCs w:val="22"/>
                  </w:rPr>
                </w:pPr>
                <w:r>
                  <w:rPr>
                    <w:sz w:val="22"/>
                    <w:szCs w:val="22"/>
                  </w:rPr>
                  <w:t>Žaliavos ir komplektavimo gaminiai</w:t>
                </w:r>
              </w:p>
            </w:tc>
            <w:tc>
              <w:tcPr>
                <w:tcW w:w="1701" w:type="dxa"/>
              </w:tcPr>
              <w:p>
                <w:pPr>
                  <w:overflowPunct w:val="0"/>
                  <w:ind w:right="284"/>
                  <w:jc w:val="right"/>
                  <w:textAlignment w:val="baseline"/>
                  <w:rPr>
                    <w:sz w:val="22"/>
                    <w:szCs w:val="22"/>
                  </w:rPr>
                </w:pPr>
              </w:p>
            </w:tc>
            <w:tc>
              <w:tcPr>
                <w:tcW w:w="1560" w:type="dxa"/>
              </w:tcPr>
              <w:p>
                <w:pPr>
                  <w:overflowPunct w:val="0"/>
                  <w:ind w:right="284"/>
                  <w:jc w:val="right"/>
                  <w:textAlignment w:val="baseline"/>
                  <w:rPr>
                    <w:sz w:val="22"/>
                    <w:szCs w:val="22"/>
                  </w:rPr>
                </w:pPr>
              </w:p>
            </w:tc>
          </w:tr>
          <w:tr>
            <w:tc>
              <w:tcPr>
                <w:tcW w:w="1008" w:type="dxa"/>
              </w:tcPr>
              <w:p>
                <w:pPr>
                  <w:overflowPunct w:val="0"/>
                  <w:jc w:val="center"/>
                  <w:textAlignment w:val="baseline"/>
                  <w:rPr>
                    <w:sz w:val="22"/>
                    <w:szCs w:val="22"/>
                  </w:rPr>
                </w:pPr>
                <w:r>
                  <w:rPr>
                    <w:sz w:val="22"/>
                    <w:szCs w:val="22"/>
                  </w:rPr>
                  <w:t>I.1.2.</w:t>
                </w:r>
              </w:p>
            </w:tc>
            <w:tc>
              <w:tcPr>
                <w:tcW w:w="5337" w:type="dxa"/>
              </w:tcPr>
              <w:p>
                <w:pPr>
                  <w:overflowPunct w:val="0"/>
                  <w:jc w:val="both"/>
                  <w:textAlignment w:val="baseline"/>
                  <w:rPr>
                    <w:sz w:val="22"/>
                    <w:szCs w:val="22"/>
                  </w:rPr>
                </w:pPr>
                <w:r>
                  <w:rPr>
                    <w:sz w:val="22"/>
                    <w:szCs w:val="22"/>
                  </w:rPr>
                  <w:t>Nebaigta gamyba (išskyrus pasėlius)</w:t>
                </w:r>
              </w:p>
            </w:tc>
            <w:tc>
              <w:tcPr>
                <w:tcW w:w="1701" w:type="dxa"/>
              </w:tcPr>
              <w:p>
                <w:pPr>
                  <w:overflowPunct w:val="0"/>
                  <w:ind w:right="284"/>
                  <w:jc w:val="right"/>
                  <w:textAlignment w:val="baseline"/>
                  <w:rPr>
                    <w:sz w:val="22"/>
                    <w:szCs w:val="22"/>
                  </w:rPr>
                </w:pPr>
              </w:p>
            </w:tc>
            <w:tc>
              <w:tcPr>
                <w:tcW w:w="1560" w:type="dxa"/>
              </w:tcPr>
              <w:p>
                <w:pPr>
                  <w:overflowPunct w:val="0"/>
                  <w:ind w:right="284"/>
                  <w:jc w:val="right"/>
                  <w:textAlignment w:val="baseline"/>
                  <w:rPr>
                    <w:sz w:val="22"/>
                    <w:szCs w:val="22"/>
                  </w:rPr>
                </w:pPr>
              </w:p>
            </w:tc>
          </w:tr>
          <w:tr>
            <w:tc>
              <w:tcPr>
                <w:tcW w:w="1008" w:type="dxa"/>
              </w:tcPr>
              <w:p>
                <w:pPr>
                  <w:overflowPunct w:val="0"/>
                  <w:jc w:val="center"/>
                  <w:textAlignment w:val="baseline"/>
                  <w:rPr>
                    <w:sz w:val="22"/>
                    <w:szCs w:val="22"/>
                  </w:rPr>
                </w:pPr>
                <w:r>
                  <w:rPr>
                    <w:sz w:val="22"/>
                    <w:szCs w:val="22"/>
                  </w:rPr>
                  <w:t>I.1.3.</w:t>
                </w:r>
              </w:p>
            </w:tc>
            <w:tc>
              <w:tcPr>
                <w:tcW w:w="5337" w:type="dxa"/>
              </w:tcPr>
              <w:p>
                <w:pPr>
                  <w:overflowPunct w:val="0"/>
                  <w:jc w:val="both"/>
                  <w:textAlignment w:val="baseline"/>
                  <w:rPr>
                    <w:sz w:val="22"/>
                    <w:szCs w:val="22"/>
                  </w:rPr>
                </w:pPr>
                <w:r>
                  <w:rPr>
                    <w:sz w:val="22"/>
                    <w:szCs w:val="22"/>
                  </w:rPr>
                  <w:t>Pagaminta produkcija</w:t>
                </w:r>
              </w:p>
            </w:tc>
            <w:tc>
              <w:tcPr>
                <w:tcW w:w="1701" w:type="dxa"/>
              </w:tcPr>
              <w:p>
                <w:pPr>
                  <w:overflowPunct w:val="0"/>
                  <w:ind w:right="284"/>
                  <w:jc w:val="right"/>
                  <w:textAlignment w:val="baseline"/>
                  <w:rPr>
                    <w:sz w:val="22"/>
                    <w:szCs w:val="22"/>
                  </w:rPr>
                </w:pPr>
              </w:p>
            </w:tc>
            <w:tc>
              <w:tcPr>
                <w:tcW w:w="1560" w:type="dxa"/>
              </w:tcPr>
              <w:p>
                <w:pPr>
                  <w:overflowPunct w:val="0"/>
                  <w:ind w:right="284"/>
                  <w:jc w:val="right"/>
                  <w:textAlignment w:val="baseline"/>
                  <w:rPr>
                    <w:sz w:val="22"/>
                    <w:szCs w:val="22"/>
                  </w:rPr>
                </w:pPr>
              </w:p>
            </w:tc>
          </w:tr>
          <w:tr>
            <w:tc>
              <w:tcPr>
                <w:tcW w:w="1008" w:type="dxa"/>
              </w:tcPr>
              <w:p>
                <w:pPr>
                  <w:overflowPunct w:val="0"/>
                  <w:jc w:val="center"/>
                  <w:textAlignment w:val="baseline"/>
                  <w:rPr>
                    <w:sz w:val="22"/>
                    <w:szCs w:val="22"/>
                  </w:rPr>
                </w:pPr>
                <w:r>
                  <w:rPr>
                    <w:sz w:val="22"/>
                    <w:szCs w:val="22"/>
                  </w:rPr>
                  <w:t>I.1.3.1.</w:t>
                </w:r>
              </w:p>
            </w:tc>
            <w:tc>
              <w:tcPr>
                <w:tcW w:w="5337" w:type="dxa"/>
              </w:tcPr>
              <w:p>
                <w:pPr>
                  <w:overflowPunct w:val="0"/>
                  <w:jc w:val="both"/>
                  <w:textAlignment w:val="baseline"/>
                  <w:rPr>
                    <w:sz w:val="22"/>
                    <w:szCs w:val="22"/>
                  </w:rPr>
                </w:pPr>
                <w:r>
                  <w:rPr>
                    <w:sz w:val="22"/>
                    <w:szCs w:val="22"/>
                  </w:rPr>
                  <w:t>Žemės ūkio produkcija</w:t>
                </w:r>
              </w:p>
            </w:tc>
            <w:tc>
              <w:tcPr>
                <w:tcW w:w="1701" w:type="dxa"/>
              </w:tcPr>
              <w:p>
                <w:pPr>
                  <w:overflowPunct w:val="0"/>
                  <w:ind w:right="284"/>
                  <w:jc w:val="right"/>
                  <w:textAlignment w:val="baseline"/>
                  <w:rPr>
                    <w:sz w:val="22"/>
                    <w:szCs w:val="22"/>
                  </w:rPr>
                </w:pPr>
              </w:p>
            </w:tc>
            <w:tc>
              <w:tcPr>
                <w:tcW w:w="1560" w:type="dxa"/>
              </w:tcPr>
              <w:p>
                <w:pPr>
                  <w:overflowPunct w:val="0"/>
                  <w:ind w:right="284"/>
                  <w:jc w:val="right"/>
                  <w:textAlignment w:val="baseline"/>
                  <w:rPr>
                    <w:sz w:val="22"/>
                    <w:szCs w:val="22"/>
                  </w:rPr>
                </w:pPr>
              </w:p>
            </w:tc>
          </w:tr>
          <w:tr>
            <w:tc>
              <w:tcPr>
                <w:tcW w:w="1008" w:type="dxa"/>
              </w:tcPr>
              <w:p>
                <w:pPr>
                  <w:overflowPunct w:val="0"/>
                  <w:jc w:val="center"/>
                  <w:textAlignment w:val="baseline"/>
                  <w:rPr>
                    <w:sz w:val="22"/>
                    <w:szCs w:val="22"/>
                  </w:rPr>
                </w:pPr>
                <w:r>
                  <w:rPr>
                    <w:sz w:val="22"/>
                    <w:szCs w:val="22"/>
                  </w:rPr>
                  <w:t>I.1.3.2.</w:t>
                </w:r>
              </w:p>
            </w:tc>
            <w:tc>
              <w:tcPr>
                <w:tcW w:w="5337" w:type="dxa"/>
              </w:tcPr>
              <w:p>
                <w:pPr>
                  <w:overflowPunct w:val="0"/>
                  <w:jc w:val="both"/>
                  <w:textAlignment w:val="baseline"/>
                  <w:rPr>
                    <w:sz w:val="22"/>
                    <w:szCs w:val="22"/>
                  </w:rPr>
                </w:pPr>
                <w:r>
                  <w:rPr>
                    <w:sz w:val="22"/>
                    <w:szCs w:val="22"/>
                  </w:rPr>
                  <w:t>Kita produkcija</w:t>
                </w:r>
              </w:p>
            </w:tc>
            <w:tc>
              <w:tcPr>
                <w:tcW w:w="1701" w:type="dxa"/>
              </w:tcPr>
              <w:p>
                <w:pPr>
                  <w:overflowPunct w:val="0"/>
                  <w:ind w:right="284"/>
                  <w:jc w:val="right"/>
                  <w:textAlignment w:val="baseline"/>
                  <w:rPr>
                    <w:sz w:val="22"/>
                    <w:szCs w:val="22"/>
                  </w:rPr>
                </w:pPr>
              </w:p>
            </w:tc>
            <w:tc>
              <w:tcPr>
                <w:tcW w:w="1560" w:type="dxa"/>
              </w:tcPr>
              <w:p>
                <w:pPr>
                  <w:overflowPunct w:val="0"/>
                  <w:ind w:right="284"/>
                  <w:jc w:val="right"/>
                  <w:textAlignment w:val="baseline"/>
                  <w:rPr>
                    <w:sz w:val="22"/>
                    <w:szCs w:val="22"/>
                  </w:rPr>
                </w:pPr>
              </w:p>
            </w:tc>
          </w:tr>
          <w:tr>
            <w:tc>
              <w:tcPr>
                <w:tcW w:w="1008" w:type="dxa"/>
              </w:tcPr>
              <w:p>
                <w:pPr>
                  <w:overflowPunct w:val="0"/>
                  <w:jc w:val="center"/>
                  <w:textAlignment w:val="baseline"/>
                  <w:rPr>
                    <w:sz w:val="22"/>
                    <w:szCs w:val="22"/>
                  </w:rPr>
                </w:pPr>
                <w:r>
                  <w:rPr>
                    <w:sz w:val="22"/>
                    <w:szCs w:val="22"/>
                  </w:rPr>
                  <w:t>I.1.4.</w:t>
                </w:r>
              </w:p>
            </w:tc>
            <w:tc>
              <w:tcPr>
                <w:tcW w:w="5337" w:type="dxa"/>
              </w:tcPr>
              <w:p>
                <w:pPr>
                  <w:overflowPunct w:val="0"/>
                  <w:jc w:val="both"/>
                  <w:textAlignment w:val="baseline"/>
                  <w:rPr>
                    <w:sz w:val="22"/>
                    <w:szCs w:val="22"/>
                  </w:rPr>
                </w:pPr>
                <w:r>
                  <w:rPr>
                    <w:sz w:val="22"/>
                    <w:szCs w:val="22"/>
                  </w:rPr>
                  <w:t>Pirktos prekės, skirtos perparduoti</w:t>
                </w:r>
              </w:p>
            </w:tc>
            <w:tc>
              <w:tcPr>
                <w:tcW w:w="1701" w:type="dxa"/>
              </w:tcPr>
              <w:p>
                <w:pPr>
                  <w:overflowPunct w:val="0"/>
                  <w:ind w:right="284"/>
                  <w:jc w:val="right"/>
                  <w:textAlignment w:val="baseline"/>
                  <w:rPr>
                    <w:sz w:val="22"/>
                    <w:szCs w:val="22"/>
                  </w:rPr>
                </w:pPr>
              </w:p>
            </w:tc>
            <w:tc>
              <w:tcPr>
                <w:tcW w:w="1560" w:type="dxa"/>
              </w:tcPr>
              <w:p>
                <w:pPr>
                  <w:overflowPunct w:val="0"/>
                  <w:ind w:right="284"/>
                  <w:jc w:val="right"/>
                  <w:textAlignment w:val="baseline"/>
                  <w:rPr>
                    <w:sz w:val="22"/>
                    <w:szCs w:val="22"/>
                  </w:rPr>
                </w:pPr>
              </w:p>
            </w:tc>
          </w:tr>
          <w:tr>
            <w:tc>
              <w:tcPr>
                <w:tcW w:w="1008" w:type="dxa"/>
              </w:tcPr>
              <w:p>
                <w:pPr>
                  <w:overflowPunct w:val="0"/>
                  <w:jc w:val="center"/>
                  <w:textAlignment w:val="baseline"/>
                  <w:rPr>
                    <w:sz w:val="22"/>
                    <w:szCs w:val="22"/>
                  </w:rPr>
                </w:pPr>
                <w:r>
                  <w:rPr>
                    <w:sz w:val="22"/>
                    <w:szCs w:val="22"/>
                  </w:rPr>
                  <w:t>I.2.</w:t>
                </w:r>
              </w:p>
            </w:tc>
            <w:tc>
              <w:tcPr>
                <w:tcW w:w="5337" w:type="dxa"/>
              </w:tcPr>
              <w:p>
                <w:pPr>
                  <w:overflowPunct w:val="0"/>
                  <w:jc w:val="both"/>
                  <w:textAlignment w:val="baseline"/>
                  <w:rPr>
                    <w:sz w:val="22"/>
                    <w:szCs w:val="22"/>
                  </w:rPr>
                </w:pPr>
                <w:r>
                  <w:rPr>
                    <w:sz w:val="22"/>
                    <w:szCs w:val="22"/>
                  </w:rPr>
                  <w:t>Išankstiniai apmokėjimai</w:t>
                </w:r>
              </w:p>
            </w:tc>
            <w:tc>
              <w:tcPr>
                <w:tcW w:w="1701" w:type="dxa"/>
              </w:tcPr>
              <w:p>
                <w:pPr>
                  <w:overflowPunct w:val="0"/>
                  <w:ind w:right="284"/>
                  <w:jc w:val="right"/>
                  <w:textAlignment w:val="baseline"/>
                  <w:rPr>
                    <w:sz w:val="22"/>
                    <w:szCs w:val="22"/>
                  </w:rPr>
                </w:pPr>
              </w:p>
            </w:tc>
            <w:tc>
              <w:tcPr>
                <w:tcW w:w="1560" w:type="dxa"/>
              </w:tcPr>
              <w:p>
                <w:pPr>
                  <w:overflowPunct w:val="0"/>
                  <w:ind w:right="284"/>
                  <w:jc w:val="right"/>
                  <w:textAlignment w:val="baseline"/>
                  <w:rPr>
                    <w:sz w:val="22"/>
                    <w:szCs w:val="22"/>
                  </w:rPr>
                </w:pPr>
              </w:p>
            </w:tc>
          </w:tr>
          <w:tr>
            <w:tc>
              <w:tcPr>
                <w:tcW w:w="1008" w:type="dxa"/>
              </w:tcPr>
              <w:p>
                <w:pPr>
                  <w:overflowPunct w:val="0"/>
                  <w:jc w:val="center"/>
                  <w:textAlignment w:val="baseline"/>
                  <w:rPr>
                    <w:b/>
                    <w:sz w:val="22"/>
                    <w:szCs w:val="22"/>
                  </w:rPr>
                </w:pPr>
                <w:r>
                  <w:rPr>
                    <w:b/>
                    <w:sz w:val="22"/>
                    <w:szCs w:val="22"/>
                  </w:rPr>
                  <w:t>II.</w:t>
                </w:r>
              </w:p>
            </w:tc>
            <w:tc>
              <w:tcPr>
                <w:tcW w:w="5337" w:type="dxa"/>
              </w:tcPr>
              <w:p>
                <w:pPr>
                  <w:overflowPunct w:val="0"/>
                  <w:jc w:val="both"/>
                  <w:textAlignment w:val="baseline"/>
                  <w:rPr>
                    <w:b/>
                    <w:sz w:val="22"/>
                    <w:szCs w:val="22"/>
                  </w:rPr>
                </w:pPr>
                <w:r>
                  <w:rPr>
                    <w:b/>
                    <w:sz w:val="22"/>
                    <w:szCs w:val="22"/>
                  </w:rPr>
                  <w:t>PER VIENERIUS METUS GAUTINOS SUMOS</w:t>
                </w:r>
              </w:p>
            </w:tc>
            <w:tc>
              <w:tcPr>
                <w:tcW w:w="1701" w:type="dxa"/>
              </w:tcPr>
              <w:p>
                <w:pPr>
                  <w:overflowPunct w:val="0"/>
                  <w:ind w:right="284"/>
                  <w:jc w:val="right"/>
                  <w:textAlignment w:val="baseline"/>
                  <w:rPr>
                    <w:b/>
                    <w:sz w:val="22"/>
                    <w:szCs w:val="22"/>
                  </w:rPr>
                </w:pPr>
              </w:p>
            </w:tc>
            <w:tc>
              <w:tcPr>
                <w:tcW w:w="1560" w:type="dxa"/>
              </w:tcPr>
              <w:p>
                <w:pPr>
                  <w:overflowPunct w:val="0"/>
                  <w:ind w:right="284"/>
                  <w:jc w:val="right"/>
                  <w:textAlignment w:val="baseline"/>
                  <w:rPr>
                    <w:b/>
                    <w:sz w:val="22"/>
                    <w:szCs w:val="22"/>
                  </w:rPr>
                </w:pPr>
              </w:p>
            </w:tc>
          </w:tr>
          <w:tr>
            <w:tc>
              <w:tcPr>
                <w:tcW w:w="1008" w:type="dxa"/>
              </w:tcPr>
              <w:p>
                <w:pPr>
                  <w:overflowPunct w:val="0"/>
                  <w:jc w:val="center"/>
                  <w:textAlignment w:val="baseline"/>
                  <w:rPr>
                    <w:sz w:val="22"/>
                    <w:szCs w:val="22"/>
                  </w:rPr>
                </w:pPr>
                <w:r>
                  <w:rPr>
                    <w:sz w:val="22"/>
                    <w:szCs w:val="22"/>
                  </w:rPr>
                  <w:t>II.1.</w:t>
                </w:r>
              </w:p>
            </w:tc>
            <w:tc>
              <w:tcPr>
                <w:tcW w:w="5337" w:type="dxa"/>
              </w:tcPr>
              <w:p>
                <w:pPr>
                  <w:overflowPunct w:val="0"/>
                  <w:ind w:right="-129"/>
                  <w:jc w:val="both"/>
                  <w:textAlignment w:val="baseline"/>
                  <w:rPr>
                    <w:sz w:val="22"/>
                    <w:szCs w:val="22"/>
                  </w:rPr>
                </w:pPr>
                <w:r>
                  <w:rPr>
                    <w:sz w:val="22"/>
                    <w:szCs w:val="22"/>
                  </w:rPr>
                  <w:t>Pirkėjų skolos</w:t>
                </w:r>
              </w:p>
            </w:tc>
            <w:tc>
              <w:tcPr>
                <w:tcW w:w="1701" w:type="dxa"/>
              </w:tcPr>
              <w:p>
                <w:pPr>
                  <w:overflowPunct w:val="0"/>
                  <w:ind w:right="284"/>
                  <w:jc w:val="right"/>
                  <w:textAlignment w:val="baseline"/>
                  <w:rPr>
                    <w:sz w:val="22"/>
                    <w:szCs w:val="22"/>
                  </w:rPr>
                </w:pPr>
              </w:p>
            </w:tc>
            <w:tc>
              <w:tcPr>
                <w:tcW w:w="1560" w:type="dxa"/>
              </w:tcPr>
              <w:p>
                <w:pPr>
                  <w:overflowPunct w:val="0"/>
                  <w:ind w:right="284"/>
                  <w:jc w:val="right"/>
                  <w:textAlignment w:val="baseline"/>
                  <w:rPr>
                    <w:sz w:val="22"/>
                    <w:szCs w:val="22"/>
                  </w:rPr>
                </w:pPr>
              </w:p>
            </w:tc>
          </w:tr>
          <w:tr>
            <w:tc>
              <w:tcPr>
                <w:tcW w:w="1008" w:type="dxa"/>
              </w:tcPr>
              <w:p>
                <w:pPr>
                  <w:overflowPunct w:val="0"/>
                  <w:jc w:val="center"/>
                  <w:textAlignment w:val="baseline"/>
                  <w:rPr>
                    <w:sz w:val="22"/>
                    <w:szCs w:val="22"/>
                  </w:rPr>
                </w:pPr>
                <w:r>
                  <w:rPr>
                    <w:sz w:val="22"/>
                    <w:szCs w:val="22"/>
                  </w:rPr>
                  <w:t>II.2.</w:t>
                </w:r>
              </w:p>
            </w:tc>
            <w:tc>
              <w:tcPr>
                <w:tcW w:w="5337" w:type="dxa"/>
              </w:tcPr>
              <w:p>
                <w:pPr>
                  <w:overflowPunct w:val="0"/>
                  <w:jc w:val="both"/>
                  <w:textAlignment w:val="baseline"/>
                  <w:rPr>
                    <w:sz w:val="22"/>
                    <w:szCs w:val="22"/>
                  </w:rPr>
                </w:pPr>
                <w:r>
                  <w:rPr>
                    <w:sz w:val="22"/>
                    <w:szCs w:val="22"/>
                  </w:rPr>
                  <w:t>Kitos gautinos sumos</w:t>
                </w:r>
              </w:p>
            </w:tc>
            <w:tc>
              <w:tcPr>
                <w:tcW w:w="1701" w:type="dxa"/>
              </w:tcPr>
              <w:p>
                <w:pPr>
                  <w:overflowPunct w:val="0"/>
                  <w:ind w:right="284"/>
                  <w:jc w:val="right"/>
                  <w:textAlignment w:val="baseline"/>
                  <w:rPr>
                    <w:sz w:val="22"/>
                    <w:szCs w:val="22"/>
                  </w:rPr>
                </w:pPr>
              </w:p>
            </w:tc>
            <w:tc>
              <w:tcPr>
                <w:tcW w:w="1560" w:type="dxa"/>
              </w:tcPr>
              <w:p>
                <w:pPr>
                  <w:overflowPunct w:val="0"/>
                  <w:ind w:right="284"/>
                  <w:jc w:val="right"/>
                  <w:textAlignment w:val="baseline"/>
                  <w:rPr>
                    <w:sz w:val="22"/>
                    <w:szCs w:val="22"/>
                  </w:rPr>
                </w:pPr>
              </w:p>
            </w:tc>
          </w:tr>
          <w:tr>
            <w:tc>
              <w:tcPr>
                <w:tcW w:w="1008" w:type="dxa"/>
              </w:tcPr>
              <w:p>
                <w:pPr>
                  <w:overflowPunct w:val="0"/>
                  <w:jc w:val="center"/>
                  <w:textAlignment w:val="baseline"/>
                  <w:rPr>
                    <w:b/>
                    <w:sz w:val="22"/>
                    <w:szCs w:val="22"/>
                  </w:rPr>
                </w:pPr>
                <w:r>
                  <w:rPr>
                    <w:b/>
                    <w:sz w:val="22"/>
                    <w:szCs w:val="22"/>
                  </w:rPr>
                  <w:t>III.</w:t>
                </w:r>
              </w:p>
            </w:tc>
            <w:tc>
              <w:tcPr>
                <w:tcW w:w="5337" w:type="dxa"/>
              </w:tcPr>
              <w:p>
                <w:pPr>
                  <w:overflowPunct w:val="0"/>
                  <w:jc w:val="both"/>
                  <w:textAlignment w:val="baseline"/>
                  <w:rPr>
                    <w:b/>
                    <w:sz w:val="22"/>
                    <w:szCs w:val="22"/>
                  </w:rPr>
                </w:pPr>
                <w:r>
                  <w:rPr>
                    <w:b/>
                    <w:sz w:val="22"/>
                    <w:szCs w:val="22"/>
                  </w:rPr>
                  <w:t>KITAS TRUMPALAIKIS TURTAS</w:t>
                </w:r>
              </w:p>
            </w:tc>
            <w:tc>
              <w:tcPr>
                <w:tcW w:w="1701" w:type="dxa"/>
              </w:tcPr>
              <w:p>
                <w:pPr>
                  <w:overflowPunct w:val="0"/>
                  <w:ind w:right="284"/>
                  <w:jc w:val="right"/>
                  <w:textAlignment w:val="baseline"/>
                  <w:rPr>
                    <w:b/>
                    <w:sz w:val="22"/>
                    <w:szCs w:val="22"/>
                  </w:rPr>
                </w:pPr>
              </w:p>
            </w:tc>
            <w:tc>
              <w:tcPr>
                <w:tcW w:w="1560" w:type="dxa"/>
              </w:tcPr>
              <w:p>
                <w:pPr>
                  <w:overflowPunct w:val="0"/>
                  <w:ind w:right="284"/>
                  <w:jc w:val="right"/>
                  <w:textAlignment w:val="baseline"/>
                  <w:rPr>
                    <w:b/>
                    <w:sz w:val="22"/>
                    <w:szCs w:val="22"/>
                  </w:rPr>
                </w:pPr>
              </w:p>
            </w:tc>
          </w:tr>
          <w:tr>
            <w:tc>
              <w:tcPr>
                <w:tcW w:w="1008" w:type="dxa"/>
              </w:tcPr>
              <w:p>
                <w:pPr>
                  <w:overflowPunct w:val="0"/>
                  <w:jc w:val="center"/>
                  <w:textAlignment w:val="baseline"/>
                  <w:rPr>
                    <w:sz w:val="22"/>
                    <w:szCs w:val="22"/>
                  </w:rPr>
                </w:pPr>
                <w:r>
                  <w:rPr>
                    <w:sz w:val="22"/>
                    <w:szCs w:val="22"/>
                  </w:rPr>
                  <w:t>III.1.</w:t>
                </w:r>
              </w:p>
            </w:tc>
            <w:tc>
              <w:tcPr>
                <w:tcW w:w="5337" w:type="dxa"/>
              </w:tcPr>
              <w:p>
                <w:pPr>
                  <w:overflowPunct w:val="0"/>
                  <w:jc w:val="both"/>
                  <w:textAlignment w:val="baseline"/>
                  <w:rPr>
                    <w:sz w:val="22"/>
                    <w:szCs w:val="22"/>
                  </w:rPr>
                </w:pPr>
                <w:r>
                  <w:rPr>
                    <w:sz w:val="22"/>
                    <w:szCs w:val="22"/>
                  </w:rPr>
                  <w:t>Trumpalaikės investicijos ir terminuoti indėliai</w:t>
                </w:r>
              </w:p>
            </w:tc>
            <w:tc>
              <w:tcPr>
                <w:tcW w:w="1701" w:type="dxa"/>
              </w:tcPr>
              <w:p>
                <w:pPr>
                  <w:overflowPunct w:val="0"/>
                  <w:ind w:right="284"/>
                  <w:jc w:val="right"/>
                  <w:textAlignment w:val="baseline"/>
                  <w:rPr>
                    <w:sz w:val="22"/>
                    <w:szCs w:val="22"/>
                  </w:rPr>
                </w:pPr>
              </w:p>
            </w:tc>
            <w:tc>
              <w:tcPr>
                <w:tcW w:w="1560" w:type="dxa"/>
              </w:tcPr>
              <w:p>
                <w:pPr>
                  <w:overflowPunct w:val="0"/>
                  <w:ind w:right="284"/>
                  <w:jc w:val="right"/>
                  <w:textAlignment w:val="baseline"/>
                  <w:rPr>
                    <w:sz w:val="22"/>
                    <w:szCs w:val="22"/>
                  </w:rPr>
                </w:pPr>
              </w:p>
            </w:tc>
          </w:tr>
          <w:tr>
            <w:tc>
              <w:tcPr>
                <w:tcW w:w="1008" w:type="dxa"/>
              </w:tcPr>
              <w:p>
                <w:pPr>
                  <w:overflowPunct w:val="0"/>
                  <w:jc w:val="center"/>
                  <w:textAlignment w:val="baseline"/>
                  <w:rPr>
                    <w:sz w:val="22"/>
                    <w:szCs w:val="22"/>
                  </w:rPr>
                </w:pPr>
                <w:r>
                  <w:rPr>
                    <w:sz w:val="22"/>
                    <w:szCs w:val="22"/>
                  </w:rPr>
                  <w:t>III.2.</w:t>
                </w:r>
              </w:p>
            </w:tc>
            <w:tc>
              <w:tcPr>
                <w:tcW w:w="5337" w:type="dxa"/>
              </w:tcPr>
              <w:p>
                <w:pPr>
                  <w:overflowPunct w:val="0"/>
                  <w:jc w:val="both"/>
                  <w:textAlignment w:val="baseline"/>
                  <w:rPr>
                    <w:sz w:val="22"/>
                    <w:szCs w:val="22"/>
                  </w:rPr>
                </w:pPr>
                <w:r>
                  <w:rPr>
                    <w:sz w:val="22"/>
                    <w:szCs w:val="22"/>
                  </w:rPr>
                  <w:t>Kitas trumpalaikis turtas</w:t>
                </w:r>
              </w:p>
            </w:tc>
            <w:tc>
              <w:tcPr>
                <w:tcW w:w="1701" w:type="dxa"/>
              </w:tcPr>
              <w:p>
                <w:pPr>
                  <w:overflowPunct w:val="0"/>
                  <w:ind w:right="284"/>
                  <w:jc w:val="right"/>
                  <w:textAlignment w:val="baseline"/>
                  <w:rPr>
                    <w:sz w:val="22"/>
                    <w:szCs w:val="22"/>
                  </w:rPr>
                </w:pPr>
              </w:p>
            </w:tc>
            <w:tc>
              <w:tcPr>
                <w:tcW w:w="1560" w:type="dxa"/>
              </w:tcPr>
              <w:p>
                <w:pPr>
                  <w:overflowPunct w:val="0"/>
                  <w:ind w:right="284"/>
                  <w:jc w:val="right"/>
                  <w:textAlignment w:val="baseline"/>
                  <w:rPr>
                    <w:sz w:val="22"/>
                    <w:szCs w:val="22"/>
                  </w:rPr>
                </w:pPr>
              </w:p>
            </w:tc>
          </w:tr>
          <w:tr>
            <w:tc>
              <w:tcPr>
                <w:tcW w:w="1008" w:type="dxa"/>
                <w:tcBorders>
                  <w:bottom w:val="single" w:sz="4" w:space="0" w:color="auto"/>
                </w:tcBorders>
              </w:tcPr>
              <w:p>
                <w:pPr>
                  <w:overflowPunct w:val="0"/>
                  <w:jc w:val="center"/>
                  <w:textAlignment w:val="baseline"/>
                  <w:rPr>
                    <w:b/>
                    <w:sz w:val="22"/>
                    <w:szCs w:val="22"/>
                  </w:rPr>
                </w:pPr>
                <w:r>
                  <w:rPr>
                    <w:b/>
                    <w:sz w:val="22"/>
                    <w:szCs w:val="22"/>
                  </w:rPr>
                  <w:t>IV.</w:t>
                </w:r>
              </w:p>
            </w:tc>
            <w:tc>
              <w:tcPr>
                <w:tcW w:w="5337" w:type="dxa"/>
                <w:tcBorders>
                  <w:bottom w:val="single" w:sz="4" w:space="0" w:color="auto"/>
                </w:tcBorders>
              </w:tcPr>
              <w:p>
                <w:pPr>
                  <w:overflowPunct w:val="0"/>
                  <w:jc w:val="both"/>
                  <w:textAlignment w:val="baseline"/>
                  <w:rPr>
                    <w:b/>
                    <w:sz w:val="22"/>
                    <w:szCs w:val="22"/>
                  </w:rPr>
                </w:pPr>
                <w:r>
                  <w:rPr>
                    <w:b/>
                    <w:sz w:val="22"/>
                    <w:szCs w:val="22"/>
                  </w:rPr>
                  <w:t>PINIGAI IR PINIGŲ EKVIVALENTAI</w:t>
                </w:r>
              </w:p>
            </w:tc>
            <w:tc>
              <w:tcPr>
                <w:tcW w:w="1701" w:type="dxa"/>
                <w:tcBorders>
                  <w:bottom w:val="single" w:sz="4" w:space="0" w:color="auto"/>
                </w:tcBorders>
              </w:tcPr>
              <w:p>
                <w:pPr>
                  <w:overflowPunct w:val="0"/>
                  <w:ind w:right="284"/>
                  <w:jc w:val="right"/>
                  <w:textAlignment w:val="baseline"/>
                  <w:rPr>
                    <w:b/>
                    <w:sz w:val="22"/>
                    <w:szCs w:val="22"/>
                  </w:rPr>
                </w:pPr>
              </w:p>
            </w:tc>
            <w:tc>
              <w:tcPr>
                <w:tcW w:w="1560" w:type="dxa"/>
                <w:tcBorders>
                  <w:bottom w:val="single" w:sz="4" w:space="0" w:color="auto"/>
                </w:tcBorders>
              </w:tcPr>
              <w:p>
                <w:pPr>
                  <w:overflowPunct w:val="0"/>
                  <w:ind w:right="284"/>
                  <w:jc w:val="right"/>
                  <w:textAlignment w:val="baseline"/>
                  <w:rPr>
                    <w:b/>
                    <w:sz w:val="22"/>
                    <w:szCs w:val="22"/>
                  </w:rPr>
                </w:pPr>
              </w:p>
            </w:tc>
          </w:tr>
          <w:tr>
            <w:tc>
              <w:tcPr>
                <w:tcW w:w="1008" w:type="dxa"/>
                <w:tcBorders>
                  <w:bottom w:val="single" w:sz="4" w:space="0" w:color="auto"/>
                </w:tcBorders>
              </w:tcPr>
              <w:p>
                <w:pPr>
                  <w:overflowPunct w:val="0"/>
                  <w:jc w:val="center"/>
                  <w:textAlignment w:val="baseline"/>
                  <w:rPr>
                    <w:b/>
                    <w:sz w:val="22"/>
                    <w:szCs w:val="22"/>
                  </w:rPr>
                </w:pPr>
              </w:p>
            </w:tc>
            <w:tc>
              <w:tcPr>
                <w:tcW w:w="5337" w:type="dxa"/>
                <w:tcBorders>
                  <w:bottom w:val="single" w:sz="4" w:space="0" w:color="auto"/>
                </w:tcBorders>
              </w:tcPr>
              <w:p>
                <w:pPr>
                  <w:overflowPunct w:val="0"/>
                  <w:jc w:val="both"/>
                  <w:textAlignment w:val="baseline"/>
                  <w:rPr>
                    <w:b/>
                    <w:sz w:val="22"/>
                    <w:szCs w:val="22"/>
                  </w:rPr>
                </w:pPr>
                <w:r>
                  <w:rPr>
                    <w:b/>
                    <w:sz w:val="22"/>
                    <w:szCs w:val="22"/>
                  </w:rPr>
                  <w:t>TURTAS IŠ VISO:</w:t>
                </w:r>
              </w:p>
            </w:tc>
            <w:tc>
              <w:tcPr>
                <w:tcW w:w="1701" w:type="dxa"/>
                <w:tcBorders>
                  <w:bottom w:val="single" w:sz="4" w:space="0" w:color="auto"/>
                </w:tcBorders>
              </w:tcPr>
              <w:p>
                <w:pPr>
                  <w:overflowPunct w:val="0"/>
                  <w:ind w:right="284"/>
                  <w:jc w:val="right"/>
                  <w:textAlignment w:val="baseline"/>
                  <w:rPr>
                    <w:b/>
                    <w:sz w:val="22"/>
                    <w:szCs w:val="22"/>
                  </w:rPr>
                </w:pPr>
              </w:p>
            </w:tc>
            <w:tc>
              <w:tcPr>
                <w:tcW w:w="1560" w:type="dxa"/>
                <w:tcBorders>
                  <w:bottom w:val="single" w:sz="4" w:space="0" w:color="auto"/>
                </w:tcBorders>
              </w:tcPr>
              <w:p>
                <w:pPr>
                  <w:overflowPunct w:val="0"/>
                  <w:ind w:right="284"/>
                  <w:jc w:val="right"/>
                  <w:textAlignment w:val="baseline"/>
                  <w:rPr>
                    <w:b/>
                    <w:sz w:val="22"/>
                    <w:szCs w:val="22"/>
                  </w:rPr>
                </w:pPr>
              </w:p>
            </w:tc>
          </w:tr>
          <w:tr>
            <w:tc>
              <w:tcPr>
                <w:tcW w:w="1008" w:type="dxa"/>
                <w:tcBorders>
                  <w:top w:val="single" w:sz="4" w:space="0" w:color="auto"/>
                  <w:left w:val="nil"/>
                  <w:bottom w:val="nil"/>
                  <w:right w:val="nil"/>
                </w:tcBorders>
              </w:tcPr>
              <w:p>
                <w:pPr>
                  <w:overflowPunct w:val="0"/>
                  <w:jc w:val="center"/>
                  <w:textAlignment w:val="baseline"/>
                  <w:rPr>
                    <w:b/>
                    <w:sz w:val="22"/>
                    <w:szCs w:val="22"/>
                  </w:rPr>
                </w:pPr>
              </w:p>
            </w:tc>
            <w:tc>
              <w:tcPr>
                <w:tcW w:w="5337" w:type="dxa"/>
                <w:tcBorders>
                  <w:top w:val="single" w:sz="4" w:space="0" w:color="auto"/>
                  <w:left w:val="nil"/>
                  <w:bottom w:val="nil"/>
                  <w:right w:val="nil"/>
                </w:tcBorders>
              </w:tcPr>
              <w:p>
                <w:pPr>
                  <w:overflowPunct w:val="0"/>
                  <w:jc w:val="both"/>
                  <w:textAlignment w:val="baseline"/>
                  <w:rPr>
                    <w:b/>
                    <w:sz w:val="22"/>
                    <w:szCs w:val="22"/>
                  </w:rPr>
                </w:pPr>
              </w:p>
            </w:tc>
            <w:tc>
              <w:tcPr>
                <w:tcW w:w="1701" w:type="dxa"/>
                <w:tcBorders>
                  <w:top w:val="single" w:sz="4" w:space="0" w:color="auto"/>
                  <w:left w:val="nil"/>
                  <w:bottom w:val="nil"/>
                  <w:right w:val="nil"/>
                </w:tcBorders>
              </w:tcPr>
              <w:p>
                <w:pPr>
                  <w:overflowPunct w:val="0"/>
                  <w:ind w:right="284"/>
                  <w:jc w:val="right"/>
                  <w:textAlignment w:val="baseline"/>
                  <w:rPr>
                    <w:b/>
                    <w:sz w:val="22"/>
                    <w:szCs w:val="22"/>
                  </w:rPr>
                </w:pPr>
              </w:p>
            </w:tc>
            <w:tc>
              <w:tcPr>
                <w:tcW w:w="1560" w:type="dxa"/>
                <w:tcBorders>
                  <w:top w:val="single" w:sz="4" w:space="0" w:color="auto"/>
                  <w:left w:val="nil"/>
                  <w:bottom w:val="nil"/>
                  <w:right w:val="nil"/>
                </w:tcBorders>
              </w:tcPr>
              <w:p>
                <w:pPr>
                  <w:overflowPunct w:val="0"/>
                  <w:ind w:right="284"/>
                  <w:jc w:val="right"/>
                  <w:textAlignment w:val="baseline"/>
                  <w:rPr>
                    <w:b/>
                    <w:sz w:val="22"/>
                    <w:szCs w:val="22"/>
                  </w:rPr>
                </w:pPr>
              </w:p>
            </w:tc>
          </w:tr>
          <w:tr>
            <w:tc>
              <w:tcPr>
                <w:tcW w:w="1008" w:type="dxa"/>
              </w:tcPr>
              <w:p>
                <w:pPr>
                  <w:overflowPunct w:val="0"/>
                  <w:jc w:val="center"/>
                  <w:textAlignment w:val="baseline"/>
                  <w:rPr>
                    <w:b/>
                    <w:sz w:val="22"/>
                    <w:szCs w:val="22"/>
                  </w:rPr>
                </w:pPr>
                <w:r>
                  <w:rPr>
                    <w:b/>
                    <w:sz w:val="22"/>
                    <w:szCs w:val="22"/>
                  </w:rPr>
                  <w:t>C.</w:t>
                </w:r>
              </w:p>
            </w:tc>
            <w:tc>
              <w:tcPr>
                <w:tcW w:w="5337" w:type="dxa"/>
              </w:tcPr>
              <w:p>
                <w:pPr>
                  <w:overflowPunct w:val="0"/>
                  <w:jc w:val="both"/>
                  <w:textAlignment w:val="baseline"/>
                  <w:rPr>
                    <w:b/>
                    <w:sz w:val="22"/>
                    <w:szCs w:val="22"/>
                  </w:rPr>
                </w:pPr>
                <w:r>
                  <w:rPr>
                    <w:b/>
                    <w:sz w:val="22"/>
                    <w:szCs w:val="22"/>
                  </w:rPr>
                  <w:t>KAPITALAS</w:t>
                </w:r>
              </w:p>
            </w:tc>
            <w:tc>
              <w:tcPr>
                <w:tcW w:w="1701" w:type="dxa"/>
              </w:tcPr>
              <w:p>
                <w:pPr>
                  <w:overflowPunct w:val="0"/>
                  <w:ind w:right="284"/>
                  <w:jc w:val="right"/>
                  <w:textAlignment w:val="baseline"/>
                  <w:rPr>
                    <w:b/>
                    <w:sz w:val="22"/>
                    <w:szCs w:val="22"/>
                  </w:rPr>
                </w:pPr>
              </w:p>
            </w:tc>
            <w:tc>
              <w:tcPr>
                <w:tcW w:w="1560" w:type="dxa"/>
              </w:tcPr>
              <w:p>
                <w:pPr>
                  <w:overflowPunct w:val="0"/>
                  <w:ind w:right="284"/>
                  <w:jc w:val="right"/>
                  <w:textAlignment w:val="baseline"/>
                  <w:rPr>
                    <w:b/>
                    <w:sz w:val="22"/>
                    <w:szCs w:val="22"/>
                  </w:rPr>
                </w:pPr>
              </w:p>
            </w:tc>
          </w:tr>
          <w:tr>
            <w:tc>
              <w:tcPr>
                <w:tcW w:w="1008" w:type="dxa"/>
              </w:tcPr>
              <w:p>
                <w:pPr>
                  <w:overflowPunct w:val="0"/>
                  <w:jc w:val="center"/>
                  <w:textAlignment w:val="baseline"/>
                  <w:rPr>
                    <w:b/>
                    <w:sz w:val="22"/>
                    <w:szCs w:val="22"/>
                  </w:rPr>
                </w:pPr>
                <w:r>
                  <w:rPr>
                    <w:b/>
                    <w:sz w:val="22"/>
                    <w:szCs w:val="22"/>
                  </w:rPr>
                  <w:t>D.</w:t>
                </w:r>
              </w:p>
            </w:tc>
            <w:tc>
              <w:tcPr>
                <w:tcW w:w="5337" w:type="dxa"/>
              </w:tcPr>
              <w:p>
                <w:pPr>
                  <w:overflowPunct w:val="0"/>
                  <w:jc w:val="both"/>
                  <w:textAlignment w:val="baseline"/>
                  <w:rPr>
                    <w:b/>
                    <w:sz w:val="22"/>
                    <w:szCs w:val="22"/>
                  </w:rPr>
                </w:pPr>
                <w:r>
                  <w:rPr>
                    <w:b/>
                    <w:sz w:val="22"/>
                    <w:szCs w:val="22"/>
                  </w:rPr>
                  <w:t>DOTACIJOS, SUBSIDIJOS</w:t>
                </w:r>
              </w:p>
            </w:tc>
            <w:tc>
              <w:tcPr>
                <w:tcW w:w="1701" w:type="dxa"/>
              </w:tcPr>
              <w:p>
                <w:pPr>
                  <w:overflowPunct w:val="0"/>
                  <w:ind w:right="284"/>
                  <w:jc w:val="right"/>
                  <w:textAlignment w:val="baseline"/>
                  <w:rPr>
                    <w:b/>
                    <w:sz w:val="22"/>
                    <w:szCs w:val="22"/>
                  </w:rPr>
                </w:pPr>
              </w:p>
            </w:tc>
            <w:tc>
              <w:tcPr>
                <w:tcW w:w="1560" w:type="dxa"/>
              </w:tcPr>
              <w:p>
                <w:pPr>
                  <w:overflowPunct w:val="0"/>
                  <w:ind w:right="284"/>
                  <w:jc w:val="right"/>
                  <w:textAlignment w:val="baseline"/>
                  <w:rPr>
                    <w:b/>
                    <w:sz w:val="22"/>
                    <w:szCs w:val="22"/>
                  </w:rPr>
                </w:pPr>
              </w:p>
            </w:tc>
          </w:tr>
          <w:tr>
            <w:tc>
              <w:tcPr>
                <w:tcW w:w="1008" w:type="dxa"/>
              </w:tcPr>
              <w:p>
                <w:pPr>
                  <w:overflowPunct w:val="0"/>
                  <w:jc w:val="center"/>
                  <w:textAlignment w:val="baseline"/>
                  <w:rPr>
                    <w:b/>
                    <w:sz w:val="22"/>
                    <w:szCs w:val="22"/>
                  </w:rPr>
                </w:pPr>
                <w:r>
                  <w:rPr>
                    <w:b/>
                    <w:sz w:val="22"/>
                    <w:szCs w:val="22"/>
                  </w:rPr>
                  <w:t>E.</w:t>
                </w:r>
              </w:p>
            </w:tc>
            <w:tc>
              <w:tcPr>
                <w:tcW w:w="5337" w:type="dxa"/>
              </w:tcPr>
              <w:p>
                <w:pPr>
                  <w:overflowPunct w:val="0"/>
                  <w:jc w:val="both"/>
                  <w:textAlignment w:val="baseline"/>
                  <w:rPr>
                    <w:b/>
                    <w:sz w:val="22"/>
                    <w:szCs w:val="22"/>
                  </w:rPr>
                </w:pPr>
                <w:r>
                  <w:rPr>
                    <w:b/>
                    <w:sz w:val="22"/>
                    <w:szCs w:val="22"/>
                  </w:rPr>
                  <w:t>MOKĖTINOS SUMOS IR ĮSIPAREIGOJIMAI</w:t>
                </w:r>
              </w:p>
            </w:tc>
            <w:tc>
              <w:tcPr>
                <w:tcW w:w="1701" w:type="dxa"/>
              </w:tcPr>
              <w:p>
                <w:pPr>
                  <w:overflowPunct w:val="0"/>
                  <w:ind w:right="284"/>
                  <w:jc w:val="right"/>
                  <w:textAlignment w:val="baseline"/>
                  <w:rPr>
                    <w:b/>
                    <w:sz w:val="22"/>
                    <w:szCs w:val="22"/>
                  </w:rPr>
                </w:pPr>
              </w:p>
            </w:tc>
            <w:tc>
              <w:tcPr>
                <w:tcW w:w="1560" w:type="dxa"/>
              </w:tcPr>
              <w:p>
                <w:pPr>
                  <w:overflowPunct w:val="0"/>
                  <w:ind w:right="284"/>
                  <w:jc w:val="right"/>
                  <w:textAlignment w:val="baseline"/>
                  <w:rPr>
                    <w:b/>
                    <w:sz w:val="22"/>
                    <w:szCs w:val="22"/>
                  </w:rPr>
                </w:pPr>
              </w:p>
            </w:tc>
          </w:tr>
          <w:tr>
            <w:tc>
              <w:tcPr>
                <w:tcW w:w="1008" w:type="dxa"/>
              </w:tcPr>
              <w:p>
                <w:pPr>
                  <w:overflowPunct w:val="0"/>
                  <w:jc w:val="center"/>
                  <w:textAlignment w:val="baseline"/>
                  <w:rPr>
                    <w:b/>
                    <w:sz w:val="22"/>
                    <w:szCs w:val="22"/>
                  </w:rPr>
                </w:pPr>
                <w:r>
                  <w:rPr>
                    <w:b/>
                    <w:sz w:val="22"/>
                    <w:szCs w:val="22"/>
                  </w:rPr>
                  <w:t>I.</w:t>
                </w:r>
              </w:p>
            </w:tc>
            <w:tc>
              <w:tcPr>
                <w:tcW w:w="5337" w:type="dxa"/>
              </w:tcPr>
              <w:p>
                <w:pPr>
                  <w:overflowPunct w:val="0"/>
                  <w:jc w:val="both"/>
                  <w:textAlignment w:val="baseline"/>
                  <w:rPr>
                    <w:b/>
                    <w:sz w:val="22"/>
                    <w:szCs w:val="22"/>
                  </w:rPr>
                </w:pPr>
                <w:r>
                  <w:rPr>
                    <w:b/>
                    <w:sz w:val="22"/>
                    <w:szCs w:val="22"/>
                  </w:rPr>
                  <w:t xml:space="preserve">PO VIENERIŲ METŲ MOKĖTINOS SUMOS IR ILGALAIKIAI ĮSIPAREIGOJIMAI </w:t>
                </w:r>
              </w:p>
            </w:tc>
            <w:tc>
              <w:tcPr>
                <w:tcW w:w="1701" w:type="dxa"/>
                <w:vAlign w:val="center"/>
              </w:tcPr>
              <w:p>
                <w:pPr>
                  <w:overflowPunct w:val="0"/>
                  <w:ind w:right="284"/>
                  <w:jc w:val="right"/>
                  <w:textAlignment w:val="baseline"/>
                  <w:rPr>
                    <w:b/>
                    <w:sz w:val="22"/>
                    <w:szCs w:val="22"/>
                  </w:rPr>
                </w:pPr>
              </w:p>
            </w:tc>
            <w:tc>
              <w:tcPr>
                <w:tcW w:w="1560" w:type="dxa"/>
                <w:vAlign w:val="center"/>
              </w:tcPr>
              <w:p>
                <w:pPr>
                  <w:overflowPunct w:val="0"/>
                  <w:ind w:right="284"/>
                  <w:jc w:val="right"/>
                  <w:textAlignment w:val="baseline"/>
                  <w:rPr>
                    <w:b/>
                    <w:sz w:val="22"/>
                    <w:szCs w:val="22"/>
                  </w:rPr>
                </w:pPr>
              </w:p>
            </w:tc>
          </w:tr>
          <w:tr>
            <w:tc>
              <w:tcPr>
                <w:tcW w:w="1008" w:type="dxa"/>
              </w:tcPr>
              <w:p>
                <w:pPr>
                  <w:overflowPunct w:val="0"/>
                  <w:jc w:val="center"/>
                  <w:textAlignment w:val="baseline"/>
                  <w:rPr>
                    <w:sz w:val="22"/>
                    <w:szCs w:val="22"/>
                  </w:rPr>
                </w:pPr>
                <w:r>
                  <w:rPr>
                    <w:sz w:val="22"/>
                    <w:szCs w:val="22"/>
                  </w:rPr>
                  <w:t>I.1.</w:t>
                </w:r>
              </w:p>
            </w:tc>
            <w:tc>
              <w:tcPr>
                <w:tcW w:w="5337" w:type="dxa"/>
              </w:tcPr>
              <w:p>
                <w:pPr>
                  <w:overflowPunct w:val="0"/>
                  <w:jc w:val="both"/>
                  <w:textAlignment w:val="baseline"/>
                  <w:rPr>
                    <w:sz w:val="22"/>
                    <w:szCs w:val="22"/>
                  </w:rPr>
                </w:pPr>
                <w:r>
                  <w:rPr>
                    <w:sz w:val="22"/>
                    <w:szCs w:val="22"/>
                  </w:rPr>
                  <w:t>Finansinės skolos</w:t>
                </w:r>
              </w:p>
            </w:tc>
            <w:tc>
              <w:tcPr>
                <w:tcW w:w="1701" w:type="dxa"/>
                <w:vAlign w:val="center"/>
              </w:tcPr>
              <w:p>
                <w:pPr>
                  <w:overflowPunct w:val="0"/>
                  <w:ind w:right="284"/>
                  <w:jc w:val="right"/>
                  <w:textAlignment w:val="baseline"/>
                  <w:rPr>
                    <w:b/>
                    <w:sz w:val="22"/>
                    <w:szCs w:val="22"/>
                  </w:rPr>
                </w:pPr>
              </w:p>
            </w:tc>
            <w:tc>
              <w:tcPr>
                <w:tcW w:w="1560" w:type="dxa"/>
                <w:vAlign w:val="center"/>
              </w:tcPr>
              <w:p>
                <w:pPr>
                  <w:overflowPunct w:val="0"/>
                  <w:ind w:right="284"/>
                  <w:jc w:val="right"/>
                  <w:textAlignment w:val="baseline"/>
                  <w:rPr>
                    <w:b/>
                    <w:sz w:val="22"/>
                    <w:szCs w:val="22"/>
                  </w:rPr>
                </w:pPr>
              </w:p>
            </w:tc>
          </w:tr>
          <w:tr>
            <w:tc>
              <w:tcPr>
                <w:tcW w:w="1008" w:type="dxa"/>
              </w:tcPr>
              <w:p>
                <w:pPr>
                  <w:overflowPunct w:val="0"/>
                  <w:jc w:val="center"/>
                  <w:textAlignment w:val="baseline"/>
                  <w:rPr>
                    <w:sz w:val="22"/>
                    <w:szCs w:val="22"/>
                  </w:rPr>
                </w:pPr>
                <w:r>
                  <w:rPr>
                    <w:sz w:val="22"/>
                    <w:szCs w:val="22"/>
                  </w:rPr>
                  <w:t>I.2.</w:t>
                </w:r>
              </w:p>
            </w:tc>
            <w:tc>
              <w:tcPr>
                <w:tcW w:w="5337" w:type="dxa"/>
              </w:tcPr>
              <w:p>
                <w:pPr>
                  <w:overflowPunct w:val="0"/>
                  <w:jc w:val="both"/>
                  <w:textAlignment w:val="baseline"/>
                  <w:rPr>
                    <w:sz w:val="22"/>
                    <w:szCs w:val="22"/>
                  </w:rPr>
                </w:pPr>
                <w:r>
                  <w:rPr>
                    <w:sz w:val="22"/>
                    <w:szCs w:val="22"/>
                  </w:rPr>
                  <w:t>Skolos tiekėjams</w:t>
                </w:r>
              </w:p>
            </w:tc>
            <w:tc>
              <w:tcPr>
                <w:tcW w:w="1701" w:type="dxa"/>
              </w:tcPr>
              <w:p>
                <w:pPr>
                  <w:overflowPunct w:val="0"/>
                  <w:ind w:right="284"/>
                  <w:jc w:val="right"/>
                  <w:textAlignment w:val="baseline"/>
                  <w:rPr>
                    <w:b/>
                    <w:sz w:val="22"/>
                    <w:szCs w:val="22"/>
                  </w:rPr>
                </w:pPr>
              </w:p>
            </w:tc>
            <w:tc>
              <w:tcPr>
                <w:tcW w:w="1560" w:type="dxa"/>
              </w:tcPr>
              <w:p>
                <w:pPr>
                  <w:overflowPunct w:val="0"/>
                  <w:ind w:right="284"/>
                  <w:jc w:val="right"/>
                  <w:textAlignment w:val="baseline"/>
                  <w:rPr>
                    <w:b/>
                    <w:sz w:val="22"/>
                    <w:szCs w:val="22"/>
                  </w:rPr>
                </w:pPr>
              </w:p>
            </w:tc>
          </w:tr>
          <w:tr>
            <w:tc>
              <w:tcPr>
                <w:tcW w:w="1008" w:type="dxa"/>
              </w:tcPr>
              <w:p>
                <w:pPr>
                  <w:overflowPunct w:val="0"/>
                  <w:jc w:val="center"/>
                  <w:textAlignment w:val="baseline"/>
                  <w:rPr>
                    <w:sz w:val="22"/>
                    <w:szCs w:val="22"/>
                  </w:rPr>
                </w:pPr>
                <w:r>
                  <w:rPr>
                    <w:sz w:val="22"/>
                    <w:szCs w:val="22"/>
                  </w:rPr>
                  <w:t>I.3.</w:t>
                </w:r>
              </w:p>
            </w:tc>
            <w:tc>
              <w:tcPr>
                <w:tcW w:w="5337" w:type="dxa"/>
              </w:tcPr>
              <w:p>
                <w:pPr>
                  <w:overflowPunct w:val="0"/>
                  <w:jc w:val="both"/>
                  <w:textAlignment w:val="baseline"/>
                  <w:rPr>
                    <w:sz w:val="22"/>
                    <w:szCs w:val="22"/>
                  </w:rPr>
                </w:pPr>
                <w:r>
                  <w:rPr>
                    <w:sz w:val="22"/>
                    <w:szCs w:val="22"/>
                  </w:rPr>
                  <w:t>Gauti išankstiniai apmokėjimai</w:t>
                </w:r>
              </w:p>
            </w:tc>
            <w:tc>
              <w:tcPr>
                <w:tcW w:w="1701" w:type="dxa"/>
              </w:tcPr>
              <w:p>
                <w:pPr>
                  <w:overflowPunct w:val="0"/>
                  <w:ind w:right="284"/>
                  <w:jc w:val="right"/>
                  <w:textAlignment w:val="baseline"/>
                  <w:rPr>
                    <w:b/>
                    <w:sz w:val="22"/>
                    <w:szCs w:val="22"/>
                  </w:rPr>
                </w:pPr>
              </w:p>
            </w:tc>
            <w:tc>
              <w:tcPr>
                <w:tcW w:w="1560" w:type="dxa"/>
              </w:tcPr>
              <w:p>
                <w:pPr>
                  <w:overflowPunct w:val="0"/>
                  <w:ind w:right="284"/>
                  <w:jc w:val="right"/>
                  <w:textAlignment w:val="baseline"/>
                  <w:rPr>
                    <w:b/>
                    <w:sz w:val="22"/>
                    <w:szCs w:val="22"/>
                  </w:rPr>
                </w:pPr>
              </w:p>
            </w:tc>
          </w:tr>
          <w:tr>
            <w:tc>
              <w:tcPr>
                <w:tcW w:w="1008" w:type="dxa"/>
              </w:tcPr>
              <w:p>
                <w:pPr>
                  <w:overflowPunct w:val="0"/>
                  <w:jc w:val="center"/>
                  <w:textAlignment w:val="baseline"/>
                  <w:rPr>
                    <w:sz w:val="22"/>
                    <w:szCs w:val="22"/>
                  </w:rPr>
                </w:pPr>
                <w:r>
                  <w:rPr>
                    <w:sz w:val="22"/>
                    <w:szCs w:val="22"/>
                  </w:rPr>
                  <w:t>I.4.</w:t>
                </w:r>
              </w:p>
            </w:tc>
            <w:tc>
              <w:tcPr>
                <w:tcW w:w="5337" w:type="dxa"/>
              </w:tcPr>
              <w:p>
                <w:pPr>
                  <w:overflowPunct w:val="0"/>
                  <w:jc w:val="both"/>
                  <w:textAlignment w:val="baseline"/>
                  <w:rPr>
                    <w:sz w:val="22"/>
                    <w:szCs w:val="22"/>
                  </w:rPr>
                </w:pPr>
                <w:r>
                  <w:rPr>
                    <w:sz w:val="22"/>
                    <w:szCs w:val="22"/>
                  </w:rPr>
                  <w:t>Kitos mokėtinos sumos ir ilgalaikiai įsipareigojimai</w:t>
                </w:r>
              </w:p>
            </w:tc>
            <w:tc>
              <w:tcPr>
                <w:tcW w:w="1701" w:type="dxa"/>
              </w:tcPr>
              <w:p>
                <w:pPr>
                  <w:overflowPunct w:val="0"/>
                  <w:ind w:right="284"/>
                  <w:jc w:val="right"/>
                  <w:textAlignment w:val="baseline"/>
                  <w:rPr>
                    <w:b/>
                    <w:sz w:val="22"/>
                    <w:szCs w:val="22"/>
                  </w:rPr>
                </w:pPr>
              </w:p>
            </w:tc>
            <w:tc>
              <w:tcPr>
                <w:tcW w:w="1560" w:type="dxa"/>
              </w:tcPr>
              <w:p>
                <w:pPr>
                  <w:overflowPunct w:val="0"/>
                  <w:ind w:right="284"/>
                  <w:jc w:val="right"/>
                  <w:textAlignment w:val="baseline"/>
                  <w:rPr>
                    <w:b/>
                    <w:sz w:val="22"/>
                    <w:szCs w:val="22"/>
                  </w:rPr>
                </w:pPr>
              </w:p>
            </w:tc>
          </w:tr>
          <w:tr>
            <w:tc>
              <w:tcPr>
                <w:tcW w:w="1008" w:type="dxa"/>
              </w:tcPr>
              <w:p>
                <w:pPr>
                  <w:overflowPunct w:val="0"/>
                  <w:jc w:val="center"/>
                  <w:textAlignment w:val="baseline"/>
                  <w:rPr>
                    <w:b/>
                    <w:sz w:val="22"/>
                    <w:szCs w:val="22"/>
                  </w:rPr>
                </w:pPr>
                <w:r>
                  <w:rPr>
                    <w:b/>
                    <w:sz w:val="22"/>
                    <w:szCs w:val="22"/>
                  </w:rPr>
                  <w:t>II.</w:t>
                </w:r>
              </w:p>
            </w:tc>
            <w:tc>
              <w:tcPr>
                <w:tcW w:w="5337" w:type="dxa"/>
              </w:tcPr>
              <w:p>
                <w:pPr>
                  <w:overflowPunct w:val="0"/>
                  <w:jc w:val="both"/>
                  <w:textAlignment w:val="baseline"/>
                  <w:rPr>
                    <w:b/>
                    <w:sz w:val="22"/>
                    <w:szCs w:val="22"/>
                  </w:rPr>
                </w:pPr>
                <w:r>
                  <w:rPr>
                    <w:b/>
                    <w:sz w:val="22"/>
                    <w:szCs w:val="22"/>
                  </w:rPr>
                  <w:t>PER VIENERIUS METUS MOKĖTINOS SUMOS IR TRUMPALAIKIAI ĮSIPAREIGOJIMAI</w:t>
                </w:r>
              </w:p>
            </w:tc>
            <w:tc>
              <w:tcPr>
                <w:tcW w:w="1701" w:type="dxa"/>
                <w:vAlign w:val="center"/>
              </w:tcPr>
              <w:p>
                <w:pPr>
                  <w:overflowPunct w:val="0"/>
                  <w:ind w:right="284"/>
                  <w:jc w:val="right"/>
                  <w:textAlignment w:val="baseline"/>
                  <w:rPr>
                    <w:b/>
                    <w:sz w:val="22"/>
                    <w:szCs w:val="22"/>
                  </w:rPr>
                </w:pPr>
              </w:p>
            </w:tc>
            <w:tc>
              <w:tcPr>
                <w:tcW w:w="1560" w:type="dxa"/>
                <w:vAlign w:val="center"/>
              </w:tcPr>
              <w:p>
                <w:pPr>
                  <w:overflowPunct w:val="0"/>
                  <w:ind w:right="284"/>
                  <w:jc w:val="right"/>
                  <w:textAlignment w:val="baseline"/>
                  <w:rPr>
                    <w:b/>
                    <w:sz w:val="22"/>
                    <w:szCs w:val="22"/>
                  </w:rPr>
                </w:pPr>
              </w:p>
            </w:tc>
          </w:tr>
          <w:tr>
            <w:tc>
              <w:tcPr>
                <w:tcW w:w="1008" w:type="dxa"/>
              </w:tcPr>
              <w:p>
                <w:pPr>
                  <w:overflowPunct w:val="0"/>
                  <w:jc w:val="center"/>
                  <w:textAlignment w:val="baseline"/>
                  <w:rPr>
                    <w:sz w:val="22"/>
                    <w:szCs w:val="22"/>
                  </w:rPr>
                </w:pPr>
                <w:r>
                  <w:rPr>
                    <w:sz w:val="22"/>
                    <w:szCs w:val="22"/>
                  </w:rPr>
                  <w:t>II.1.</w:t>
                </w:r>
              </w:p>
            </w:tc>
            <w:tc>
              <w:tcPr>
                <w:tcW w:w="5337" w:type="dxa"/>
              </w:tcPr>
              <w:p>
                <w:pPr>
                  <w:overflowPunct w:val="0"/>
                  <w:jc w:val="both"/>
                  <w:textAlignment w:val="baseline"/>
                  <w:rPr>
                    <w:sz w:val="22"/>
                    <w:szCs w:val="22"/>
                  </w:rPr>
                </w:pPr>
                <w:r>
                  <w:rPr>
                    <w:sz w:val="22"/>
                    <w:szCs w:val="22"/>
                  </w:rPr>
                  <w:t>Ilgalaikių skolų einamųjų metų dalis</w:t>
                </w:r>
              </w:p>
            </w:tc>
            <w:tc>
              <w:tcPr>
                <w:tcW w:w="1701" w:type="dxa"/>
              </w:tcPr>
              <w:p>
                <w:pPr>
                  <w:overflowPunct w:val="0"/>
                  <w:ind w:right="284"/>
                  <w:jc w:val="right"/>
                  <w:textAlignment w:val="baseline"/>
                  <w:rPr>
                    <w:b/>
                    <w:sz w:val="22"/>
                    <w:szCs w:val="22"/>
                  </w:rPr>
                </w:pPr>
              </w:p>
            </w:tc>
            <w:tc>
              <w:tcPr>
                <w:tcW w:w="1560" w:type="dxa"/>
              </w:tcPr>
              <w:p>
                <w:pPr>
                  <w:overflowPunct w:val="0"/>
                  <w:ind w:right="284"/>
                  <w:jc w:val="right"/>
                  <w:textAlignment w:val="baseline"/>
                  <w:rPr>
                    <w:b/>
                    <w:sz w:val="22"/>
                    <w:szCs w:val="22"/>
                  </w:rPr>
                </w:pPr>
              </w:p>
            </w:tc>
          </w:tr>
          <w:tr>
            <w:tc>
              <w:tcPr>
                <w:tcW w:w="1008" w:type="dxa"/>
              </w:tcPr>
              <w:p>
                <w:pPr>
                  <w:overflowPunct w:val="0"/>
                  <w:jc w:val="center"/>
                  <w:textAlignment w:val="baseline"/>
                  <w:rPr>
                    <w:sz w:val="22"/>
                    <w:szCs w:val="22"/>
                  </w:rPr>
                </w:pPr>
                <w:r>
                  <w:rPr>
                    <w:sz w:val="22"/>
                    <w:szCs w:val="22"/>
                  </w:rPr>
                  <w:t>II.2.</w:t>
                </w:r>
              </w:p>
            </w:tc>
            <w:tc>
              <w:tcPr>
                <w:tcW w:w="5337" w:type="dxa"/>
              </w:tcPr>
              <w:p>
                <w:pPr>
                  <w:overflowPunct w:val="0"/>
                  <w:jc w:val="both"/>
                  <w:textAlignment w:val="baseline"/>
                  <w:rPr>
                    <w:sz w:val="22"/>
                    <w:szCs w:val="22"/>
                  </w:rPr>
                </w:pPr>
                <w:r>
                  <w:rPr>
                    <w:sz w:val="22"/>
                    <w:szCs w:val="22"/>
                  </w:rPr>
                  <w:t>Finansinės skolos</w:t>
                </w:r>
              </w:p>
            </w:tc>
            <w:tc>
              <w:tcPr>
                <w:tcW w:w="1701" w:type="dxa"/>
              </w:tcPr>
              <w:p>
                <w:pPr>
                  <w:overflowPunct w:val="0"/>
                  <w:ind w:right="284"/>
                  <w:jc w:val="right"/>
                  <w:textAlignment w:val="baseline"/>
                  <w:rPr>
                    <w:b/>
                    <w:sz w:val="22"/>
                    <w:szCs w:val="22"/>
                  </w:rPr>
                </w:pPr>
              </w:p>
            </w:tc>
            <w:tc>
              <w:tcPr>
                <w:tcW w:w="1560" w:type="dxa"/>
              </w:tcPr>
              <w:p>
                <w:pPr>
                  <w:overflowPunct w:val="0"/>
                  <w:ind w:right="284"/>
                  <w:jc w:val="right"/>
                  <w:textAlignment w:val="baseline"/>
                  <w:rPr>
                    <w:b/>
                    <w:sz w:val="22"/>
                    <w:szCs w:val="22"/>
                  </w:rPr>
                </w:pPr>
              </w:p>
            </w:tc>
          </w:tr>
          <w:tr>
            <w:tc>
              <w:tcPr>
                <w:tcW w:w="1008" w:type="dxa"/>
              </w:tcPr>
              <w:p>
                <w:pPr>
                  <w:overflowPunct w:val="0"/>
                  <w:jc w:val="center"/>
                  <w:textAlignment w:val="baseline"/>
                  <w:rPr>
                    <w:sz w:val="22"/>
                    <w:szCs w:val="22"/>
                  </w:rPr>
                </w:pPr>
                <w:r>
                  <w:rPr>
                    <w:sz w:val="22"/>
                    <w:szCs w:val="22"/>
                  </w:rPr>
                  <w:t>II.3.</w:t>
                </w:r>
              </w:p>
            </w:tc>
            <w:tc>
              <w:tcPr>
                <w:tcW w:w="5337" w:type="dxa"/>
              </w:tcPr>
              <w:p>
                <w:pPr>
                  <w:overflowPunct w:val="0"/>
                  <w:jc w:val="both"/>
                  <w:textAlignment w:val="baseline"/>
                  <w:rPr>
                    <w:sz w:val="22"/>
                    <w:szCs w:val="22"/>
                  </w:rPr>
                </w:pPr>
                <w:r>
                  <w:rPr>
                    <w:sz w:val="22"/>
                    <w:szCs w:val="22"/>
                  </w:rPr>
                  <w:t>Skolos tiekėjams</w:t>
                </w:r>
              </w:p>
            </w:tc>
            <w:tc>
              <w:tcPr>
                <w:tcW w:w="1701" w:type="dxa"/>
              </w:tcPr>
              <w:p>
                <w:pPr>
                  <w:overflowPunct w:val="0"/>
                  <w:ind w:right="284"/>
                  <w:jc w:val="right"/>
                  <w:textAlignment w:val="baseline"/>
                  <w:rPr>
                    <w:b/>
                    <w:sz w:val="22"/>
                    <w:szCs w:val="22"/>
                  </w:rPr>
                </w:pPr>
              </w:p>
            </w:tc>
            <w:tc>
              <w:tcPr>
                <w:tcW w:w="1560" w:type="dxa"/>
              </w:tcPr>
              <w:p>
                <w:pPr>
                  <w:overflowPunct w:val="0"/>
                  <w:ind w:right="284"/>
                  <w:jc w:val="right"/>
                  <w:textAlignment w:val="baseline"/>
                  <w:rPr>
                    <w:b/>
                    <w:sz w:val="22"/>
                    <w:szCs w:val="22"/>
                  </w:rPr>
                </w:pPr>
              </w:p>
            </w:tc>
          </w:tr>
          <w:tr>
            <w:tc>
              <w:tcPr>
                <w:tcW w:w="1008" w:type="dxa"/>
              </w:tcPr>
              <w:p>
                <w:pPr>
                  <w:overflowPunct w:val="0"/>
                  <w:jc w:val="center"/>
                  <w:textAlignment w:val="baseline"/>
                  <w:rPr>
                    <w:sz w:val="22"/>
                    <w:szCs w:val="22"/>
                  </w:rPr>
                </w:pPr>
                <w:r>
                  <w:rPr>
                    <w:sz w:val="22"/>
                    <w:szCs w:val="22"/>
                  </w:rPr>
                  <w:t>II.4.</w:t>
                </w:r>
              </w:p>
            </w:tc>
            <w:tc>
              <w:tcPr>
                <w:tcW w:w="5337" w:type="dxa"/>
              </w:tcPr>
              <w:p>
                <w:pPr>
                  <w:overflowPunct w:val="0"/>
                  <w:jc w:val="both"/>
                  <w:textAlignment w:val="baseline"/>
                  <w:rPr>
                    <w:sz w:val="22"/>
                    <w:szCs w:val="22"/>
                  </w:rPr>
                </w:pPr>
                <w:r>
                  <w:rPr>
                    <w:sz w:val="22"/>
                    <w:szCs w:val="22"/>
                  </w:rPr>
                  <w:t>Gauti išankstiniai apmokėjimai</w:t>
                </w:r>
              </w:p>
            </w:tc>
            <w:tc>
              <w:tcPr>
                <w:tcW w:w="1701" w:type="dxa"/>
              </w:tcPr>
              <w:p>
                <w:pPr>
                  <w:overflowPunct w:val="0"/>
                  <w:ind w:right="284"/>
                  <w:jc w:val="right"/>
                  <w:textAlignment w:val="baseline"/>
                  <w:rPr>
                    <w:b/>
                    <w:sz w:val="22"/>
                    <w:szCs w:val="22"/>
                  </w:rPr>
                </w:pPr>
              </w:p>
            </w:tc>
            <w:tc>
              <w:tcPr>
                <w:tcW w:w="1560" w:type="dxa"/>
              </w:tcPr>
              <w:p>
                <w:pPr>
                  <w:overflowPunct w:val="0"/>
                  <w:ind w:right="284"/>
                  <w:jc w:val="right"/>
                  <w:textAlignment w:val="baseline"/>
                  <w:rPr>
                    <w:b/>
                    <w:sz w:val="22"/>
                    <w:szCs w:val="22"/>
                  </w:rPr>
                </w:pPr>
              </w:p>
            </w:tc>
          </w:tr>
          <w:tr>
            <w:tc>
              <w:tcPr>
                <w:tcW w:w="1008" w:type="dxa"/>
              </w:tcPr>
              <w:p>
                <w:pPr>
                  <w:overflowPunct w:val="0"/>
                  <w:jc w:val="center"/>
                  <w:textAlignment w:val="baseline"/>
                  <w:rPr>
                    <w:sz w:val="22"/>
                    <w:szCs w:val="22"/>
                  </w:rPr>
                </w:pPr>
                <w:r>
                  <w:rPr>
                    <w:sz w:val="22"/>
                    <w:szCs w:val="22"/>
                  </w:rPr>
                  <w:t>II.5.</w:t>
                </w:r>
              </w:p>
            </w:tc>
            <w:tc>
              <w:tcPr>
                <w:tcW w:w="5337" w:type="dxa"/>
              </w:tcPr>
              <w:p>
                <w:pPr>
                  <w:overflowPunct w:val="0"/>
                  <w:jc w:val="both"/>
                  <w:textAlignment w:val="baseline"/>
                  <w:rPr>
                    <w:sz w:val="22"/>
                    <w:szCs w:val="22"/>
                  </w:rPr>
                </w:pPr>
                <w:r>
                  <w:rPr>
                    <w:sz w:val="22"/>
                    <w:szCs w:val="22"/>
                  </w:rPr>
                  <w:t>Su darbo santykiais susiję įsipareigojimai</w:t>
                </w:r>
              </w:p>
            </w:tc>
            <w:tc>
              <w:tcPr>
                <w:tcW w:w="1701" w:type="dxa"/>
              </w:tcPr>
              <w:p>
                <w:pPr>
                  <w:overflowPunct w:val="0"/>
                  <w:ind w:right="284"/>
                  <w:jc w:val="right"/>
                  <w:textAlignment w:val="baseline"/>
                  <w:rPr>
                    <w:b/>
                    <w:sz w:val="22"/>
                    <w:szCs w:val="22"/>
                  </w:rPr>
                </w:pPr>
              </w:p>
            </w:tc>
            <w:tc>
              <w:tcPr>
                <w:tcW w:w="1560" w:type="dxa"/>
              </w:tcPr>
              <w:p>
                <w:pPr>
                  <w:overflowPunct w:val="0"/>
                  <w:ind w:right="284"/>
                  <w:jc w:val="right"/>
                  <w:textAlignment w:val="baseline"/>
                  <w:rPr>
                    <w:b/>
                    <w:sz w:val="22"/>
                    <w:szCs w:val="22"/>
                  </w:rPr>
                </w:pPr>
              </w:p>
            </w:tc>
          </w:tr>
          <w:tr>
            <w:tc>
              <w:tcPr>
                <w:tcW w:w="1008" w:type="dxa"/>
              </w:tcPr>
              <w:p>
                <w:pPr>
                  <w:overflowPunct w:val="0"/>
                  <w:jc w:val="center"/>
                  <w:textAlignment w:val="baseline"/>
                  <w:rPr>
                    <w:sz w:val="22"/>
                    <w:szCs w:val="22"/>
                  </w:rPr>
                </w:pPr>
                <w:r>
                  <w:rPr>
                    <w:sz w:val="22"/>
                    <w:szCs w:val="22"/>
                  </w:rPr>
                  <w:t>II.6.</w:t>
                </w:r>
              </w:p>
            </w:tc>
            <w:tc>
              <w:tcPr>
                <w:tcW w:w="5337" w:type="dxa"/>
              </w:tcPr>
              <w:p>
                <w:pPr>
                  <w:overflowPunct w:val="0"/>
                  <w:jc w:val="both"/>
                  <w:textAlignment w:val="baseline"/>
                  <w:rPr>
                    <w:sz w:val="22"/>
                    <w:szCs w:val="22"/>
                  </w:rPr>
                </w:pPr>
                <w:r>
                  <w:rPr>
                    <w:sz w:val="22"/>
                    <w:szCs w:val="22"/>
                  </w:rPr>
                  <w:t>Kitos mokėtinos sumos ir trumpalaikiai įsipareigojimai</w:t>
                </w:r>
              </w:p>
            </w:tc>
            <w:tc>
              <w:tcPr>
                <w:tcW w:w="1701" w:type="dxa"/>
              </w:tcPr>
              <w:p>
                <w:pPr>
                  <w:overflowPunct w:val="0"/>
                  <w:ind w:right="284"/>
                  <w:jc w:val="right"/>
                  <w:textAlignment w:val="baseline"/>
                  <w:rPr>
                    <w:b/>
                    <w:sz w:val="22"/>
                    <w:szCs w:val="22"/>
                  </w:rPr>
                </w:pPr>
              </w:p>
            </w:tc>
            <w:tc>
              <w:tcPr>
                <w:tcW w:w="1560" w:type="dxa"/>
              </w:tcPr>
              <w:p>
                <w:pPr>
                  <w:overflowPunct w:val="0"/>
                  <w:ind w:right="284"/>
                  <w:jc w:val="right"/>
                  <w:textAlignment w:val="baseline"/>
                  <w:rPr>
                    <w:b/>
                    <w:sz w:val="22"/>
                    <w:szCs w:val="22"/>
                  </w:rPr>
                </w:pPr>
              </w:p>
            </w:tc>
          </w:tr>
          <w:tr>
            <w:tc>
              <w:tcPr>
                <w:tcW w:w="1008" w:type="dxa"/>
                <w:vAlign w:val="center"/>
              </w:tcPr>
              <w:p>
                <w:pPr>
                  <w:overflowPunct w:val="0"/>
                  <w:jc w:val="center"/>
                  <w:textAlignment w:val="baseline"/>
                  <w:rPr>
                    <w:b/>
                    <w:sz w:val="22"/>
                    <w:szCs w:val="22"/>
                  </w:rPr>
                </w:pPr>
              </w:p>
            </w:tc>
            <w:tc>
              <w:tcPr>
                <w:tcW w:w="5337" w:type="dxa"/>
                <w:vAlign w:val="center"/>
              </w:tcPr>
              <w:p>
                <w:pPr>
                  <w:overflowPunct w:val="0"/>
                  <w:jc w:val="both"/>
                  <w:textAlignment w:val="baseline"/>
                  <w:rPr>
                    <w:b/>
                    <w:sz w:val="22"/>
                    <w:szCs w:val="22"/>
                  </w:rPr>
                </w:pPr>
                <w:r>
                  <w:rPr>
                    <w:b/>
                    <w:sz w:val="22"/>
                    <w:szCs w:val="22"/>
                  </w:rPr>
                  <w:t>KAPITALAS IR ĮSIPAREIGOJIMAI IŠ VISO:</w:t>
                </w:r>
              </w:p>
            </w:tc>
            <w:tc>
              <w:tcPr>
                <w:tcW w:w="1701" w:type="dxa"/>
                <w:vAlign w:val="center"/>
              </w:tcPr>
              <w:p>
                <w:pPr>
                  <w:overflowPunct w:val="0"/>
                  <w:ind w:right="284"/>
                  <w:jc w:val="right"/>
                  <w:textAlignment w:val="baseline"/>
                  <w:rPr>
                    <w:b/>
                    <w:sz w:val="22"/>
                    <w:szCs w:val="22"/>
                  </w:rPr>
                </w:pPr>
              </w:p>
            </w:tc>
            <w:tc>
              <w:tcPr>
                <w:tcW w:w="1560" w:type="dxa"/>
                <w:vAlign w:val="center"/>
              </w:tcPr>
              <w:p>
                <w:pPr>
                  <w:overflowPunct w:val="0"/>
                  <w:ind w:right="284"/>
                  <w:jc w:val="right"/>
                  <w:textAlignment w:val="baseline"/>
                  <w:rPr>
                    <w:b/>
                    <w:sz w:val="22"/>
                    <w:szCs w:val="22"/>
                  </w:rPr>
                </w:pPr>
              </w:p>
            </w:tc>
          </w:tr>
        </w:tbl>
        <w:p>
          <w:pPr>
            <w:overflowPunct w:val="0"/>
            <w:jc w:val="both"/>
            <w:textAlignment w:val="baseline"/>
          </w:pPr>
        </w:p>
        <w:p>
          <w:pPr>
            <w:overflowPunct w:val="0"/>
            <w:jc w:val="both"/>
            <w:textAlignment w:val="baseline"/>
          </w:pPr>
        </w:p>
        <w:p>
          <w:pPr>
            <w:overflowPunct w:val="0"/>
            <w:jc w:val="both"/>
            <w:textAlignment w:val="baseline"/>
          </w:pPr>
          <w:r>
            <w:t>Ūkininkas</w:t>
            <w:tab/>
            <w:tab/>
            <w:t>_________________</w:t>
            <w:tab/>
            <w:tab/>
            <w:t>_________________________</w:t>
          </w:r>
        </w:p>
        <w:p>
          <w:pPr>
            <w:overflowPunct w:val="0"/>
            <w:ind w:left="1298" w:firstLine="1298"/>
            <w:jc w:val="both"/>
            <w:textAlignment w:val="baseline"/>
          </w:pPr>
          <w:r>
            <w:rPr>
              <w:sz w:val="20"/>
            </w:rPr>
            <w:t>(parašas)</w:t>
            <w:tab/>
          </w:r>
          <w:r>
            <w:tab/>
            <w:tab/>
          </w:r>
          <w:r>
            <w:rPr>
              <w:sz w:val="20"/>
            </w:rPr>
            <w:t>(vardas, pavardė)</w:t>
          </w:r>
        </w:p>
        <w:sdt>
          <w:sdtPr>
            <w:alias w:val="pabaiga"/>
            <w:tag w:val="part_6246ffe4d0564722976b287df66b220a"/>
            <w:lock w:val="sdtLocked"/>
            <w:richText/>
          </w:sdtPr>
          <w:sdtContent>
            <w:p>
              <w:pPr>
                <w:overflowPunct w:val="0"/>
                <w:jc w:val="center"/>
                <w:textAlignment w:val="baseline"/>
              </w:pPr>
              <w: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ba5c0506f11e4a698d921e3e46801">
            <w:r w:rsidRPr="00532B9F">
              <w:rPr>
                <w:rFonts w:ascii="Times New Roman" w:eastAsia="MS Mincho" w:hAnsi="Times New Roman"/>
                <w:sz w:val="20"/>
                <w:i/>
                <w:iCs/>
                <w:color w:val="0000FF" w:themeColor="hyperlink"/>
                <w:u w:val="single"/>
              </w:rPr>
              <w:t>3D-725</w:t>
            </w:r>
          </w:fldSimple>
          <w:r>
            <w:rPr>
              <w:rFonts w:ascii="Times New Roman" w:eastAsia="MS Mincho" w:hAnsi="Times New Roman"/>
              <w:sz w:val="20"/>
              <w:i/>
              <w:iCs/>
            </w:rPr>
            <w:t>,
2014-10-10,
paskelbta TAR 2014-10-10, i. k. 2014-13951            </w:t>
          </w:r>
        </w:p>
        <w:p/>
      </w:sdtContent>
    </w:sdt>
    <w:sdt>
      <w:sdtPr>
        <w:alias w:val="14 pr."/>
        <w:tag w:val="part_a6198aa587e74d2a946165a1dcc2ef12"/>
        <w:lock w:val="sdtLocked"/>
        <w:richText/>
      </w:sdtPr>
      <w:sdtContent>
        <w:p>
          <w:pPr>
            <w:overflowPunct w:val="0"/>
            <w:jc w:val="both"/>
            <w:textAlignment w:val="baseline"/>
            <w:rPr>
              <w:sz w:val="20"/>
            </w:rPr>
          </w:pPr>
          <w:r>
            <w:rPr>
              <w:sz w:val="20"/>
            </w:rPr>
            <w:br w:type="page"/>
          </w:r>
        </w:p>
        <w:p>
          <w:pPr>
            <w:overflowPunct w:val="0"/>
            <w:ind w:left="3402" w:firstLine="2977"/>
            <w:jc w:val="both"/>
            <w:textAlignment w:val="baseline"/>
            <w:rPr>
              <w:sz w:val="20"/>
            </w:rPr>
          </w:pPr>
          <w:r>
            <w:rPr>
              <w:szCs w:val="24"/>
            </w:rPr>
            <w:t>Ūkininko ūkio veiklos</w:t>
          </w:r>
        </w:p>
        <w:p>
          <w:pPr>
            <w:overflowPunct w:val="0"/>
            <w:ind w:left="6379"/>
            <w:jc w:val="both"/>
            <w:textAlignment w:val="baseline"/>
            <w:rPr>
              <w:szCs w:val="24"/>
            </w:rPr>
          </w:pPr>
          <w:r>
            <w:rPr>
              <w:szCs w:val="24"/>
            </w:rPr>
            <w:t>buhalterinės apskaitos tvarkymo</w:t>
          </w:r>
        </w:p>
        <w:p>
          <w:pPr>
            <w:overflowPunct w:val="0"/>
            <w:ind w:left="6379"/>
            <w:jc w:val="both"/>
            <w:textAlignment w:val="baseline"/>
            <w:rPr>
              <w:szCs w:val="24"/>
            </w:rPr>
          </w:pPr>
          <w:r>
            <w:rPr>
              <w:szCs w:val="24"/>
            </w:rPr>
            <w:t>supaprastintąja apskaitos sistema</w:t>
          </w:r>
        </w:p>
        <w:p>
          <w:pPr>
            <w:overflowPunct w:val="0"/>
            <w:ind w:left="6379"/>
            <w:jc w:val="both"/>
            <w:textAlignment w:val="baseline"/>
            <w:rPr>
              <w:szCs w:val="24"/>
            </w:rPr>
          </w:pPr>
          <w:r>
            <w:rPr>
              <w:szCs w:val="24"/>
            </w:rPr>
            <w:t xml:space="preserve">rekomendacijų </w:t>
          </w:r>
        </w:p>
        <w:p>
          <w:pPr>
            <w:overflowPunct w:val="0"/>
            <w:ind w:left="6379"/>
            <w:jc w:val="both"/>
            <w:textAlignment w:val="baseline"/>
            <w:rPr>
              <w:szCs w:val="24"/>
            </w:rPr>
          </w:pPr>
          <w:sdt>
            <w:sdtPr>
              <w:alias w:val="Numeris"/>
              <w:tag w:val="nr_a6198aa587e74d2a946165a1dcc2ef12"/>
              <w:lock w:val="sdtLocked"/>
              <w:richText/>
            </w:sdtPr>
            <w:sdtContent>
              <w:r>
                <w:rPr>
                  <w:szCs w:val="24"/>
                </w:rPr>
                <w:t>14</w:t>
              </w:r>
            </w:sdtContent>
          </w:sdt>
          <w:r>
            <w:rPr>
              <w:szCs w:val="24"/>
            </w:rPr>
            <w:t xml:space="preserve">  priedas</w:t>
          </w:r>
        </w:p>
        <w:p>
          <w:pPr>
            <w:keepNext/>
            <w:overflowPunct w:val="0"/>
            <w:jc w:val="center"/>
            <w:textAlignment w:val="baseline"/>
            <w:rPr>
              <w:b/>
              <w:sz w:val="10"/>
              <w:szCs w:val="10"/>
            </w:rPr>
          </w:pPr>
        </w:p>
        <w:p>
          <w:pPr>
            <w:overflowPunct w:val="0"/>
            <w:jc w:val="center"/>
            <w:textAlignment w:val="baseline"/>
          </w:pPr>
          <w:r>
            <w:t>Ūkininko ________________________________ ūkis</w:t>
          </w:r>
        </w:p>
        <w:p>
          <w:pPr>
            <w:overflowPunct w:val="0"/>
            <w:jc w:val="center"/>
            <w:textAlignment w:val="baseline"/>
            <w:rPr>
              <w:sz w:val="10"/>
              <w:szCs w:val="10"/>
            </w:rPr>
          </w:pPr>
        </w:p>
        <w:p>
          <w:pPr>
            <w:overflowPunct w:val="0"/>
            <w:jc w:val="center"/>
            <w:textAlignment w:val="baseline"/>
          </w:pPr>
          <w:r>
            <w:t>Ūkininko ūkio įregistravimo pažymėjimo Nr. ___________</w:t>
          </w:r>
        </w:p>
        <w:p>
          <w:pPr>
            <w:overflowPunct w:val="0"/>
            <w:jc w:val="center"/>
            <w:textAlignment w:val="baseline"/>
            <w:rPr>
              <w:sz w:val="10"/>
              <w:szCs w:val="10"/>
            </w:rPr>
          </w:pPr>
        </w:p>
        <w:p>
          <w:pPr>
            <w:overflowPunct w:val="0"/>
            <w:jc w:val="center"/>
            <w:textAlignment w:val="baseline"/>
          </w:pPr>
          <w:r>
            <w:t>Adresas ____________________________________________</w:t>
          </w:r>
        </w:p>
        <w:p>
          <w:pPr>
            <w:overflowPunct w:val="0"/>
            <w:jc w:val="center"/>
            <w:textAlignment w:val="baseline"/>
          </w:pPr>
        </w:p>
        <w:p>
          <w:pPr>
            <w:overflowPunct w:val="0"/>
            <w:jc w:val="center"/>
            <w:textAlignment w:val="baseline"/>
            <w:rPr>
              <w:b/>
              <w:szCs w:val="24"/>
            </w:rPr>
          </w:pPr>
          <w:r>
            <w:rPr>
              <w:b/>
              <w:bCs/>
              <w:szCs w:val="24"/>
            </w:rPr>
            <w:t>KAPITALO APSKAIČIAVIMO ŽINIARAŠTIS</w:t>
          </w:r>
        </w:p>
        <w:p>
          <w:pPr>
            <w:overflowPunct w:val="0"/>
            <w:jc w:val="center"/>
            <w:textAlignment w:val="baseline"/>
            <w:rPr>
              <w:sz w:val="10"/>
              <w:szCs w:val="10"/>
            </w:rPr>
          </w:pPr>
        </w:p>
        <w:p>
          <w:pPr>
            <w:overflowPunct w:val="0"/>
            <w:jc w:val="center"/>
            <w:textAlignment w:val="baseline"/>
          </w:pPr>
          <w:r>
            <w:t>_____________ Nr. _____________</w:t>
          </w:r>
        </w:p>
        <w:p>
          <w:pPr>
            <w:overflowPunct w:val="0"/>
            <w:ind w:left="3544"/>
            <w:jc w:val="both"/>
            <w:textAlignment w:val="baseline"/>
            <w:rPr>
              <w:sz w:val="20"/>
            </w:rPr>
          </w:pPr>
          <w:r>
            <w:rPr>
              <w:sz w:val="20"/>
            </w:rPr>
            <w:t>(data)</w:t>
          </w:r>
        </w:p>
        <w:p>
          <w:pPr>
            <w:overflowPunct w:val="0"/>
            <w:ind w:left="7513"/>
            <w:jc w:val="both"/>
            <w:textAlignment w:val="baseline"/>
            <w:rPr>
              <w:b/>
            </w:rPr>
          </w:pPr>
        </w:p>
        <w:p>
          <w:pPr>
            <w:overflowPunct w:val="0"/>
            <w:ind w:left="7513"/>
            <w:jc w:val="both"/>
            <w:textAlignment w:val="baseline"/>
          </w:pPr>
          <w:r>
            <w:t>_______________</w:t>
          </w:r>
        </w:p>
        <w:p>
          <w:pPr>
            <w:overflowPunct w:val="0"/>
            <w:ind w:left="8080"/>
            <w:jc w:val="both"/>
            <w:textAlignment w:val="baseline"/>
            <w:rPr>
              <w:sz w:val="20"/>
            </w:rPr>
          </w:pPr>
          <w:r>
            <w:rPr>
              <w:sz w:val="20"/>
            </w:rPr>
            <w:t>(valiuta)</w:t>
          </w:r>
        </w:p>
        <w:p>
          <w:pPr>
            <w:overflowPunct w:val="0"/>
            <w:ind w:left="8080"/>
            <w:jc w:val="both"/>
            <w:textAlignment w:val="baseline"/>
            <w:rPr>
              <w:sz w:val="10"/>
              <w:szCs w:val="10"/>
            </w:rPr>
          </w:pPr>
        </w:p>
        <w:tbl>
          <w:tblPr>
            <w:tblW w:w="95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380"/>
            <w:gridCol w:w="2160"/>
          </w:tblGrid>
          <w:tr>
            <w:trPr>
              <w:cantSplit/>
              <w:trHeight w:val="20"/>
            </w:trPr>
            <w:tc>
              <w:tcPr>
                <w:tcW w:w="7380" w:type="dxa"/>
                <w:noWrap/>
                <w:vAlign w:val="bottom"/>
              </w:tcPr>
              <w:p>
                <w:pPr>
                  <w:overflowPunct w:val="0"/>
                  <w:jc w:val="both"/>
                  <w:textAlignment w:val="baseline"/>
                  <w:rPr>
                    <w:b/>
                  </w:rPr>
                </w:pPr>
                <w:r>
                  <w:rPr>
                    <w:bCs/>
                  </w:rPr>
                  <w:t>1.</w:t>
                </w:r>
                <w:r>
                  <w:rPr>
                    <w:b/>
                  </w:rPr>
                  <w:t xml:space="preserve"> Likutis ataskaitinio laikotarpio pradžioje</w:t>
                </w:r>
              </w:p>
            </w:tc>
            <w:tc>
              <w:tcPr>
                <w:tcW w:w="2160" w:type="dxa"/>
                <w:noWrap/>
                <w:vAlign w:val="bottom"/>
              </w:tcPr>
              <w:p>
                <w:pPr>
                  <w:overflowPunct w:val="0"/>
                  <w:ind w:right="284"/>
                  <w:jc w:val="right"/>
                  <w:textAlignment w:val="baseline"/>
                  <w:rPr>
                    <w:b/>
                  </w:rPr>
                </w:pPr>
              </w:p>
            </w:tc>
          </w:tr>
          <w:tr>
            <w:trPr>
              <w:cantSplit/>
              <w:trHeight w:val="20"/>
            </w:trPr>
            <w:tc>
              <w:tcPr>
                <w:tcW w:w="7380" w:type="dxa"/>
                <w:noWrap/>
                <w:vAlign w:val="bottom"/>
              </w:tcPr>
              <w:p>
                <w:pPr>
                  <w:overflowPunct w:val="0"/>
                  <w:jc w:val="both"/>
                  <w:textAlignment w:val="baseline"/>
                </w:pPr>
                <w:r>
                  <w:t>2. Pelnas (+)</w:t>
                </w:r>
              </w:p>
            </w:tc>
            <w:tc>
              <w:tcPr>
                <w:tcW w:w="2160" w:type="dxa"/>
                <w:noWrap/>
                <w:vAlign w:val="bottom"/>
              </w:tcPr>
              <w:p>
                <w:pPr>
                  <w:overflowPunct w:val="0"/>
                  <w:ind w:right="284"/>
                  <w:jc w:val="right"/>
                  <w:textAlignment w:val="baseline"/>
                  <w:rPr>
                    <w:bCs/>
                  </w:rPr>
                </w:pPr>
              </w:p>
            </w:tc>
          </w:tr>
          <w:tr>
            <w:trPr>
              <w:cantSplit/>
              <w:trHeight w:val="20"/>
            </w:trPr>
            <w:tc>
              <w:tcPr>
                <w:tcW w:w="7380" w:type="dxa"/>
                <w:noWrap/>
                <w:vAlign w:val="bottom"/>
              </w:tcPr>
              <w:p>
                <w:pPr>
                  <w:overflowPunct w:val="0"/>
                  <w:jc w:val="both"/>
                  <w:textAlignment w:val="baseline"/>
                </w:pPr>
                <w:r>
                  <w:t>3. Nuostoliai (-)</w:t>
                </w:r>
              </w:p>
            </w:tc>
            <w:tc>
              <w:tcPr>
                <w:tcW w:w="2160" w:type="dxa"/>
                <w:noWrap/>
                <w:vAlign w:val="bottom"/>
              </w:tcPr>
              <w:p>
                <w:pPr>
                  <w:overflowPunct w:val="0"/>
                  <w:ind w:right="284"/>
                  <w:jc w:val="right"/>
                  <w:textAlignment w:val="baseline"/>
                  <w:rPr>
                    <w:bCs/>
                  </w:rPr>
                </w:pPr>
              </w:p>
            </w:tc>
          </w:tr>
          <w:tr>
            <w:trPr>
              <w:cantSplit/>
              <w:trHeight w:val="20"/>
            </w:trPr>
            <w:tc>
              <w:tcPr>
                <w:tcW w:w="7380" w:type="dxa"/>
                <w:noWrap/>
                <w:vAlign w:val="bottom"/>
              </w:tcPr>
              <w:p>
                <w:pPr>
                  <w:overflowPunct w:val="0"/>
                  <w:jc w:val="both"/>
                  <w:textAlignment w:val="baseline"/>
                </w:pPr>
                <w:r>
                  <w:t>4. Ilgalaikio turto perkainojimo rezultatas (±)</w:t>
                </w:r>
              </w:p>
            </w:tc>
            <w:tc>
              <w:tcPr>
                <w:tcW w:w="2160" w:type="dxa"/>
                <w:noWrap/>
                <w:vAlign w:val="bottom"/>
              </w:tcPr>
              <w:p>
                <w:pPr>
                  <w:overflowPunct w:val="0"/>
                  <w:ind w:right="284"/>
                  <w:jc w:val="right"/>
                  <w:textAlignment w:val="baseline"/>
                  <w:rPr>
                    <w:bCs/>
                  </w:rPr>
                </w:pPr>
              </w:p>
            </w:tc>
          </w:tr>
          <w:tr>
            <w:trPr>
              <w:cantSplit/>
              <w:trHeight w:val="20"/>
            </w:trPr>
            <w:tc>
              <w:tcPr>
                <w:tcW w:w="7380" w:type="dxa"/>
                <w:noWrap/>
                <w:vAlign w:val="bottom"/>
              </w:tcPr>
              <w:p>
                <w:pPr>
                  <w:overflowPunct w:val="0"/>
                  <w:jc w:val="both"/>
                  <w:textAlignment w:val="baseline"/>
                </w:pPr>
                <w:r>
                  <w:t>5. Ūkininko ir / ar jo partnerių pinigų įnešimas (+)</w:t>
                </w:r>
              </w:p>
            </w:tc>
            <w:tc>
              <w:tcPr>
                <w:tcW w:w="2160" w:type="dxa"/>
                <w:noWrap/>
                <w:vAlign w:val="bottom"/>
              </w:tcPr>
              <w:p>
                <w:pPr>
                  <w:overflowPunct w:val="0"/>
                  <w:ind w:right="284"/>
                  <w:jc w:val="right"/>
                  <w:textAlignment w:val="baseline"/>
                  <w:rPr>
                    <w:bCs/>
                  </w:rPr>
                </w:pPr>
              </w:p>
            </w:tc>
          </w:tr>
          <w:tr>
            <w:trPr>
              <w:cantSplit/>
              <w:trHeight w:val="20"/>
            </w:trPr>
            <w:tc>
              <w:tcPr>
                <w:tcW w:w="7380" w:type="dxa"/>
                <w:noWrap/>
                <w:vAlign w:val="bottom"/>
              </w:tcPr>
              <w:p>
                <w:pPr>
                  <w:overflowPunct w:val="0"/>
                  <w:jc w:val="both"/>
                  <w:textAlignment w:val="baseline"/>
                </w:pPr>
                <w:r>
                  <w:t>6. Pinigų išmokėjimas ūkininkui ir (ar) jo partneriams (-)</w:t>
                </w:r>
              </w:p>
            </w:tc>
            <w:tc>
              <w:tcPr>
                <w:tcW w:w="2160" w:type="dxa"/>
                <w:noWrap/>
                <w:vAlign w:val="bottom"/>
              </w:tcPr>
              <w:p>
                <w:pPr>
                  <w:overflowPunct w:val="0"/>
                  <w:ind w:right="284"/>
                  <w:jc w:val="right"/>
                  <w:textAlignment w:val="baseline"/>
                  <w:rPr>
                    <w:bCs/>
                  </w:rPr>
                </w:pPr>
              </w:p>
            </w:tc>
          </w:tr>
          <w:tr>
            <w:trPr>
              <w:cantSplit/>
              <w:trHeight w:val="20"/>
            </w:trPr>
            <w:tc>
              <w:tcPr>
                <w:tcW w:w="7380" w:type="dxa"/>
                <w:noWrap/>
                <w:vAlign w:val="bottom"/>
              </w:tcPr>
              <w:p>
                <w:pPr>
                  <w:tabs>
                    <w:tab w:val="left" w:pos="318"/>
                  </w:tabs>
                  <w:overflowPunct w:val="0"/>
                  <w:jc w:val="both"/>
                  <w:textAlignment w:val="baseline"/>
                </w:pPr>
                <w:r>
                  <w:t>7. Ūkininko ūkyje pagamintos produkcijos ir išaugintų gyvulių sunaudojimas asmeninėms reikmėms (-)</w:t>
                </w:r>
              </w:p>
            </w:tc>
            <w:tc>
              <w:tcPr>
                <w:tcW w:w="2160" w:type="dxa"/>
                <w:noWrap/>
                <w:vAlign w:val="bottom"/>
              </w:tcPr>
              <w:p>
                <w:pPr>
                  <w:overflowPunct w:val="0"/>
                  <w:ind w:right="284"/>
                  <w:jc w:val="right"/>
                  <w:textAlignment w:val="baseline"/>
                  <w:rPr>
                    <w:bCs/>
                  </w:rPr>
                </w:pPr>
              </w:p>
            </w:tc>
          </w:tr>
          <w:tr>
            <w:trPr>
              <w:cantSplit/>
              <w:trHeight w:val="20"/>
            </w:trPr>
            <w:tc>
              <w:tcPr>
                <w:tcW w:w="7380" w:type="dxa"/>
                <w:noWrap/>
                <w:vAlign w:val="bottom"/>
              </w:tcPr>
              <w:p>
                <w:pPr>
                  <w:overflowPunct w:val="0"/>
                  <w:jc w:val="both"/>
                  <w:textAlignment w:val="baseline"/>
                </w:pPr>
                <w:r>
                  <w:t>8.</w:t>
                </w:r>
                <w:r>
                  <w:rPr>
                    <w:b/>
                  </w:rPr>
                  <w:t xml:space="preserve"> Likutis ataskaitinio laikotarpio pabaigoje</w:t>
                </w:r>
              </w:p>
            </w:tc>
            <w:tc>
              <w:tcPr>
                <w:tcW w:w="2160" w:type="dxa"/>
                <w:noWrap/>
                <w:vAlign w:val="bottom"/>
              </w:tcPr>
              <w:p>
                <w:pPr>
                  <w:overflowPunct w:val="0"/>
                  <w:ind w:right="284"/>
                  <w:jc w:val="right"/>
                  <w:textAlignment w:val="baseline"/>
                  <w:rPr>
                    <w:b/>
                  </w:rPr>
                </w:pPr>
              </w:p>
            </w:tc>
          </w:tr>
        </w:tbl>
        <w:p>
          <w:pPr>
            <w:overflowPunct w:val="0"/>
            <w:jc w:val="both"/>
            <w:textAlignment w:val="baseline"/>
          </w:pPr>
        </w:p>
        <w:p>
          <w:pPr>
            <w:overflowPunct w:val="0"/>
            <w:jc w:val="both"/>
            <w:textAlignment w:val="baseline"/>
          </w:pPr>
          <w:r>
            <w:t>Ūkininkas</w:t>
            <w:tab/>
            <w:tab/>
            <w:t>_________________</w:t>
            <w:tab/>
            <w:tab/>
            <w:t>_________________________</w:t>
          </w:r>
        </w:p>
        <w:p>
          <w:pPr>
            <w:overflowPunct w:val="0"/>
            <w:ind w:left="1298" w:firstLine="1298"/>
            <w:jc w:val="both"/>
            <w:textAlignment w:val="baseline"/>
          </w:pPr>
          <w:r>
            <w:rPr>
              <w:sz w:val="20"/>
            </w:rPr>
            <w:t>(parašas)</w:t>
            <w:tab/>
          </w:r>
          <w:r>
            <w:tab/>
            <w:tab/>
          </w:r>
          <w:r>
            <w:rPr>
              <w:sz w:val="20"/>
            </w:rPr>
            <w:t>(vardas, pavardė)</w:t>
          </w:r>
        </w:p>
        <w:sdt>
          <w:sdtPr>
            <w:alias w:val="pabaiga"/>
            <w:tag w:val="part_da0b7af0775d4b4dacf4f1f26d74c836"/>
            <w:lock w:val="sdtLocked"/>
            <w:richText/>
          </w:sdtPr>
          <w:sdtContent>
            <w:p>
              <w:pPr>
                <w:overflowPunct w:val="0"/>
                <w:jc w:val="center"/>
                <w:textAlignment w:val="baseline"/>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ba5c0506f11e4a698d921e3e46801">
            <w:r w:rsidRPr="00532B9F">
              <w:rPr>
                <w:rFonts w:ascii="Times New Roman" w:eastAsia="MS Mincho" w:hAnsi="Times New Roman"/>
                <w:sz w:val="20"/>
                <w:i/>
                <w:iCs/>
                <w:color w:val="0000FF" w:themeColor="hyperlink"/>
                <w:u w:val="single"/>
              </w:rPr>
              <w:t>3D-725</w:t>
            </w:r>
          </w:fldSimple>
          <w:r>
            <w:rPr>
              <w:rFonts w:ascii="Times New Roman" w:eastAsia="MS Mincho" w:hAnsi="Times New Roman"/>
              <w:sz w:val="20"/>
              <w:i/>
              <w:iCs/>
            </w:rPr>
            <w:t>,
2014-10-10,
paskelbta TAR 2014-10-10, i. k. 2014-13951            </w:t>
          </w:r>
        </w:p>
        <w:p/>
      </w:sdtContent>
    </w:sdt>
    <w:sdt>
      <w:sdtPr>
        <w:alias w:val="15 pr."/>
        <w:tag w:val="part_267b02f2da194f1384beb73a05c5ad4c"/>
        <w:lock w:val="sdtLocked"/>
        <w:richText/>
      </w:sdtPr>
      <w:sdtContent>
        <w:p>
          <w:pPr>
            <w:overflowPunct w:val="0"/>
            <w:jc w:val="both"/>
            <w:textAlignment w:val="baseline"/>
            <w:rPr>
              <w:sz w:val="20"/>
            </w:rPr>
          </w:pPr>
          <w:r>
            <w:rPr>
              <w:sz w:val="20"/>
            </w:rPr>
            <w:br w:type="page"/>
          </w:r>
        </w:p>
        <w:p>
          <w:pPr>
            <w:overflowPunct w:val="0"/>
            <w:ind w:firstLine="6379"/>
            <w:jc w:val="both"/>
            <w:textAlignment w:val="baseline"/>
            <w:rPr>
              <w:szCs w:val="24"/>
            </w:rPr>
          </w:pPr>
          <w:r>
            <w:rPr>
              <w:szCs w:val="24"/>
            </w:rPr>
            <w:t>Ūkininko ūkio veiklos</w:t>
          </w:r>
        </w:p>
        <w:p>
          <w:pPr>
            <w:overflowPunct w:val="0"/>
            <w:ind w:left="6379"/>
            <w:jc w:val="both"/>
            <w:textAlignment w:val="baseline"/>
            <w:rPr>
              <w:szCs w:val="24"/>
            </w:rPr>
          </w:pPr>
          <w:r>
            <w:rPr>
              <w:szCs w:val="24"/>
            </w:rPr>
            <w:t>buhalterinės apskaitos tvarkymo</w:t>
          </w:r>
        </w:p>
        <w:p>
          <w:pPr>
            <w:overflowPunct w:val="0"/>
            <w:ind w:left="6379"/>
            <w:jc w:val="both"/>
            <w:textAlignment w:val="baseline"/>
            <w:rPr>
              <w:szCs w:val="24"/>
            </w:rPr>
          </w:pPr>
          <w:r>
            <w:rPr>
              <w:szCs w:val="24"/>
            </w:rPr>
            <w:t>supaprastintąja apskaitos sistema</w:t>
          </w:r>
        </w:p>
        <w:p>
          <w:pPr>
            <w:overflowPunct w:val="0"/>
            <w:ind w:left="6379"/>
            <w:jc w:val="both"/>
            <w:textAlignment w:val="baseline"/>
            <w:rPr>
              <w:szCs w:val="24"/>
            </w:rPr>
          </w:pPr>
          <w:r>
            <w:rPr>
              <w:szCs w:val="24"/>
            </w:rPr>
            <w:t xml:space="preserve">rekomendacijų </w:t>
          </w:r>
        </w:p>
        <w:p>
          <w:pPr>
            <w:overflowPunct w:val="0"/>
            <w:ind w:left="6379"/>
            <w:jc w:val="both"/>
            <w:textAlignment w:val="baseline"/>
            <w:rPr>
              <w:szCs w:val="24"/>
            </w:rPr>
          </w:pPr>
          <w:sdt>
            <w:sdtPr>
              <w:alias w:val="Numeris"/>
              <w:tag w:val="nr_267b02f2da194f1384beb73a05c5ad4c"/>
              <w:lock w:val="sdtLocked"/>
              <w:richText/>
            </w:sdtPr>
            <w:sdtContent>
              <w:r>
                <w:rPr>
                  <w:szCs w:val="24"/>
                </w:rPr>
                <w:t>15</w:t>
              </w:r>
            </w:sdtContent>
          </w:sdt>
          <w:r>
            <w:rPr>
              <w:szCs w:val="24"/>
            </w:rPr>
            <w:t xml:space="preserve">  priedas</w:t>
          </w:r>
        </w:p>
        <w:p>
          <w:pPr>
            <w:keepNext/>
            <w:overflowPunct w:val="0"/>
            <w:jc w:val="center"/>
            <w:textAlignment w:val="baseline"/>
            <w:rPr>
              <w:b/>
              <w:sz w:val="10"/>
              <w:szCs w:val="10"/>
            </w:rPr>
          </w:pPr>
        </w:p>
        <w:p>
          <w:pPr>
            <w:overflowPunct w:val="0"/>
            <w:jc w:val="center"/>
            <w:textAlignment w:val="baseline"/>
          </w:pPr>
          <w:r>
            <w:t>Ūkininko ________________________________ ūkis</w:t>
          </w:r>
        </w:p>
        <w:p>
          <w:pPr>
            <w:overflowPunct w:val="0"/>
            <w:jc w:val="center"/>
            <w:textAlignment w:val="baseline"/>
            <w:rPr>
              <w:sz w:val="10"/>
              <w:szCs w:val="10"/>
            </w:rPr>
          </w:pPr>
        </w:p>
        <w:p>
          <w:pPr>
            <w:overflowPunct w:val="0"/>
            <w:jc w:val="center"/>
            <w:textAlignment w:val="baseline"/>
          </w:pPr>
          <w:r>
            <w:t>Ūkininko ūkio įregistravimo pažymėjimo Nr. ___________</w:t>
          </w:r>
        </w:p>
        <w:p>
          <w:pPr>
            <w:overflowPunct w:val="0"/>
            <w:jc w:val="center"/>
            <w:textAlignment w:val="baseline"/>
            <w:rPr>
              <w:sz w:val="10"/>
              <w:szCs w:val="10"/>
            </w:rPr>
          </w:pPr>
        </w:p>
        <w:p>
          <w:pPr>
            <w:overflowPunct w:val="0"/>
            <w:jc w:val="center"/>
            <w:textAlignment w:val="baseline"/>
          </w:pPr>
          <w:r>
            <w:t>Adresas ____________________________________________</w:t>
          </w:r>
        </w:p>
        <w:p>
          <w:pPr>
            <w:overflowPunct w:val="0"/>
            <w:jc w:val="center"/>
            <w:textAlignment w:val="baseline"/>
          </w:pPr>
        </w:p>
        <w:p>
          <w:pPr>
            <w:overflowPunct w:val="0"/>
            <w:jc w:val="center"/>
            <w:textAlignment w:val="baseline"/>
            <w:rPr>
              <w:b/>
              <w:bCs/>
              <w:strike/>
              <w:szCs w:val="24"/>
            </w:rPr>
          </w:pPr>
          <w:r>
            <w:rPr>
              <w:b/>
              <w:bCs/>
              <w:szCs w:val="24"/>
            </w:rPr>
            <w:t>PINIGŲ SRAUTŲ ATASKAITA</w:t>
          </w:r>
        </w:p>
        <w:p>
          <w:pPr>
            <w:overflowPunct w:val="0"/>
            <w:jc w:val="center"/>
            <w:textAlignment w:val="baseline"/>
            <w:rPr>
              <w:b/>
              <w:szCs w:val="24"/>
            </w:rPr>
          </w:pPr>
          <w:r>
            <w:rPr>
              <w:b/>
              <w:bCs/>
              <w:szCs w:val="24"/>
            </w:rPr>
            <w:t>(netiesioginiu būdu)</w:t>
          </w:r>
        </w:p>
        <w:p>
          <w:pPr>
            <w:overflowPunct w:val="0"/>
            <w:jc w:val="center"/>
            <w:textAlignment w:val="baseline"/>
            <w:rPr>
              <w:sz w:val="10"/>
              <w:szCs w:val="10"/>
            </w:rPr>
          </w:pPr>
        </w:p>
        <w:p>
          <w:pPr>
            <w:overflowPunct w:val="0"/>
            <w:jc w:val="center"/>
            <w:textAlignment w:val="baseline"/>
          </w:pPr>
          <w:r>
            <w:t>_____________ Nr. _____________</w:t>
          </w:r>
        </w:p>
        <w:p>
          <w:pPr>
            <w:overflowPunct w:val="0"/>
            <w:ind w:left="3544"/>
            <w:jc w:val="both"/>
            <w:textAlignment w:val="baseline"/>
            <w:rPr>
              <w:sz w:val="20"/>
            </w:rPr>
          </w:pPr>
          <w:r>
            <w:rPr>
              <w:sz w:val="20"/>
            </w:rPr>
            <w:t>(data)</w:t>
          </w:r>
        </w:p>
        <w:p>
          <w:pPr>
            <w:overflowPunct w:val="0"/>
            <w:ind w:left="7513"/>
            <w:jc w:val="both"/>
            <w:textAlignment w:val="baseline"/>
          </w:pPr>
          <w:r>
            <w:t>_______________</w:t>
          </w:r>
        </w:p>
        <w:p>
          <w:pPr>
            <w:overflowPunct w:val="0"/>
            <w:ind w:left="8080"/>
            <w:jc w:val="both"/>
            <w:textAlignment w:val="baseline"/>
            <w:rPr>
              <w:b/>
              <w:sz w:val="20"/>
            </w:rPr>
          </w:pPr>
          <w:r>
            <w:rPr>
              <w:sz w:val="20"/>
            </w:rPr>
            <w:t>(valiuta)</w:t>
          </w:r>
        </w:p>
        <w:p>
          <w:pPr>
            <w:overflowPunct w:val="0"/>
            <w:ind w:left="8080"/>
            <w:jc w:val="both"/>
            <w:textAlignment w:val="baseline"/>
            <w:rPr>
              <w:sz w:val="10"/>
              <w:szCs w:val="10"/>
            </w:rPr>
          </w:pPr>
        </w:p>
        <w:tbl>
          <w:tblPr>
            <w:tblW w:w="9923" w:type="dxa"/>
            <w:tblInd w:w="-1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709"/>
            <w:gridCol w:w="6663"/>
            <w:gridCol w:w="1275"/>
            <w:gridCol w:w="1276"/>
          </w:tblGrid>
          <w:tr>
            <w:trPr>
              <w:trHeight w:val="284"/>
            </w:trPr>
            <w:tc>
              <w:tcPr>
                <w:tcW w:w="709" w:type="dxa"/>
                <w:vAlign w:val="center"/>
              </w:tcPr>
              <w:p>
                <w:pPr>
                  <w:overflowPunct w:val="0"/>
                  <w:jc w:val="center"/>
                  <w:textAlignment w:val="baseline"/>
                  <w:rPr>
                    <w:b/>
                    <w:szCs w:val="24"/>
                  </w:rPr>
                </w:pPr>
                <w:r>
                  <w:rPr>
                    <w:b/>
                    <w:szCs w:val="24"/>
                  </w:rPr>
                  <w:t>Eil. Nr.</w:t>
                </w:r>
              </w:p>
            </w:tc>
            <w:tc>
              <w:tcPr>
                <w:tcW w:w="6663" w:type="dxa"/>
                <w:vAlign w:val="center"/>
              </w:tcPr>
              <w:p>
                <w:pPr>
                  <w:overflowPunct w:val="0"/>
                  <w:jc w:val="center"/>
                  <w:textAlignment w:val="baseline"/>
                  <w:rPr>
                    <w:b/>
                    <w:szCs w:val="24"/>
                  </w:rPr>
                </w:pPr>
                <w:r>
                  <w:rPr>
                    <w:b/>
                    <w:szCs w:val="24"/>
                  </w:rPr>
                  <w:t>Straipsniai</w:t>
                </w:r>
              </w:p>
            </w:tc>
            <w:tc>
              <w:tcPr>
                <w:tcW w:w="1275" w:type="dxa"/>
                <w:vAlign w:val="center"/>
              </w:tcPr>
              <w:p>
                <w:pPr>
                  <w:overflowPunct w:val="0"/>
                  <w:jc w:val="center"/>
                  <w:textAlignment w:val="baseline"/>
                  <w:rPr>
                    <w:b/>
                    <w:szCs w:val="24"/>
                  </w:rPr>
                </w:pPr>
                <w:r>
                  <w:rPr>
                    <w:b/>
                    <w:szCs w:val="24"/>
                  </w:rPr>
                  <w:t>Finansiniai metai</w:t>
                </w:r>
              </w:p>
            </w:tc>
            <w:tc>
              <w:tcPr>
                <w:tcW w:w="1276" w:type="dxa"/>
                <w:vAlign w:val="center"/>
              </w:tcPr>
              <w:p>
                <w:pPr>
                  <w:overflowPunct w:val="0"/>
                  <w:jc w:val="center"/>
                  <w:textAlignment w:val="baseline"/>
                  <w:rPr>
                    <w:b/>
                    <w:szCs w:val="24"/>
                  </w:rPr>
                </w:pPr>
                <w:r>
                  <w:rPr>
                    <w:b/>
                    <w:szCs w:val="24"/>
                  </w:rPr>
                  <w:t>Praėję finansiniai</w:t>
                </w:r>
              </w:p>
              <w:p>
                <w:pPr>
                  <w:overflowPunct w:val="0"/>
                  <w:jc w:val="center"/>
                  <w:textAlignment w:val="baseline"/>
                  <w:rPr>
                    <w:b/>
                    <w:szCs w:val="24"/>
                  </w:rPr>
                </w:pPr>
                <w:r>
                  <w:rPr>
                    <w:b/>
                    <w:szCs w:val="24"/>
                  </w:rPr>
                  <w:t>metai</w:t>
                </w:r>
              </w:p>
            </w:tc>
          </w:tr>
          <w:tr>
            <w:trPr>
              <w:trHeight w:val="284"/>
            </w:trPr>
            <w:tc>
              <w:tcPr>
                <w:tcW w:w="709" w:type="dxa"/>
              </w:tcPr>
              <w:p>
                <w:pPr>
                  <w:overflowPunct w:val="0"/>
                  <w:jc w:val="center"/>
                  <w:textAlignment w:val="baseline"/>
                  <w:rPr>
                    <w:b/>
                    <w:szCs w:val="24"/>
                  </w:rPr>
                </w:pPr>
                <w:r>
                  <w:rPr>
                    <w:b/>
                    <w:szCs w:val="24"/>
                  </w:rPr>
                  <w:t>I.</w:t>
                </w:r>
              </w:p>
            </w:tc>
            <w:tc>
              <w:tcPr>
                <w:tcW w:w="6663" w:type="dxa"/>
              </w:tcPr>
              <w:p>
                <w:pPr>
                  <w:overflowPunct w:val="0"/>
                  <w:jc w:val="both"/>
                  <w:textAlignment w:val="baseline"/>
                  <w:rPr>
                    <w:b/>
                    <w:szCs w:val="24"/>
                  </w:rPr>
                </w:pPr>
                <w:r>
                  <w:rPr>
                    <w:b/>
                    <w:szCs w:val="24"/>
                  </w:rPr>
                  <w:t>Pagrindinės veiklos pinigų srautai</w:t>
                </w:r>
              </w:p>
            </w:tc>
            <w:tc>
              <w:tcPr>
                <w:tcW w:w="1275" w:type="dxa"/>
                <w:vAlign w:val="bottom"/>
              </w:tcPr>
              <w:p>
                <w:pPr>
                  <w:overflowPunct w:val="0"/>
                  <w:ind w:right="284"/>
                  <w:jc w:val="right"/>
                  <w:textAlignment w:val="baseline"/>
                  <w:rPr>
                    <w:b/>
                    <w:szCs w:val="24"/>
                  </w:rPr>
                </w:pPr>
              </w:p>
            </w:tc>
            <w:tc>
              <w:tcPr>
                <w:tcW w:w="1276" w:type="dxa"/>
                <w:vAlign w:val="bottom"/>
              </w:tcPr>
              <w:p>
                <w:pPr>
                  <w:overflowPunct w:val="0"/>
                  <w:ind w:right="284"/>
                  <w:jc w:val="right"/>
                  <w:textAlignment w:val="baseline"/>
                  <w:rPr>
                    <w:b/>
                    <w:szCs w:val="24"/>
                  </w:rPr>
                </w:pPr>
              </w:p>
            </w:tc>
          </w:tr>
          <w:tr>
            <w:trPr>
              <w:trHeight w:val="284"/>
            </w:trPr>
            <w:tc>
              <w:tcPr>
                <w:tcW w:w="709" w:type="dxa"/>
              </w:tcPr>
              <w:p>
                <w:pPr>
                  <w:overflowPunct w:val="0"/>
                  <w:jc w:val="center"/>
                  <w:textAlignment w:val="baseline"/>
                  <w:rPr>
                    <w:szCs w:val="24"/>
                  </w:rPr>
                </w:pPr>
                <w:r>
                  <w:rPr>
                    <w:szCs w:val="24"/>
                  </w:rPr>
                  <w:t>I.1.</w:t>
                </w:r>
              </w:p>
            </w:tc>
            <w:tc>
              <w:tcPr>
                <w:tcW w:w="6663" w:type="dxa"/>
              </w:tcPr>
              <w:p>
                <w:pPr>
                  <w:overflowPunct w:val="0"/>
                  <w:jc w:val="both"/>
                  <w:textAlignment w:val="baseline"/>
                  <w:rPr>
                    <w:szCs w:val="24"/>
                  </w:rPr>
                </w:pPr>
                <w:r>
                  <w:rPr>
                    <w:szCs w:val="24"/>
                  </w:rPr>
                  <w:t xml:space="preserve">Grynasis pelnas (+)  (nuostoliai) (-)</w:t>
                </w:r>
              </w:p>
            </w:tc>
            <w:tc>
              <w:tcPr>
                <w:tcW w:w="1275" w:type="dxa"/>
                <w:vAlign w:val="bottom"/>
              </w:tcPr>
              <w:p>
                <w:pPr>
                  <w:overflowPunct w:val="0"/>
                  <w:ind w:right="284"/>
                  <w:jc w:val="right"/>
                  <w:textAlignment w:val="baseline"/>
                  <w:rPr>
                    <w:szCs w:val="24"/>
                  </w:rPr>
                </w:pPr>
              </w:p>
            </w:tc>
            <w:tc>
              <w:tcPr>
                <w:tcW w:w="1276" w:type="dxa"/>
                <w:vAlign w:val="bottom"/>
              </w:tcPr>
              <w:p>
                <w:pPr>
                  <w:overflowPunct w:val="0"/>
                  <w:ind w:right="284"/>
                  <w:jc w:val="right"/>
                  <w:textAlignment w:val="baseline"/>
                  <w:rPr>
                    <w:szCs w:val="24"/>
                  </w:rPr>
                </w:pPr>
              </w:p>
            </w:tc>
          </w:tr>
          <w:tr>
            <w:trPr>
              <w:trHeight w:val="284"/>
            </w:trPr>
            <w:tc>
              <w:tcPr>
                <w:tcW w:w="709" w:type="dxa"/>
              </w:tcPr>
              <w:p>
                <w:pPr>
                  <w:overflowPunct w:val="0"/>
                  <w:jc w:val="center"/>
                  <w:textAlignment w:val="baseline"/>
                  <w:rPr>
                    <w:szCs w:val="24"/>
                  </w:rPr>
                </w:pPr>
                <w:r>
                  <w:rPr>
                    <w:szCs w:val="24"/>
                  </w:rPr>
                  <w:t>I.2.</w:t>
                </w:r>
              </w:p>
            </w:tc>
            <w:tc>
              <w:tcPr>
                <w:tcW w:w="6663" w:type="dxa"/>
              </w:tcPr>
              <w:p>
                <w:pPr>
                  <w:overflowPunct w:val="0"/>
                  <w:jc w:val="both"/>
                  <w:textAlignment w:val="baseline"/>
                  <w:rPr>
                    <w:szCs w:val="24"/>
                  </w:rPr>
                </w:pPr>
                <w:r>
                  <w:rPr>
                    <w:szCs w:val="24"/>
                  </w:rPr>
                  <w:t>Ilgalaikio turto nusidėvėjimas (amortizacija) (+)</w:t>
                </w:r>
              </w:p>
            </w:tc>
            <w:tc>
              <w:tcPr>
                <w:tcW w:w="1275" w:type="dxa"/>
                <w:vAlign w:val="bottom"/>
              </w:tcPr>
              <w:p>
                <w:pPr>
                  <w:overflowPunct w:val="0"/>
                  <w:ind w:right="284"/>
                  <w:jc w:val="right"/>
                  <w:textAlignment w:val="baseline"/>
                  <w:rPr>
                    <w:szCs w:val="24"/>
                  </w:rPr>
                </w:pPr>
              </w:p>
            </w:tc>
            <w:tc>
              <w:tcPr>
                <w:tcW w:w="1276" w:type="dxa"/>
                <w:vAlign w:val="bottom"/>
              </w:tcPr>
              <w:p>
                <w:pPr>
                  <w:overflowPunct w:val="0"/>
                  <w:ind w:right="284"/>
                  <w:jc w:val="right"/>
                  <w:textAlignment w:val="baseline"/>
                  <w:rPr>
                    <w:szCs w:val="24"/>
                  </w:rPr>
                </w:pPr>
              </w:p>
            </w:tc>
          </w:tr>
          <w:tr>
            <w:trPr>
              <w:trHeight w:val="284"/>
            </w:trPr>
            <w:tc>
              <w:tcPr>
                <w:tcW w:w="709" w:type="dxa"/>
              </w:tcPr>
              <w:p>
                <w:pPr>
                  <w:overflowPunct w:val="0"/>
                  <w:jc w:val="center"/>
                  <w:textAlignment w:val="baseline"/>
                  <w:rPr>
                    <w:szCs w:val="24"/>
                  </w:rPr>
                </w:pPr>
                <w:r>
                  <w:rPr>
                    <w:szCs w:val="24"/>
                  </w:rPr>
                  <w:t>I.3.</w:t>
                </w:r>
              </w:p>
            </w:tc>
            <w:tc>
              <w:tcPr>
                <w:tcW w:w="6663" w:type="dxa"/>
              </w:tcPr>
              <w:p>
                <w:pPr>
                  <w:overflowPunct w:val="0"/>
                  <w:jc w:val="both"/>
                  <w:textAlignment w:val="baseline"/>
                  <w:rPr>
                    <w:szCs w:val="24"/>
                  </w:rPr>
                </w:pPr>
                <w:r>
                  <w:rPr>
                    <w:szCs w:val="24"/>
                  </w:rPr>
                  <w:t>Po vienerių metų gautinų sumų (padidėjimas) (-) sumažėjimas (+)</w:t>
                </w:r>
              </w:p>
            </w:tc>
            <w:tc>
              <w:tcPr>
                <w:tcW w:w="1275" w:type="dxa"/>
                <w:vAlign w:val="bottom"/>
              </w:tcPr>
              <w:p>
                <w:pPr>
                  <w:overflowPunct w:val="0"/>
                  <w:ind w:right="284"/>
                  <w:jc w:val="right"/>
                  <w:textAlignment w:val="baseline"/>
                  <w:rPr>
                    <w:szCs w:val="24"/>
                  </w:rPr>
                </w:pPr>
              </w:p>
            </w:tc>
            <w:tc>
              <w:tcPr>
                <w:tcW w:w="1276" w:type="dxa"/>
                <w:vAlign w:val="bottom"/>
              </w:tcPr>
              <w:p>
                <w:pPr>
                  <w:overflowPunct w:val="0"/>
                  <w:ind w:right="284"/>
                  <w:jc w:val="right"/>
                  <w:textAlignment w:val="baseline"/>
                  <w:rPr>
                    <w:szCs w:val="24"/>
                  </w:rPr>
                </w:pPr>
              </w:p>
            </w:tc>
          </w:tr>
          <w:tr>
            <w:trPr>
              <w:trHeight w:val="284"/>
            </w:trPr>
            <w:tc>
              <w:tcPr>
                <w:tcW w:w="709" w:type="dxa"/>
              </w:tcPr>
              <w:p>
                <w:pPr>
                  <w:overflowPunct w:val="0"/>
                  <w:jc w:val="center"/>
                  <w:textAlignment w:val="baseline"/>
                  <w:rPr>
                    <w:szCs w:val="24"/>
                  </w:rPr>
                </w:pPr>
                <w:r>
                  <w:rPr>
                    <w:szCs w:val="24"/>
                  </w:rPr>
                  <w:t>I.4.</w:t>
                </w:r>
              </w:p>
            </w:tc>
            <w:tc>
              <w:tcPr>
                <w:tcW w:w="6663" w:type="dxa"/>
              </w:tcPr>
              <w:p>
                <w:pPr>
                  <w:overflowPunct w:val="0"/>
                  <w:jc w:val="both"/>
                  <w:textAlignment w:val="baseline"/>
                  <w:rPr>
                    <w:szCs w:val="24"/>
                  </w:rPr>
                </w:pPr>
                <w:r>
                  <w:rPr>
                    <w:szCs w:val="24"/>
                  </w:rPr>
                  <w:t>Atsargų (padidėjimas)(-) sumažėjimas (+)</w:t>
                </w:r>
              </w:p>
            </w:tc>
            <w:tc>
              <w:tcPr>
                <w:tcW w:w="1275" w:type="dxa"/>
                <w:vAlign w:val="bottom"/>
              </w:tcPr>
              <w:p>
                <w:pPr>
                  <w:overflowPunct w:val="0"/>
                  <w:ind w:right="284"/>
                  <w:jc w:val="right"/>
                  <w:textAlignment w:val="baseline"/>
                  <w:rPr>
                    <w:szCs w:val="24"/>
                  </w:rPr>
                </w:pPr>
              </w:p>
            </w:tc>
            <w:tc>
              <w:tcPr>
                <w:tcW w:w="1276" w:type="dxa"/>
                <w:vAlign w:val="bottom"/>
              </w:tcPr>
              <w:p>
                <w:pPr>
                  <w:overflowPunct w:val="0"/>
                  <w:ind w:right="284"/>
                  <w:jc w:val="right"/>
                  <w:textAlignment w:val="baseline"/>
                  <w:rPr>
                    <w:szCs w:val="24"/>
                  </w:rPr>
                </w:pPr>
              </w:p>
            </w:tc>
          </w:tr>
          <w:tr>
            <w:trPr>
              <w:trHeight w:val="284"/>
            </w:trPr>
            <w:tc>
              <w:tcPr>
                <w:tcW w:w="709" w:type="dxa"/>
              </w:tcPr>
              <w:p>
                <w:pPr>
                  <w:overflowPunct w:val="0"/>
                  <w:jc w:val="center"/>
                  <w:textAlignment w:val="baseline"/>
                  <w:rPr>
                    <w:szCs w:val="24"/>
                  </w:rPr>
                </w:pPr>
                <w:r>
                  <w:rPr>
                    <w:szCs w:val="24"/>
                  </w:rPr>
                  <w:t>I.5.</w:t>
                </w:r>
              </w:p>
            </w:tc>
            <w:tc>
              <w:tcPr>
                <w:tcW w:w="6663" w:type="dxa"/>
              </w:tcPr>
              <w:p>
                <w:pPr>
                  <w:overflowPunct w:val="0"/>
                  <w:jc w:val="both"/>
                  <w:textAlignment w:val="baseline"/>
                  <w:rPr>
                    <w:szCs w:val="24"/>
                  </w:rPr>
                </w:pPr>
                <w:r>
                  <w:rPr>
                    <w:szCs w:val="24"/>
                  </w:rPr>
                  <w:t>Gyvulių ir kitų gyvūnų likučių (padidėjimas) (-) sumažėjimas (+)</w:t>
                </w:r>
              </w:p>
            </w:tc>
            <w:tc>
              <w:tcPr>
                <w:tcW w:w="1275" w:type="dxa"/>
                <w:vAlign w:val="bottom"/>
              </w:tcPr>
              <w:p>
                <w:pPr>
                  <w:overflowPunct w:val="0"/>
                  <w:ind w:right="284"/>
                  <w:jc w:val="right"/>
                  <w:textAlignment w:val="baseline"/>
                  <w:rPr>
                    <w:szCs w:val="24"/>
                  </w:rPr>
                </w:pPr>
              </w:p>
            </w:tc>
            <w:tc>
              <w:tcPr>
                <w:tcW w:w="1276" w:type="dxa"/>
                <w:vAlign w:val="bottom"/>
              </w:tcPr>
              <w:p>
                <w:pPr>
                  <w:overflowPunct w:val="0"/>
                  <w:ind w:right="284"/>
                  <w:jc w:val="right"/>
                  <w:textAlignment w:val="baseline"/>
                  <w:rPr>
                    <w:szCs w:val="24"/>
                  </w:rPr>
                </w:pPr>
              </w:p>
            </w:tc>
          </w:tr>
          <w:tr>
            <w:trPr>
              <w:trHeight w:val="284"/>
            </w:trPr>
            <w:tc>
              <w:tcPr>
                <w:tcW w:w="709" w:type="dxa"/>
              </w:tcPr>
              <w:p>
                <w:pPr>
                  <w:overflowPunct w:val="0"/>
                  <w:jc w:val="center"/>
                  <w:textAlignment w:val="baseline"/>
                  <w:rPr>
                    <w:szCs w:val="24"/>
                  </w:rPr>
                </w:pPr>
                <w:r>
                  <w:rPr>
                    <w:szCs w:val="24"/>
                  </w:rPr>
                  <w:t>I.6.</w:t>
                </w:r>
              </w:p>
            </w:tc>
            <w:tc>
              <w:tcPr>
                <w:tcW w:w="6663" w:type="dxa"/>
              </w:tcPr>
              <w:p>
                <w:pPr>
                  <w:overflowPunct w:val="0"/>
                  <w:jc w:val="both"/>
                  <w:textAlignment w:val="baseline"/>
                  <w:rPr>
                    <w:szCs w:val="24"/>
                  </w:rPr>
                </w:pPr>
                <w:r>
                  <w:rPr>
                    <w:szCs w:val="24"/>
                  </w:rPr>
                  <w:t>Pasėlių likučių (padidėjimas) (-) sumažėjimas (+)</w:t>
                </w:r>
              </w:p>
            </w:tc>
            <w:tc>
              <w:tcPr>
                <w:tcW w:w="1275" w:type="dxa"/>
                <w:vAlign w:val="bottom"/>
              </w:tcPr>
              <w:p>
                <w:pPr>
                  <w:overflowPunct w:val="0"/>
                  <w:ind w:right="284"/>
                  <w:jc w:val="right"/>
                  <w:textAlignment w:val="baseline"/>
                  <w:rPr>
                    <w:szCs w:val="24"/>
                  </w:rPr>
                </w:pPr>
              </w:p>
            </w:tc>
            <w:tc>
              <w:tcPr>
                <w:tcW w:w="1276" w:type="dxa"/>
                <w:vAlign w:val="bottom"/>
              </w:tcPr>
              <w:p>
                <w:pPr>
                  <w:overflowPunct w:val="0"/>
                  <w:ind w:right="284"/>
                  <w:jc w:val="right"/>
                  <w:textAlignment w:val="baseline"/>
                  <w:rPr>
                    <w:szCs w:val="24"/>
                  </w:rPr>
                </w:pPr>
              </w:p>
            </w:tc>
          </w:tr>
          <w:tr>
            <w:trPr>
              <w:trHeight w:val="284"/>
            </w:trPr>
            <w:tc>
              <w:tcPr>
                <w:tcW w:w="709" w:type="dxa"/>
              </w:tcPr>
              <w:p>
                <w:pPr>
                  <w:overflowPunct w:val="0"/>
                  <w:jc w:val="center"/>
                  <w:textAlignment w:val="baseline"/>
                  <w:rPr>
                    <w:szCs w:val="24"/>
                  </w:rPr>
                </w:pPr>
                <w:r>
                  <w:rPr>
                    <w:szCs w:val="24"/>
                  </w:rPr>
                  <w:t>I.7.</w:t>
                </w:r>
              </w:p>
            </w:tc>
            <w:tc>
              <w:tcPr>
                <w:tcW w:w="6663" w:type="dxa"/>
              </w:tcPr>
              <w:p>
                <w:pPr>
                  <w:overflowPunct w:val="0"/>
                  <w:jc w:val="both"/>
                  <w:textAlignment w:val="baseline"/>
                  <w:rPr>
                    <w:szCs w:val="24"/>
                  </w:rPr>
                </w:pPr>
                <w:r>
                  <w:rPr>
                    <w:szCs w:val="24"/>
                  </w:rPr>
                  <w:t xml:space="preserve">Pirkėjų įsiskolinimo (padidėjimas) (-)  sumažėjimas (+)</w:t>
                </w:r>
              </w:p>
            </w:tc>
            <w:tc>
              <w:tcPr>
                <w:tcW w:w="1275" w:type="dxa"/>
                <w:vAlign w:val="bottom"/>
              </w:tcPr>
              <w:p>
                <w:pPr>
                  <w:overflowPunct w:val="0"/>
                  <w:ind w:right="284"/>
                  <w:jc w:val="right"/>
                  <w:textAlignment w:val="baseline"/>
                  <w:rPr>
                    <w:szCs w:val="24"/>
                  </w:rPr>
                </w:pPr>
              </w:p>
            </w:tc>
            <w:tc>
              <w:tcPr>
                <w:tcW w:w="1276" w:type="dxa"/>
                <w:vAlign w:val="bottom"/>
              </w:tcPr>
              <w:p>
                <w:pPr>
                  <w:overflowPunct w:val="0"/>
                  <w:ind w:right="284"/>
                  <w:jc w:val="right"/>
                  <w:textAlignment w:val="baseline"/>
                  <w:rPr>
                    <w:szCs w:val="24"/>
                  </w:rPr>
                </w:pPr>
              </w:p>
            </w:tc>
          </w:tr>
          <w:tr>
            <w:trPr>
              <w:trHeight w:val="284"/>
            </w:trPr>
            <w:tc>
              <w:tcPr>
                <w:tcW w:w="709" w:type="dxa"/>
              </w:tcPr>
              <w:p>
                <w:pPr>
                  <w:overflowPunct w:val="0"/>
                  <w:jc w:val="center"/>
                  <w:textAlignment w:val="baseline"/>
                  <w:rPr>
                    <w:szCs w:val="24"/>
                  </w:rPr>
                </w:pPr>
                <w:r>
                  <w:rPr>
                    <w:szCs w:val="24"/>
                  </w:rPr>
                  <w:t>I.8.</w:t>
                </w:r>
              </w:p>
            </w:tc>
            <w:tc>
              <w:tcPr>
                <w:tcW w:w="6663" w:type="dxa"/>
              </w:tcPr>
              <w:p>
                <w:pPr>
                  <w:overflowPunct w:val="0"/>
                  <w:jc w:val="both"/>
                  <w:textAlignment w:val="baseline"/>
                  <w:rPr>
                    <w:szCs w:val="24"/>
                  </w:rPr>
                </w:pPr>
                <w:r>
                  <w:rPr>
                    <w:szCs w:val="24"/>
                  </w:rPr>
                  <w:t xml:space="preserve">Kitų gautinų sumų ir sumokėtų išankstinių apmokėjimų  (padidėjimas) (-)  sumažėjimas (+)</w:t>
                </w:r>
              </w:p>
            </w:tc>
            <w:tc>
              <w:tcPr>
                <w:tcW w:w="1275" w:type="dxa"/>
                <w:vAlign w:val="bottom"/>
              </w:tcPr>
              <w:p>
                <w:pPr>
                  <w:overflowPunct w:val="0"/>
                  <w:ind w:right="284"/>
                  <w:jc w:val="right"/>
                  <w:textAlignment w:val="baseline"/>
                  <w:rPr>
                    <w:szCs w:val="24"/>
                  </w:rPr>
                </w:pPr>
              </w:p>
            </w:tc>
            <w:tc>
              <w:tcPr>
                <w:tcW w:w="1276" w:type="dxa"/>
                <w:vAlign w:val="bottom"/>
              </w:tcPr>
              <w:p>
                <w:pPr>
                  <w:overflowPunct w:val="0"/>
                  <w:ind w:right="284"/>
                  <w:jc w:val="right"/>
                  <w:textAlignment w:val="baseline"/>
                  <w:rPr>
                    <w:szCs w:val="24"/>
                  </w:rPr>
                </w:pPr>
              </w:p>
            </w:tc>
          </w:tr>
          <w:tr>
            <w:trPr>
              <w:trHeight w:val="284"/>
            </w:trPr>
            <w:tc>
              <w:tcPr>
                <w:tcW w:w="709" w:type="dxa"/>
              </w:tcPr>
              <w:p>
                <w:pPr>
                  <w:overflowPunct w:val="0"/>
                  <w:jc w:val="center"/>
                  <w:textAlignment w:val="baseline"/>
                  <w:rPr>
                    <w:szCs w:val="24"/>
                  </w:rPr>
                </w:pPr>
                <w:r>
                  <w:rPr>
                    <w:szCs w:val="24"/>
                  </w:rPr>
                  <w:t>I.9.</w:t>
                </w:r>
              </w:p>
            </w:tc>
            <w:tc>
              <w:tcPr>
                <w:tcW w:w="6663" w:type="dxa"/>
              </w:tcPr>
              <w:p>
                <w:pPr>
                  <w:overflowPunct w:val="0"/>
                  <w:jc w:val="both"/>
                  <w:textAlignment w:val="baseline"/>
                  <w:rPr>
                    <w:szCs w:val="24"/>
                  </w:rPr>
                </w:pPr>
                <w:r>
                  <w:rPr>
                    <w:szCs w:val="24"/>
                  </w:rPr>
                  <w:t>Kito trumpalaikio turto (padidėjimas) sumažėjimas</w:t>
                </w:r>
              </w:p>
            </w:tc>
            <w:tc>
              <w:tcPr>
                <w:tcW w:w="1275" w:type="dxa"/>
                <w:vAlign w:val="bottom"/>
              </w:tcPr>
              <w:p>
                <w:pPr>
                  <w:overflowPunct w:val="0"/>
                  <w:ind w:right="284"/>
                  <w:jc w:val="right"/>
                  <w:textAlignment w:val="baseline"/>
                  <w:rPr>
                    <w:szCs w:val="24"/>
                  </w:rPr>
                </w:pPr>
              </w:p>
            </w:tc>
            <w:tc>
              <w:tcPr>
                <w:tcW w:w="1276" w:type="dxa"/>
                <w:vAlign w:val="bottom"/>
              </w:tcPr>
              <w:p>
                <w:pPr>
                  <w:overflowPunct w:val="0"/>
                  <w:ind w:right="284"/>
                  <w:jc w:val="right"/>
                  <w:textAlignment w:val="baseline"/>
                  <w:rPr>
                    <w:szCs w:val="24"/>
                  </w:rPr>
                </w:pPr>
              </w:p>
            </w:tc>
          </w:tr>
          <w:tr>
            <w:trPr>
              <w:trHeight w:val="284"/>
            </w:trPr>
            <w:tc>
              <w:tcPr>
                <w:tcW w:w="709" w:type="dxa"/>
              </w:tcPr>
              <w:p>
                <w:pPr>
                  <w:overflowPunct w:val="0"/>
                  <w:jc w:val="center"/>
                  <w:textAlignment w:val="baseline"/>
                  <w:rPr>
                    <w:szCs w:val="24"/>
                    <w:u w:val="single"/>
                  </w:rPr>
                </w:pPr>
                <w:r>
                  <w:rPr>
                    <w:szCs w:val="24"/>
                  </w:rPr>
                  <w:t>I.10.</w:t>
                </w:r>
              </w:p>
            </w:tc>
            <w:tc>
              <w:tcPr>
                <w:tcW w:w="6663" w:type="dxa"/>
              </w:tcPr>
              <w:p>
                <w:pPr>
                  <w:overflowPunct w:val="0"/>
                  <w:jc w:val="both"/>
                  <w:textAlignment w:val="baseline"/>
                  <w:rPr>
                    <w:szCs w:val="24"/>
                  </w:rPr>
                </w:pPr>
                <w:r>
                  <w:rPr>
                    <w:szCs w:val="24"/>
                  </w:rPr>
                  <w:t>Skolų tiekėjams ir gautų išankstinių apmokėjimų padidėjimas (+) (sumažėjimas) (-)</w:t>
                </w:r>
              </w:p>
            </w:tc>
            <w:tc>
              <w:tcPr>
                <w:tcW w:w="1275" w:type="dxa"/>
                <w:vAlign w:val="bottom"/>
              </w:tcPr>
              <w:p>
                <w:pPr>
                  <w:overflowPunct w:val="0"/>
                  <w:ind w:right="284"/>
                  <w:jc w:val="right"/>
                  <w:textAlignment w:val="baseline"/>
                  <w:rPr>
                    <w:szCs w:val="24"/>
                  </w:rPr>
                </w:pPr>
              </w:p>
            </w:tc>
            <w:tc>
              <w:tcPr>
                <w:tcW w:w="1276" w:type="dxa"/>
                <w:vAlign w:val="bottom"/>
              </w:tcPr>
              <w:p>
                <w:pPr>
                  <w:overflowPunct w:val="0"/>
                  <w:ind w:right="284"/>
                  <w:jc w:val="right"/>
                  <w:textAlignment w:val="baseline"/>
                  <w:rPr>
                    <w:szCs w:val="24"/>
                  </w:rPr>
                </w:pPr>
              </w:p>
            </w:tc>
          </w:tr>
          <w:tr>
            <w:trPr>
              <w:trHeight w:val="284"/>
            </w:trPr>
            <w:tc>
              <w:tcPr>
                <w:tcW w:w="709" w:type="dxa"/>
              </w:tcPr>
              <w:p>
                <w:pPr>
                  <w:overflowPunct w:val="0"/>
                  <w:jc w:val="center"/>
                  <w:textAlignment w:val="baseline"/>
                  <w:rPr>
                    <w:szCs w:val="24"/>
                  </w:rPr>
                </w:pPr>
                <w:r>
                  <w:rPr>
                    <w:szCs w:val="24"/>
                  </w:rPr>
                  <w:t>I.11.</w:t>
                </w:r>
              </w:p>
            </w:tc>
            <w:tc>
              <w:tcPr>
                <w:tcW w:w="6663" w:type="dxa"/>
              </w:tcPr>
              <w:p>
                <w:pPr>
                  <w:overflowPunct w:val="0"/>
                  <w:jc w:val="both"/>
                  <w:textAlignment w:val="baseline"/>
                  <w:rPr>
                    <w:szCs w:val="24"/>
                  </w:rPr>
                </w:pPr>
                <w:r>
                  <w:rPr>
                    <w:szCs w:val="24"/>
                  </w:rPr>
                  <w:t>Kitų mokėtinų sumų ir įsipareigojimų padidėjimas (+) (sumažėjimas) (-)</w:t>
                </w:r>
              </w:p>
            </w:tc>
            <w:tc>
              <w:tcPr>
                <w:tcW w:w="1275" w:type="dxa"/>
                <w:vAlign w:val="bottom"/>
              </w:tcPr>
              <w:p>
                <w:pPr>
                  <w:overflowPunct w:val="0"/>
                  <w:ind w:right="284"/>
                  <w:jc w:val="right"/>
                  <w:textAlignment w:val="baseline"/>
                  <w:rPr>
                    <w:szCs w:val="24"/>
                  </w:rPr>
                </w:pPr>
              </w:p>
            </w:tc>
            <w:tc>
              <w:tcPr>
                <w:tcW w:w="1276" w:type="dxa"/>
                <w:vAlign w:val="bottom"/>
              </w:tcPr>
              <w:p>
                <w:pPr>
                  <w:overflowPunct w:val="0"/>
                  <w:ind w:right="284"/>
                  <w:jc w:val="right"/>
                  <w:textAlignment w:val="baseline"/>
                  <w:rPr>
                    <w:szCs w:val="24"/>
                  </w:rPr>
                </w:pPr>
              </w:p>
            </w:tc>
          </w:tr>
          <w:tr>
            <w:trPr>
              <w:trHeight w:val="284"/>
            </w:trPr>
            <w:tc>
              <w:tcPr>
                <w:tcW w:w="709" w:type="dxa"/>
              </w:tcPr>
              <w:p>
                <w:pPr>
                  <w:overflowPunct w:val="0"/>
                  <w:jc w:val="center"/>
                  <w:textAlignment w:val="baseline"/>
                  <w:rPr>
                    <w:szCs w:val="24"/>
                  </w:rPr>
                </w:pPr>
                <w:r>
                  <w:rPr>
                    <w:szCs w:val="24"/>
                  </w:rPr>
                  <w:t>I.12.</w:t>
                </w:r>
              </w:p>
            </w:tc>
            <w:tc>
              <w:tcPr>
                <w:tcW w:w="6663" w:type="dxa"/>
              </w:tcPr>
              <w:p>
                <w:pPr>
                  <w:overflowPunct w:val="0"/>
                  <w:jc w:val="both"/>
                  <w:textAlignment w:val="baseline"/>
                  <w:rPr>
                    <w:b/>
                    <w:szCs w:val="24"/>
                  </w:rPr>
                </w:pPr>
                <w:r>
                  <w:rPr>
                    <w:szCs w:val="24"/>
                  </w:rPr>
                  <w:t xml:space="preserve">Finansinės ir investicinės veiklos rezultatų eliminavimas </w:t>
                </w:r>
              </w:p>
            </w:tc>
            <w:tc>
              <w:tcPr>
                <w:tcW w:w="1275" w:type="dxa"/>
                <w:vAlign w:val="bottom"/>
              </w:tcPr>
              <w:p>
                <w:pPr>
                  <w:overflowPunct w:val="0"/>
                  <w:ind w:right="284"/>
                  <w:jc w:val="right"/>
                  <w:textAlignment w:val="baseline"/>
                  <w:rPr>
                    <w:szCs w:val="24"/>
                  </w:rPr>
                </w:pPr>
              </w:p>
            </w:tc>
            <w:tc>
              <w:tcPr>
                <w:tcW w:w="1276" w:type="dxa"/>
                <w:vAlign w:val="bottom"/>
              </w:tcPr>
              <w:p>
                <w:pPr>
                  <w:overflowPunct w:val="0"/>
                  <w:ind w:right="284"/>
                  <w:jc w:val="right"/>
                  <w:textAlignment w:val="baseline"/>
                  <w:rPr>
                    <w:szCs w:val="24"/>
                  </w:rPr>
                </w:pPr>
              </w:p>
            </w:tc>
          </w:tr>
          <w:tr>
            <w:trPr>
              <w:trHeight w:val="284"/>
            </w:trPr>
            <w:tc>
              <w:tcPr>
                <w:tcW w:w="709" w:type="dxa"/>
                <w:vAlign w:val="center"/>
              </w:tcPr>
              <w:p>
                <w:pPr>
                  <w:overflowPunct w:val="0"/>
                  <w:jc w:val="center"/>
                  <w:textAlignment w:val="baseline"/>
                  <w:rPr>
                    <w:szCs w:val="24"/>
                  </w:rPr>
                </w:pPr>
                <w:r>
                  <w:rPr>
                    <w:szCs w:val="24"/>
                  </w:rPr>
                  <w:t>I.13.</w:t>
                </w:r>
              </w:p>
            </w:tc>
            <w:tc>
              <w:tcPr>
                <w:tcW w:w="6663" w:type="dxa"/>
                <w:vAlign w:val="center"/>
              </w:tcPr>
              <w:p>
                <w:pPr>
                  <w:overflowPunct w:val="0"/>
                  <w:jc w:val="both"/>
                  <w:textAlignment w:val="baseline"/>
                  <w:rPr>
                    <w:szCs w:val="24"/>
                  </w:rPr>
                </w:pPr>
                <w:r>
                  <w:rPr>
                    <w:szCs w:val="24"/>
                  </w:rPr>
                  <w:t>Ilgalaikio materialiojo turto perleidimo rezultato eliminavimas</w:t>
                </w:r>
              </w:p>
            </w:tc>
            <w:tc>
              <w:tcPr>
                <w:tcW w:w="1275" w:type="dxa"/>
                <w:vAlign w:val="bottom"/>
              </w:tcPr>
              <w:p>
                <w:pPr>
                  <w:overflowPunct w:val="0"/>
                  <w:ind w:right="284"/>
                  <w:jc w:val="right"/>
                  <w:textAlignment w:val="baseline"/>
                  <w:rPr>
                    <w:szCs w:val="24"/>
                  </w:rPr>
                </w:pPr>
              </w:p>
            </w:tc>
            <w:tc>
              <w:tcPr>
                <w:tcW w:w="1276" w:type="dxa"/>
                <w:vAlign w:val="bottom"/>
              </w:tcPr>
              <w:p>
                <w:pPr>
                  <w:overflowPunct w:val="0"/>
                  <w:ind w:right="284"/>
                  <w:jc w:val="right"/>
                  <w:textAlignment w:val="baseline"/>
                  <w:rPr>
                    <w:szCs w:val="24"/>
                  </w:rPr>
                </w:pPr>
              </w:p>
            </w:tc>
          </w:tr>
          <w:tr>
            <w:trPr>
              <w:trHeight w:val="284"/>
            </w:trPr>
            <w:tc>
              <w:tcPr>
                <w:tcW w:w="709" w:type="dxa"/>
              </w:tcPr>
              <w:p>
                <w:pPr>
                  <w:overflowPunct w:val="0"/>
                  <w:jc w:val="center"/>
                  <w:textAlignment w:val="baseline"/>
                  <w:rPr>
                    <w:szCs w:val="24"/>
                  </w:rPr>
                </w:pPr>
                <w:r>
                  <w:rPr>
                    <w:szCs w:val="24"/>
                  </w:rPr>
                  <w:t>I.14.</w:t>
                </w:r>
              </w:p>
            </w:tc>
            <w:tc>
              <w:tcPr>
                <w:tcW w:w="6663" w:type="dxa"/>
              </w:tcPr>
              <w:p>
                <w:pPr>
                  <w:overflowPunct w:val="0"/>
                  <w:jc w:val="both"/>
                  <w:textAlignment w:val="baseline"/>
                  <w:rPr>
                    <w:szCs w:val="24"/>
                  </w:rPr>
                </w:pPr>
                <w:r>
                  <w:rPr>
                    <w:szCs w:val="24"/>
                  </w:rPr>
                  <w:t>Ūkininko asmeninėms reikmėms sunaudota produkcija, gyvuliai, paukščiai ir žvėreliai (-)</w:t>
                </w:r>
              </w:p>
            </w:tc>
            <w:tc>
              <w:tcPr>
                <w:tcW w:w="1275" w:type="dxa"/>
                <w:vAlign w:val="bottom"/>
              </w:tcPr>
              <w:p>
                <w:pPr>
                  <w:overflowPunct w:val="0"/>
                  <w:ind w:right="284"/>
                  <w:jc w:val="right"/>
                  <w:textAlignment w:val="baseline"/>
                  <w:rPr>
                    <w:szCs w:val="24"/>
                  </w:rPr>
                </w:pPr>
              </w:p>
            </w:tc>
            <w:tc>
              <w:tcPr>
                <w:tcW w:w="1276" w:type="dxa"/>
                <w:vAlign w:val="bottom"/>
              </w:tcPr>
              <w:p>
                <w:pPr>
                  <w:overflowPunct w:val="0"/>
                  <w:ind w:right="284"/>
                  <w:jc w:val="right"/>
                  <w:textAlignment w:val="baseline"/>
                  <w:rPr>
                    <w:szCs w:val="24"/>
                  </w:rPr>
                </w:pPr>
              </w:p>
            </w:tc>
          </w:tr>
          <w:tr>
            <w:trPr>
              <w:trHeight w:val="284"/>
            </w:trPr>
            <w:tc>
              <w:tcPr>
                <w:tcW w:w="709" w:type="dxa"/>
              </w:tcPr>
              <w:p>
                <w:pPr>
                  <w:overflowPunct w:val="0"/>
                  <w:jc w:val="center"/>
                  <w:textAlignment w:val="baseline"/>
                  <w:rPr>
                    <w:b/>
                    <w:szCs w:val="24"/>
                  </w:rPr>
                </w:pPr>
              </w:p>
            </w:tc>
            <w:tc>
              <w:tcPr>
                <w:tcW w:w="6663" w:type="dxa"/>
              </w:tcPr>
              <w:p>
                <w:pPr>
                  <w:overflowPunct w:val="0"/>
                  <w:jc w:val="both"/>
                  <w:textAlignment w:val="baseline"/>
                  <w:rPr>
                    <w:b/>
                    <w:szCs w:val="24"/>
                    <w:u w:val="single"/>
                  </w:rPr>
                </w:pPr>
                <w:r>
                  <w:rPr>
                    <w:b/>
                    <w:szCs w:val="24"/>
                    <w:u w:val="single"/>
                  </w:rPr>
                  <w:t>Grynieji pagrindinės veiklos pinigų srautai</w:t>
                </w:r>
              </w:p>
            </w:tc>
            <w:tc>
              <w:tcPr>
                <w:tcW w:w="1275" w:type="dxa"/>
                <w:vAlign w:val="bottom"/>
              </w:tcPr>
              <w:p>
                <w:pPr>
                  <w:overflowPunct w:val="0"/>
                  <w:ind w:right="284"/>
                  <w:jc w:val="right"/>
                  <w:textAlignment w:val="baseline"/>
                  <w:rPr>
                    <w:b/>
                    <w:szCs w:val="24"/>
                  </w:rPr>
                </w:pPr>
              </w:p>
            </w:tc>
            <w:tc>
              <w:tcPr>
                <w:tcW w:w="1276" w:type="dxa"/>
                <w:vAlign w:val="bottom"/>
              </w:tcPr>
              <w:p>
                <w:pPr>
                  <w:overflowPunct w:val="0"/>
                  <w:ind w:right="284"/>
                  <w:jc w:val="right"/>
                  <w:textAlignment w:val="baseline"/>
                  <w:rPr>
                    <w:b/>
                    <w:szCs w:val="24"/>
                  </w:rPr>
                </w:pPr>
              </w:p>
            </w:tc>
          </w:tr>
          <w:tr>
            <w:trPr>
              <w:trHeight w:val="284"/>
            </w:trPr>
            <w:tc>
              <w:tcPr>
                <w:tcW w:w="709" w:type="dxa"/>
              </w:tcPr>
              <w:p>
                <w:pPr>
                  <w:overflowPunct w:val="0"/>
                  <w:jc w:val="center"/>
                  <w:textAlignment w:val="baseline"/>
                  <w:rPr>
                    <w:b/>
                    <w:szCs w:val="24"/>
                  </w:rPr>
                </w:pPr>
                <w:r>
                  <w:rPr>
                    <w:b/>
                    <w:szCs w:val="24"/>
                  </w:rPr>
                  <w:t>II.</w:t>
                </w:r>
              </w:p>
            </w:tc>
            <w:tc>
              <w:tcPr>
                <w:tcW w:w="6663" w:type="dxa"/>
              </w:tcPr>
              <w:p>
                <w:pPr>
                  <w:overflowPunct w:val="0"/>
                  <w:jc w:val="both"/>
                  <w:textAlignment w:val="baseline"/>
                  <w:rPr>
                    <w:b/>
                    <w:szCs w:val="24"/>
                  </w:rPr>
                </w:pPr>
                <w:r>
                  <w:rPr>
                    <w:b/>
                    <w:szCs w:val="24"/>
                  </w:rPr>
                  <w:t>Investicinės veiklos pinigų srautai</w:t>
                </w:r>
              </w:p>
            </w:tc>
            <w:tc>
              <w:tcPr>
                <w:tcW w:w="1275" w:type="dxa"/>
                <w:vAlign w:val="bottom"/>
              </w:tcPr>
              <w:p>
                <w:pPr>
                  <w:overflowPunct w:val="0"/>
                  <w:ind w:right="284"/>
                  <w:jc w:val="right"/>
                  <w:textAlignment w:val="baseline"/>
                  <w:rPr>
                    <w:szCs w:val="24"/>
                  </w:rPr>
                </w:pPr>
              </w:p>
            </w:tc>
            <w:tc>
              <w:tcPr>
                <w:tcW w:w="1276" w:type="dxa"/>
                <w:vAlign w:val="bottom"/>
              </w:tcPr>
              <w:p>
                <w:pPr>
                  <w:overflowPunct w:val="0"/>
                  <w:ind w:right="284"/>
                  <w:jc w:val="right"/>
                  <w:textAlignment w:val="baseline"/>
                  <w:rPr>
                    <w:szCs w:val="24"/>
                  </w:rPr>
                </w:pPr>
              </w:p>
            </w:tc>
          </w:tr>
          <w:tr>
            <w:trPr>
              <w:trHeight w:val="284"/>
            </w:trPr>
            <w:tc>
              <w:tcPr>
                <w:tcW w:w="709" w:type="dxa"/>
              </w:tcPr>
              <w:p>
                <w:pPr>
                  <w:overflowPunct w:val="0"/>
                  <w:jc w:val="center"/>
                  <w:textAlignment w:val="baseline"/>
                  <w:rPr>
                    <w:b/>
                    <w:szCs w:val="24"/>
                  </w:rPr>
                </w:pPr>
                <w:r>
                  <w:rPr>
                    <w:szCs w:val="24"/>
                  </w:rPr>
                  <w:t>II.1.</w:t>
                </w:r>
              </w:p>
            </w:tc>
            <w:tc>
              <w:tcPr>
                <w:tcW w:w="6663" w:type="dxa"/>
              </w:tcPr>
              <w:p>
                <w:pPr>
                  <w:overflowPunct w:val="0"/>
                  <w:jc w:val="both"/>
                  <w:textAlignment w:val="baseline"/>
                  <w:rPr>
                    <w:b/>
                    <w:szCs w:val="24"/>
                  </w:rPr>
                </w:pPr>
                <w:r>
                  <w:rPr>
                    <w:szCs w:val="24"/>
                  </w:rPr>
                  <w:t>Ilgalaikio turto (išskyrus investicijas) įsigijimas (-)</w:t>
                </w:r>
              </w:p>
            </w:tc>
            <w:tc>
              <w:tcPr>
                <w:tcW w:w="1275" w:type="dxa"/>
                <w:vAlign w:val="bottom"/>
              </w:tcPr>
              <w:p>
                <w:pPr>
                  <w:overflowPunct w:val="0"/>
                  <w:ind w:right="284"/>
                  <w:jc w:val="right"/>
                  <w:textAlignment w:val="baseline"/>
                  <w:rPr>
                    <w:szCs w:val="24"/>
                  </w:rPr>
                </w:pPr>
              </w:p>
            </w:tc>
            <w:tc>
              <w:tcPr>
                <w:tcW w:w="1276" w:type="dxa"/>
                <w:vAlign w:val="bottom"/>
              </w:tcPr>
              <w:p>
                <w:pPr>
                  <w:overflowPunct w:val="0"/>
                  <w:ind w:right="284"/>
                  <w:jc w:val="right"/>
                  <w:textAlignment w:val="baseline"/>
                  <w:rPr>
                    <w:szCs w:val="24"/>
                  </w:rPr>
                </w:pPr>
              </w:p>
            </w:tc>
          </w:tr>
          <w:tr>
            <w:trPr>
              <w:trHeight w:val="284"/>
            </w:trPr>
            <w:tc>
              <w:tcPr>
                <w:tcW w:w="709" w:type="dxa"/>
              </w:tcPr>
              <w:p>
                <w:pPr>
                  <w:overflowPunct w:val="0"/>
                  <w:jc w:val="center"/>
                  <w:textAlignment w:val="baseline"/>
                  <w:rPr>
                    <w:b/>
                    <w:szCs w:val="24"/>
                  </w:rPr>
                </w:pPr>
                <w:r>
                  <w:rPr>
                    <w:szCs w:val="24"/>
                  </w:rPr>
                  <w:t>II.2.</w:t>
                </w:r>
              </w:p>
            </w:tc>
            <w:tc>
              <w:tcPr>
                <w:tcW w:w="6663" w:type="dxa"/>
              </w:tcPr>
              <w:p>
                <w:pPr>
                  <w:overflowPunct w:val="0"/>
                  <w:jc w:val="both"/>
                  <w:textAlignment w:val="baseline"/>
                  <w:rPr>
                    <w:b/>
                    <w:szCs w:val="24"/>
                  </w:rPr>
                </w:pPr>
                <w:r>
                  <w:rPr>
                    <w:szCs w:val="24"/>
                  </w:rPr>
                  <w:t>Ilgalaikio turto (išskyrus investicijas) perleidimas (+)</w:t>
                </w:r>
              </w:p>
            </w:tc>
            <w:tc>
              <w:tcPr>
                <w:tcW w:w="1275" w:type="dxa"/>
                <w:vAlign w:val="bottom"/>
              </w:tcPr>
              <w:p>
                <w:pPr>
                  <w:overflowPunct w:val="0"/>
                  <w:ind w:right="284"/>
                  <w:jc w:val="right"/>
                  <w:textAlignment w:val="baseline"/>
                  <w:rPr>
                    <w:szCs w:val="24"/>
                  </w:rPr>
                </w:pPr>
              </w:p>
            </w:tc>
            <w:tc>
              <w:tcPr>
                <w:tcW w:w="1276" w:type="dxa"/>
                <w:vAlign w:val="bottom"/>
              </w:tcPr>
              <w:p>
                <w:pPr>
                  <w:overflowPunct w:val="0"/>
                  <w:ind w:right="284"/>
                  <w:jc w:val="right"/>
                  <w:textAlignment w:val="baseline"/>
                  <w:rPr>
                    <w:szCs w:val="24"/>
                  </w:rPr>
                </w:pPr>
              </w:p>
            </w:tc>
          </w:tr>
          <w:tr>
            <w:trPr>
              <w:trHeight w:val="284"/>
            </w:trPr>
            <w:tc>
              <w:tcPr>
                <w:tcW w:w="709" w:type="dxa"/>
              </w:tcPr>
              <w:p>
                <w:pPr>
                  <w:overflowPunct w:val="0"/>
                  <w:jc w:val="center"/>
                  <w:textAlignment w:val="baseline"/>
                  <w:rPr>
                    <w:b/>
                    <w:szCs w:val="24"/>
                  </w:rPr>
                </w:pPr>
                <w:r>
                  <w:rPr>
                    <w:szCs w:val="24"/>
                  </w:rPr>
                  <w:t>II.3.</w:t>
                </w:r>
              </w:p>
            </w:tc>
            <w:tc>
              <w:tcPr>
                <w:tcW w:w="6663" w:type="dxa"/>
              </w:tcPr>
              <w:p>
                <w:pPr>
                  <w:overflowPunct w:val="0"/>
                  <w:jc w:val="both"/>
                  <w:textAlignment w:val="baseline"/>
                  <w:rPr>
                    <w:b/>
                    <w:szCs w:val="24"/>
                  </w:rPr>
                </w:pPr>
                <w:r>
                  <w:rPr>
                    <w:szCs w:val="24"/>
                  </w:rPr>
                  <w:t>Ilgalaikių investicijų įsigijimas (-)</w:t>
                </w:r>
              </w:p>
            </w:tc>
            <w:tc>
              <w:tcPr>
                <w:tcW w:w="1275" w:type="dxa"/>
                <w:vAlign w:val="bottom"/>
              </w:tcPr>
              <w:p>
                <w:pPr>
                  <w:overflowPunct w:val="0"/>
                  <w:ind w:right="284"/>
                  <w:jc w:val="right"/>
                  <w:textAlignment w:val="baseline"/>
                  <w:rPr>
                    <w:szCs w:val="24"/>
                  </w:rPr>
                </w:pPr>
              </w:p>
            </w:tc>
            <w:tc>
              <w:tcPr>
                <w:tcW w:w="1276" w:type="dxa"/>
                <w:vAlign w:val="bottom"/>
              </w:tcPr>
              <w:p>
                <w:pPr>
                  <w:overflowPunct w:val="0"/>
                  <w:ind w:right="284"/>
                  <w:jc w:val="right"/>
                  <w:textAlignment w:val="baseline"/>
                  <w:rPr>
                    <w:szCs w:val="24"/>
                  </w:rPr>
                </w:pPr>
              </w:p>
            </w:tc>
          </w:tr>
          <w:tr>
            <w:trPr>
              <w:trHeight w:val="284"/>
            </w:trPr>
            <w:tc>
              <w:tcPr>
                <w:tcW w:w="709" w:type="dxa"/>
              </w:tcPr>
              <w:p>
                <w:pPr>
                  <w:overflowPunct w:val="0"/>
                  <w:jc w:val="center"/>
                  <w:textAlignment w:val="baseline"/>
                  <w:rPr>
                    <w:b/>
                    <w:szCs w:val="24"/>
                  </w:rPr>
                </w:pPr>
                <w:r>
                  <w:rPr>
                    <w:szCs w:val="24"/>
                  </w:rPr>
                  <w:t>II.4.</w:t>
                </w:r>
              </w:p>
            </w:tc>
            <w:tc>
              <w:tcPr>
                <w:tcW w:w="6663" w:type="dxa"/>
              </w:tcPr>
              <w:p>
                <w:pPr>
                  <w:overflowPunct w:val="0"/>
                  <w:jc w:val="both"/>
                  <w:textAlignment w:val="baseline"/>
                  <w:rPr>
                    <w:b/>
                    <w:szCs w:val="24"/>
                  </w:rPr>
                </w:pPr>
                <w:r>
                  <w:rPr>
                    <w:szCs w:val="24"/>
                  </w:rPr>
                  <w:t>Ilgalaikių investicijų perleidimas (+)</w:t>
                </w:r>
              </w:p>
            </w:tc>
            <w:tc>
              <w:tcPr>
                <w:tcW w:w="1275" w:type="dxa"/>
                <w:vAlign w:val="bottom"/>
              </w:tcPr>
              <w:p>
                <w:pPr>
                  <w:overflowPunct w:val="0"/>
                  <w:ind w:right="284"/>
                  <w:jc w:val="right"/>
                  <w:textAlignment w:val="baseline"/>
                  <w:rPr>
                    <w:szCs w:val="24"/>
                  </w:rPr>
                </w:pPr>
              </w:p>
            </w:tc>
            <w:tc>
              <w:tcPr>
                <w:tcW w:w="1276" w:type="dxa"/>
                <w:vAlign w:val="bottom"/>
              </w:tcPr>
              <w:p>
                <w:pPr>
                  <w:overflowPunct w:val="0"/>
                  <w:ind w:right="284"/>
                  <w:jc w:val="right"/>
                  <w:textAlignment w:val="baseline"/>
                  <w:rPr>
                    <w:szCs w:val="24"/>
                  </w:rPr>
                </w:pPr>
              </w:p>
            </w:tc>
          </w:tr>
          <w:tr>
            <w:trPr>
              <w:trHeight w:val="284"/>
            </w:trPr>
            <w:tc>
              <w:tcPr>
                <w:tcW w:w="709" w:type="dxa"/>
              </w:tcPr>
              <w:p>
                <w:pPr>
                  <w:overflowPunct w:val="0"/>
                  <w:jc w:val="center"/>
                  <w:textAlignment w:val="baseline"/>
                  <w:rPr>
                    <w:b/>
                    <w:szCs w:val="24"/>
                  </w:rPr>
                </w:pPr>
                <w:r>
                  <w:rPr>
                    <w:szCs w:val="24"/>
                  </w:rPr>
                  <w:t>II.5.</w:t>
                </w:r>
              </w:p>
            </w:tc>
            <w:tc>
              <w:tcPr>
                <w:tcW w:w="6663" w:type="dxa"/>
              </w:tcPr>
              <w:p>
                <w:pPr>
                  <w:overflowPunct w:val="0"/>
                  <w:jc w:val="both"/>
                  <w:textAlignment w:val="baseline"/>
                  <w:rPr>
                    <w:b/>
                    <w:szCs w:val="24"/>
                  </w:rPr>
                </w:pPr>
                <w:r>
                  <w:rPr>
                    <w:szCs w:val="24"/>
                  </w:rPr>
                  <w:t>Gauti dividendai, palūkanos (+)</w:t>
                </w:r>
              </w:p>
            </w:tc>
            <w:tc>
              <w:tcPr>
                <w:tcW w:w="1275" w:type="dxa"/>
                <w:vAlign w:val="bottom"/>
              </w:tcPr>
              <w:p>
                <w:pPr>
                  <w:overflowPunct w:val="0"/>
                  <w:ind w:right="284"/>
                  <w:jc w:val="right"/>
                  <w:textAlignment w:val="baseline"/>
                  <w:rPr>
                    <w:szCs w:val="24"/>
                  </w:rPr>
                </w:pPr>
              </w:p>
            </w:tc>
            <w:tc>
              <w:tcPr>
                <w:tcW w:w="1276" w:type="dxa"/>
                <w:vAlign w:val="bottom"/>
              </w:tcPr>
              <w:p>
                <w:pPr>
                  <w:overflowPunct w:val="0"/>
                  <w:ind w:right="284"/>
                  <w:jc w:val="right"/>
                  <w:textAlignment w:val="baseline"/>
                  <w:rPr>
                    <w:szCs w:val="24"/>
                  </w:rPr>
                </w:pPr>
              </w:p>
            </w:tc>
          </w:tr>
          <w:tr>
            <w:trPr>
              <w:trHeight w:val="284"/>
            </w:trPr>
            <w:tc>
              <w:tcPr>
                <w:tcW w:w="709" w:type="dxa"/>
              </w:tcPr>
              <w:p>
                <w:pPr>
                  <w:overflowPunct w:val="0"/>
                  <w:jc w:val="center"/>
                  <w:textAlignment w:val="baseline"/>
                  <w:rPr>
                    <w:b/>
                    <w:szCs w:val="24"/>
                  </w:rPr>
                </w:pPr>
                <w:r>
                  <w:rPr>
                    <w:szCs w:val="24"/>
                  </w:rPr>
                  <w:t>II.6.</w:t>
                </w:r>
              </w:p>
            </w:tc>
            <w:tc>
              <w:tcPr>
                <w:tcW w:w="6663" w:type="dxa"/>
              </w:tcPr>
              <w:p>
                <w:pPr>
                  <w:overflowPunct w:val="0"/>
                  <w:jc w:val="both"/>
                  <w:textAlignment w:val="baseline"/>
                  <w:rPr>
                    <w:b/>
                    <w:szCs w:val="24"/>
                  </w:rPr>
                </w:pPr>
                <w:r>
                  <w:rPr>
                    <w:szCs w:val="24"/>
                  </w:rPr>
                  <w:t>Kiti investicinės veiklos pinigų srautų padidėjimai (+)</w:t>
                </w:r>
              </w:p>
            </w:tc>
            <w:tc>
              <w:tcPr>
                <w:tcW w:w="1275" w:type="dxa"/>
                <w:vAlign w:val="bottom"/>
              </w:tcPr>
              <w:p>
                <w:pPr>
                  <w:overflowPunct w:val="0"/>
                  <w:ind w:right="284"/>
                  <w:jc w:val="right"/>
                  <w:textAlignment w:val="baseline"/>
                  <w:rPr>
                    <w:szCs w:val="24"/>
                  </w:rPr>
                </w:pPr>
              </w:p>
            </w:tc>
            <w:tc>
              <w:tcPr>
                <w:tcW w:w="1276" w:type="dxa"/>
                <w:vAlign w:val="bottom"/>
              </w:tcPr>
              <w:p>
                <w:pPr>
                  <w:overflowPunct w:val="0"/>
                  <w:ind w:right="284"/>
                  <w:jc w:val="right"/>
                  <w:textAlignment w:val="baseline"/>
                  <w:rPr>
                    <w:szCs w:val="24"/>
                  </w:rPr>
                </w:pPr>
              </w:p>
            </w:tc>
          </w:tr>
          <w:tr>
            <w:trPr>
              <w:trHeight w:val="284"/>
            </w:trPr>
            <w:tc>
              <w:tcPr>
                <w:tcW w:w="709" w:type="dxa"/>
              </w:tcPr>
              <w:p>
                <w:pPr>
                  <w:overflowPunct w:val="0"/>
                  <w:jc w:val="center"/>
                  <w:textAlignment w:val="baseline"/>
                  <w:rPr>
                    <w:b/>
                    <w:szCs w:val="24"/>
                  </w:rPr>
                </w:pPr>
                <w:r>
                  <w:rPr>
                    <w:szCs w:val="24"/>
                  </w:rPr>
                  <w:t>II.7.</w:t>
                </w:r>
              </w:p>
            </w:tc>
            <w:tc>
              <w:tcPr>
                <w:tcW w:w="6663" w:type="dxa"/>
              </w:tcPr>
              <w:p>
                <w:pPr>
                  <w:overflowPunct w:val="0"/>
                  <w:jc w:val="both"/>
                  <w:textAlignment w:val="baseline"/>
                  <w:rPr>
                    <w:b/>
                    <w:szCs w:val="24"/>
                  </w:rPr>
                </w:pPr>
                <w:r>
                  <w:rPr>
                    <w:szCs w:val="24"/>
                  </w:rPr>
                  <w:t>Kiti investicinės veiklos pinigų srautų sumažėjimai (-)</w:t>
                </w:r>
              </w:p>
            </w:tc>
            <w:tc>
              <w:tcPr>
                <w:tcW w:w="1275" w:type="dxa"/>
                <w:vAlign w:val="bottom"/>
              </w:tcPr>
              <w:p>
                <w:pPr>
                  <w:overflowPunct w:val="0"/>
                  <w:ind w:right="284"/>
                  <w:jc w:val="right"/>
                  <w:textAlignment w:val="baseline"/>
                  <w:rPr>
                    <w:szCs w:val="24"/>
                  </w:rPr>
                </w:pPr>
              </w:p>
            </w:tc>
            <w:tc>
              <w:tcPr>
                <w:tcW w:w="1276" w:type="dxa"/>
                <w:vAlign w:val="bottom"/>
              </w:tcPr>
              <w:p>
                <w:pPr>
                  <w:overflowPunct w:val="0"/>
                  <w:ind w:right="284"/>
                  <w:jc w:val="right"/>
                  <w:textAlignment w:val="baseline"/>
                  <w:rPr>
                    <w:szCs w:val="24"/>
                  </w:rPr>
                </w:pPr>
              </w:p>
            </w:tc>
          </w:tr>
          <w:tr>
            <w:trPr>
              <w:trHeight w:val="284"/>
            </w:trPr>
            <w:tc>
              <w:tcPr>
                <w:tcW w:w="709" w:type="dxa"/>
              </w:tcPr>
              <w:p>
                <w:pPr>
                  <w:overflowPunct w:val="0"/>
                  <w:jc w:val="center"/>
                  <w:textAlignment w:val="baseline"/>
                  <w:rPr>
                    <w:b/>
                    <w:szCs w:val="24"/>
                  </w:rPr>
                </w:pPr>
              </w:p>
            </w:tc>
            <w:tc>
              <w:tcPr>
                <w:tcW w:w="6663" w:type="dxa"/>
              </w:tcPr>
              <w:p>
                <w:pPr>
                  <w:overflowPunct w:val="0"/>
                  <w:jc w:val="both"/>
                  <w:textAlignment w:val="baseline"/>
                  <w:rPr>
                    <w:b/>
                    <w:szCs w:val="24"/>
                  </w:rPr>
                </w:pPr>
                <w:r>
                  <w:rPr>
                    <w:b/>
                    <w:szCs w:val="24"/>
                    <w:u w:val="single"/>
                  </w:rPr>
                  <w:t>Grynieji investicinės veiklos pinigų srautai</w:t>
                </w:r>
              </w:p>
            </w:tc>
            <w:tc>
              <w:tcPr>
                <w:tcW w:w="1275" w:type="dxa"/>
                <w:vAlign w:val="bottom"/>
              </w:tcPr>
              <w:p>
                <w:pPr>
                  <w:overflowPunct w:val="0"/>
                  <w:ind w:right="284"/>
                  <w:jc w:val="right"/>
                  <w:textAlignment w:val="baseline"/>
                  <w:rPr>
                    <w:b/>
                    <w:szCs w:val="24"/>
                  </w:rPr>
                </w:pPr>
              </w:p>
            </w:tc>
            <w:tc>
              <w:tcPr>
                <w:tcW w:w="1276" w:type="dxa"/>
                <w:vAlign w:val="bottom"/>
              </w:tcPr>
              <w:p>
                <w:pPr>
                  <w:overflowPunct w:val="0"/>
                  <w:ind w:right="284"/>
                  <w:jc w:val="right"/>
                  <w:textAlignment w:val="baseline"/>
                  <w:rPr>
                    <w:b/>
                    <w:szCs w:val="24"/>
                  </w:rPr>
                </w:pPr>
              </w:p>
            </w:tc>
          </w:tr>
          <w:tr>
            <w:trPr>
              <w:trHeight w:val="284"/>
            </w:trPr>
            <w:tc>
              <w:tcPr>
                <w:tcW w:w="709" w:type="dxa"/>
              </w:tcPr>
              <w:p>
                <w:pPr>
                  <w:overflowPunct w:val="0"/>
                  <w:jc w:val="center"/>
                  <w:textAlignment w:val="baseline"/>
                  <w:rPr>
                    <w:b/>
                    <w:szCs w:val="24"/>
                  </w:rPr>
                </w:pPr>
                <w:r>
                  <w:rPr>
                    <w:b/>
                    <w:szCs w:val="24"/>
                  </w:rPr>
                  <w:t>III.</w:t>
                </w:r>
              </w:p>
            </w:tc>
            <w:tc>
              <w:tcPr>
                <w:tcW w:w="6663" w:type="dxa"/>
              </w:tcPr>
              <w:p>
                <w:pPr>
                  <w:overflowPunct w:val="0"/>
                  <w:jc w:val="both"/>
                  <w:textAlignment w:val="baseline"/>
                  <w:rPr>
                    <w:b/>
                    <w:szCs w:val="24"/>
                    <w:u w:val="single"/>
                  </w:rPr>
                </w:pPr>
                <w:r>
                  <w:rPr>
                    <w:b/>
                    <w:szCs w:val="24"/>
                    <w:u w:val="single"/>
                  </w:rPr>
                  <w:t>Finansinės veiklos pinigų srautai</w:t>
                </w:r>
              </w:p>
            </w:tc>
            <w:tc>
              <w:tcPr>
                <w:tcW w:w="1275" w:type="dxa"/>
                <w:vAlign w:val="bottom"/>
              </w:tcPr>
              <w:p>
                <w:pPr>
                  <w:overflowPunct w:val="0"/>
                  <w:ind w:right="284"/>
                  <w:jc w:val="right"/>
                  <w:textAlignment w:val="baseline"/>
                  <w:rPr>
                    <w:b/>
                    <w:szCs w:val="24"/>
                  </w:rPr>
                </w:pPr>
              </w:p>
            </w:tc>
            <w:tc>
              <w:tcPr>
                <w:tcW w:w="1276" w:type="dxa"/>
                <w:vAlign w:val="bottom"/>
              </w:tcPr>
              <w:p>
                <w:pPr>
                  <w:overflowPunct w:val="0"/>
                  <w:ind w:right="284"/>
                  <w:jc w:val="right"/>
                  <w:textAlignment w:val="baseline"/>
                  <w:rPr>
                    <w:b/>
                    <w:szCs w:val="24"/>
                  </w:rPr>
                </w:pPr>
              </w:p>
            </w:tc>
          </w:tr>
          <w:tr>
            <w:trPr>
              <w:trHeight w:val="284"/>
            </w:trPr>
            <w:tc>
              <w:tcPr>
                <w:tcW w:w="709" w:type="dxa"/>
              </w:tcPr>
              <w:p>
                <w:pPr>
                  <w:overflowPunct w:val="0"/>
                  <w:jc w:val="center"/>
                  <w:textAlignment w:val="baseline"/>
                  <w:rPr>
                    <w:szCs w:val="24"/>
                  </w:rPr>
                </w:pPr>
                <w:r>
                  <w:rPr>
                    <w:szCs w:val="24"/>
                  </w:rPr>
                  <w:t>III.1.</w:t>
                </w:r>
              </w:p>
            </w:tc>
            <w:tc>
              <w:tcPr>
                <w:tcW w:w="6663" w:type="dxa"/>
              </w:tcPr>
              <w:p>
                <w:pPr>
                  <w:overflowPunct w:val="0"/>
                  <w:jc w:val="both"/>
                  <w:textAlignment w:val="baseline"/>
                  <w:rPr>
                    <w:szCs w:val="24"/>
                  </w:rPr>
                </w:pPr>
                <w:r>
                  <w:rPr>
                    <w:szCs w:val="24"/>
                  </w:rPr>
                  <w:t>Ūkininko ir jo partnerių įnašai (+)</w:t>
                </w:r>
              </w:p>
            </w:tc>
            <w:tc>
              <w:tcPr>
                <w:tcW w:w="1275" w:type="dxa"/>
                <w:vAlign w:val="bottom"/>
              </w:tcPr>
              <w:p>
                <w:pPr>
                  <w:overflowPunct w:val="0"/>
                  <w:ind w:right="284"/>
                  <w:jc w:val="right"/>
                  <w:textAlignment w:val="baseline"/>
                  <w:rPr>
                    <w:b/>
                    <w:szCs w:val="24"/>
                  </w:rPr>
                </w:pPr>
              </w:p>
            </w:tc>
            <w:tc>
              <w:tcPr>
                <w:tcW w:w="1276" w:type="dxa"/>
                <w:vAlign w:val="bottom"/>
              </w:tcPr>
              <w:p>
                <w:pPr>
                  <w:overflowPunct w:val="0"/>
                  <w:ind w:right="284"/>
                  <w:jc w:val="right"/>
                  <w:textAlignment w:val="baseline"/>
                  <w:rPr>
                    <w:b/>
                    <w:szCs w:val="24"/>
                  </w:rPr>
                </w:pPr>
              </w:p>
            </w:tc>
          </w:tr>
          <w:tr>
            <w:trPr>
              <w:trHeight w:val="284"/>
            </w:trPr>
            <w:tc>
              <w:tcPr>
                <w:tcW w:w="709" w:type="dxa"/>
              </w:tcPr>
              <w:p>
                <w:pPr>
                  <w:overflowPunct w:val="0"/>
                  <w:jc w:val="center"/>
                  <w:textAlignment w:val="baseline"/>
                  <w:rPr>
                    <w:szCs w:val="24"/>
                  </w:rPr>
                </w:pPr>
                <w:r>
                  <w:rPr>
                    <w:szCs w:val="24"/>
                  </w:rPr>
                  <w:t>III.2.</w:t>
                </w:r>
              </w:p>
            </w:tc>
            <w:tc>
              <w:tcPr>
                <w:tcW w:w="6663" w:type="dxa"/>
              </w:tcPr>
              <w:p>
                <w:pPr>
                  <w:overflowPunct w:val="0"/>
                  <w:jc w:val="both"/>
                  <w:textAlignment w:val="baseline"/>
                  <w:rPr>
                    <w:szCs w:val="24"/>
                  </w:rPr>
                </w:pPr>
                <w:r>
                  <w:rPr>
                    <w:szCs w:val="24"/>
                  </w:rPr>
                  <w:t xml:space="preserve">Pinigų išmokėjimas ūkininkui ir jo  partneriams (-)</w:t>
                </w:r>
              </w:p>
            </w:tc>
            <w:tc>
              <w:tcPr>
                <w:tcW w:w="1275" w:type="dxa"/>
                <w:vAlign w:val="bottom"/>
              </w:tcPr>
              <w:p>
                <w:pPr>
                  <w:overflowPunct w:val="0"/>
                  <w:ind w:right="284"/>
                  <w:jc w:val="right"/>
                  <w:textAlignment w:val="baseline"/>
                  <w:rPr>
                    <w:b/>
                    <w:szCs w:val="24"/>
                  </w:rPr>
                </w:pPr>
              </w:p>
            </w:tc>
            <w:tc>
              <w:tcPr>
                <w:tcW w:w="1276" w:type="dxa"/>
                <w:vAlign w:val="bottom"/>
              </w:tcPr>
              <w:p>
                <w:pPr>
                  <w:overflowPunct w:val="0"/>
                  <w:ind w:right="284"/>
                  <w:jc w:val="right"/>
                  <w:textAlignment w:val="baseline"/>
                  <w:rPr>
                    <w:b/>
                    <w:szCs w:val="24"/>
                  </w:rPr>
                </w:pPr>
              </w:p>
            </w:tc>
          </w:tr>
          <w:tr>
            <w:trPr>
              <w:trHeight w:val="284"/>
            </w:trPr>
            <w:tc>
              <w:tcPr>
                <w:tcW w:w="709" w:type="dxa"/>
              </w:tcPr>
              <w:p>
                <w:pPr>
                  <w:overflowPunct w:val="0"/>
                  <w:jc w:val="center"/>
                  <w:textAlignment w:val="baseline"/>
                  <w:rPr>
                    <w:szCs w:val="24"/>
                  </w:rPr>
                </w:pPr>
                <w:r>
                  <w:rPr>
                    <w:szCs w:val="24"/>
                  </w:rPr>
                  <w:t>III.3.</w:t>
                </w:r>
              </w:p>
            </w:tc>
            <w:tc>
              <w:tcPr>
                <w:tcW w:w="6663" w:type="dxa"/>
              </w:tcPr>
              <w:p>
                <w:pPr>
                  <w:overflowPunct w:val="0"/>
                  <w:jc w:val="both"/>
                  <w:textAlignment w:val="baseline"/>
                  <w:rPr>
                    <w:szCs w:val="24"/>
                  </w:rPr>
                </w:pPr>
                <w:r>
                  <w:rPr>
                    <w:szCs w:val="24"/>
                  </w:rPr>
                  <w:t>Paskolų gavimas (+)</w:t>
                </w:r>
              </w:p>
            </w:tc>
            <w:tc>
              <w:tcPr>
                <w:tcW w:w="1275" w:type="dxa"/>
                <w:vAlign w:val="bottom"/>
              </w:tcPr>
              <w:p>
                <w:pPr>
                  <w:overflowPunct w:val="0"/>
                  <w:ind w:right="284"/>
                  <w:jc w:val="right"/>
                  <w:textAlignment w:val="baseline"/>
                  <w:rPr>
                    <w:b/>
                    <w:szCs w:val="24"/>
                  </w:rPr>
                </w:pPr>
              </w:p>
            </w:tc>
            <w:tc>
              <w:tcPr>
                <w:tcW w:w="1276" w:type="dxa"/>
                <w:vAlign w:val="bottom"/>
              </w:tcPr>
              <w:p>
                <w:pPr>
                  <w:overflowPunct w:val="0"/>
                  <w:ind w:right="284"/>
                  <w:jc w:val="right"/>
                  <w:textAlignment w:val="baseline"/>
                  <w:rPr>
                    <w:b/>
                    <w:szCs w:val="24"/>
                  </w:rPr>
                </w:pPr>
              </w:p>
            </w:tc>
          </w:tr>
          <w:tr>
            <w:trPr>
              <w:trHeight w:val="284"/>
            </w:trPr>
            <w:tc>
              <w:tcPr>
                <w:tcW w:w="709" w:type="dxa"/>
              </w:tcPr>
              <w:p>
                <w:pPr>
                  <w:overflowPunct w:val="0"/>
                  <w:jc w:val="center"/>
                  <w:textAlignment w:val="baseline"/>
                  <w:rPr>
                    <w:szCs w:val="24"/>
                  </w:rPr>
                </w:pPr>
                <w:r>
                  <w:rPr>
                    <w:szCs w:val="24"/>
                  </w:rPr>
                  <w:t>III.4.</w:t>
                </w:r>
              </w:p>
            </w:tc>
            <w:tc>
              <w:tcPr>
                <w:tcW w:w="6663" w:type="dxa"/>
              </w:tcPr>
              <w:p>
                <w:pPr>
                  <w:overflowPunct w:val="0"/>
                  <w:jc w:val="both"/>
                  <w:textAlignment w:val="baseline"/>
                  <w:rPr>
                    <w:szCs w:val="24"/>
                  </w:rPr>
                </w:pPr>
                <w:r>
                  <w:rPr>
                    <w:szCs w:val="24"/>
                  </w:rPr>
                  <w:t>Paskolų grąžinimas (-)</w:t>
                </w:r>
              </w:p>
            </w:tc>
            <w:tc>
              <w:tcPr>
                <w:tcW w:w="1275" w:type="dxa"/>
                <w:vAlign w:val="bottom"/>
              </w:tcPr>
              <w:p>
                <w:pPr>
                  <w:overflowPunct w:val="0"/>
                  <w:ind w:right="284"/>
                  <w:jc w:val="right"/>
                  <w:textAlignment w:val="baseline"/>
                  <w:rPr>
                    <w:b/>
                    <w:szCs w:val="24"/>
                  </w:rPr>
                </w:pPr>
              </w:p>
            </w:tc>
            <w:tc>
              <w:tcPr>
                <w:tcW w:w="1276" w:type="dxa"/>
                <w:vAlign w:val="bottom"/>
              </w:tcPr>
              <w:p>
                <w:pPr>
                  <w:overflowPunct w:val="0"/>
                  <w:ind w:right="284"/>
                  <w:jc w:val="right"/>
                  <w:textAlignment w:val="baseline"/>
                  <w:rPr>
                    <w:b/>
                    <w:szCs w:val="24"/>
                  </w:rPr>
                </w:pPr>
              </w:p>
            </w:tc>
          </w:tr>
          <w:tr>
            <w:trPr>
              <w:trHeight w:val="284"/>
            </w:trPr>
            <w:tc>
              <w:tcPr>
                <w:tcW w:w="709" w:type="dxa"/>
              </w:tcPr>
              <w:p>
                <w:pPr>
                  <w:overflowPunct w:val="0"/>
                  <w:jc w:val="center"/>
                  <w:textAlignment w:val="baseline"/>
                  <w:rPr>
                    <w:szCs w:val="24"/>
                  </w:rPr>
                </w:pPr>
                <w:r>
                  <w:rPr>
                    <w:szCs w:val="24"/>
                  </w:rPr>
                  <w:t>III. 5.</w:t>
                </w:r>
              </w:p>
            </w:tc>
            <w:tc>
              <w:tcPr>
                <w:tcW w:w="6663" w:type="dxa"/>
              </w:tcPr>
              <w:p>
                <w:pPr>
                  <w:overflowPunct w:val="0"/>
                  <w:jc w:val="both"/>
                  <w:textAlignment w:val="baseline"/>
                  <w:rPr>
                    <w:szCs w:val="24"/>
                  </w:rPr>
                </w:pPr>
                <w:r>
                  <w:rPr>
                    <w:szCs w:val="24"/>
                  </w:rPr>
                  <w:t>Sumokėtos palūkanos (-)</w:t>
                </w:r>
              </w:p>
            </w:tc>
            <w:tc>
              <w:tcPr>
                <w:tcW w:w="1275" w:type="dxa"/>
                <w:vAlign w:val="bottom"/>
              </w:tcPr>
              <w:p>
                <w:pPr>
                  <w:overflowPunct w:val="0"/>
                  <w:ind w:right="284"/>
                  <w:jc w:val="right"/>
                  <w:textAlignment w:val="baseline"/>
                  <w:rPr>
                    <w:b/>
                    <w:szCs w:val="24"/>
                  </w:rPr>
                </w:pPr>
              </w:p>
            </w:tc>
            <w:tc>
              <w:tcPr>
                <w:tcW w:w="1276" w:type="dxa"/>
                <w:vAlign w:val="bottom"/>
              </w:tcPr>
              <w:p>
                <w:pPr>
                  <w:overflowPunct w:val="0"/>
                  <w:ind w:right="284"/>
                  <w:jc w:val="right"/>
                  <w:textAlignment w:val="baseline"/>
                  <w:rPr>
                    <w:b/>
                    <w:szCs w:val="24"/>
                  </w:rPr>
                </w:pPr>
              </w:p>
            </w:tc>
          </w:tr>
          <w:tr>
            <w:trPr>
              <w:trHeight w:val="284"/>
            </w:trPr>
            <w:tc>
              <w:tcPr>
                <w:tcW w:w="709" w:type="dxa"/>
              </w:tcPr>
              <w:p>
                <w:pPr>
                  <w:overflowPunct w:val="0"/>
                  <w:jc w:val="center"/>
                  <w:textAlignment w:val="baseline"/>
                  <w:rPr>
                    <w:szCs w:val="24"/>
                  </w:rPr>
                </w:pPr>
                <w:r>
                  <w:rPr>
                    <w:szCs w:val="24"/>
                  </w:rPr>
                  <w:t>III.6.</w:t>
                </w:r>
              </w:p>
            </w:tc>
            <w:tc>
              <w:tcPr>
                <w:tcW w:w="6663" w:type="dxa"/>
              </w:tcPr>
              <w:p>
                <w:pPr>
                  <w:overflowPunct w:val="0"/>
                  <w:jc w:val="both"/>
                  <w:textAlignment w:val="baseline"/>
                  <w:rPr>
                    <w:szCs w:val="24"/>
                  </w:rPr>
                </w:pPr>
                <w:r>
                  <w:rPr>
                    <w:szCs w:val="24"/>
                  </w:rPr>
                  <w:t>Kiti finansinės veiklos pinigų srautų padidėjimai (+)</w:t>
                </w:r>
              </w:p>
            </w:tc>
            <w:tc>
              <w:tcPr>
                <w:tcW w:w="1275" w:type="dxa"/>
                <w:vAlign w:val="bottom"/>
              </w:tcPr>
              <w:p>
                <w:pPr>
                  <w:overflowPunct w:val="0"/>
                  <w:ind w:right="284"/>
                  <w:jc w:val="right"/>
                  <w:textAlignment w:val="baseline"/>
                  <w:rPr>
                    <w:b/>
                    <w:szCs w:val="24"/>
                  </w:rPr>
                </w:pPr>
              </w:p>
            </w:tc>
            <w:tc>
              <w:tcPr>
                <w:tcW w:w="1276" w:type="dxa"/>
                <w:vAlign w:val="bottom"/>
              </w:tcPr>
              <w:p>
                <w:pPr>
                  <w:overflowPunct w:val="0"/>
                  <w:ind w:right="284"/>
                  <w:jc w:val="right"/>
                  <w:textAlignment w:val="baseline"/>
                  <w:rPr>
                    <w:b/>
                    <w:szCs w:val="24"/>
                  </w:rPr>
                </w:pPr>
              </w:p>
            </w:tc>
          </w:tr>
          <w:tr>
            <w:trPr>
              <w:trHeight w:val="284"/>
            </w:trPr>
            <w:tc>
              <w:tcPr>
                <w:tcW w:w="709" w:type="dxa"/>
              </w:tcPr>
              <w:p>
                <w:pPr>
                  <w:overflowPunct w:val="0"/>
                  <w:jc w:val="center"/>
                  <w:textAlignment w:val="baseline"/>
                  <w:rPr>
                    <w:szCs w:val="24"/>
                  </w:rPr>
                </w:pPr>
                <w:r>
                  <w:rPr>
                    <w:szCs w:val="24"/>
                  </w:rPr>
                  <w:t>III.7.</w:t>
                </w:r>
              </w:p>
            </w:tc>
            <w:tc>
              <w:tcPr>
                <w:tcW w:w="6663" w:type="dxa"/>
              </w:tcPr>
              <w:p>
                <w:pPr>
                  <w:overflowPunct w:val="0"/>
                  <w:jc w:val="both"/>
                  <w:textAlignment w:val="baseline"/>
                  <w:rPr>
                    <w:szCs w:val="24"/>
                  </w:rPr>
                </w:pPr>
                <w:r>
                  <w:rPr>
                    <w:szCs w:val="24"/>
                  </w:rPr>
                  <w:t>Kiti finansinės veiklos pinigų srautų sumažėjimai (-)</w:t>
                </w:r>
              </w:p>
            </w:tc>
            <w:tc>
              <w:tcPr>
                <w:tcW w:w="1275" w:type="dxa"/>
                <w:vAlign w:val="bottom"/>
              </w:tcPr>
              <w:p>
                <w:pPr>
                  <w:overflowPunct w:val="0"/>
                  <w:ind w:right="284"/>
                  <w:jc w:val="right"/>
                  <w:textAlignment w:val="baseline"/>
                  <w:rPr>
                    <w:b/>
                    <w:szCs w:val="24"/>
                  </w:rPr>
                </w:pPr>
              </w:p>
            </w:tc>
            <w:tc>
              <w:tcPr>
                <w:tcW w:w="1276" w:type="dxa"/>
                <w:vAlign w:val="bottom"/>
              </w:tcPr>
              <w:p>
                <w:pPr>
                  <w:overflowPunct w:val="0"/>
                  <w:ind w:right="284"/>
                  <w:jc w:val="right"/>
                  <w:textAlignment w:val="baseline"/>
                  <w:rPr>
                    <w:b/>
                    <w:szCs w:val="24"/>
                  </w:rPr>
                </w:pPr>
              </w:p>
            </w:tc>
          </w:tr>
          <w:tr>
            <w:trPr>
              <w:trHeight w:val="284"/>
            </w:trPr>
            <w:tc>
              <w:tcPr>
                <w:tcW w:w="709" w:type="dxa"/>
              </w:tcPr>
              <w:p>
                <w:pPr>
                  <w:overflowPunct w:val="0"/>
                  <w:jc w:val="center"/>
                  <w:textAlignment w:val="baseline"/>
                  <w:rPr>
                    <w:b/>
                    <w:szCs w:val="24"/>
                  </w:rPr>
                </w:pPr>
              </w:p>
            </w:tc>
            <w:tc>
              <w:tcPr>
                <w:tcW w:w="6663" w:type="dxa"/>
              </w:tcPr>
              <w:p>
                <w:pPr>
                  <w:overflowPunct w:val="0"/>
                  <w:jc w:val="both"/>
                  <w:textAlignment w:val="baseline"/>
                  <w:rPr>
                    <w:b/>
                    <w:szCs w:val="24"/>
                    <w:u w:val="single"/>
                  </w:rPr>
                </w:pPr>
                <w:r>
                  <w:rPr>
                    <w:b/>
                    <w:szCs w:val="24"/>
                    <w:u w:val="single"/>
                  </w:rPr>
                  <w:t>Grynieji finansinės veiklos pinigų srautai</w:t>
                </w:r>
              </w:p>
            </w:tc>
            <w:tc>
              <w:tcPr>
                <w:tcW w:w="1275" w:type="dxa"/>
                <w:vAlign w:val="bottom"/>
              </w:tcPr>
              <w:p>
                <w:pPr>
                  <w:overflowPunct w:val="0"/>
                  <w:ind w:right="284"/>
                  <w:jc w:val="right"/>
                  <w:textAlignment w:val="baseline"/>
                  <w:rPr>
                    <w:b/>
                    <w:szCs w:val="24"/>
                  </w:rPr>
                </w:pPr>
              </w:p>
            </w:tc>
            <w:tc>
              <w:tcPr>
                <w:tcW w:w="1276" w:type="dxa"/>
                <w:vAlign w:val="bottom"/>
              </w:tcPr>
              <w:p>
                <w:pPr>
                  <w:overflowPunct w:val="0"/>
                  <w:ind w:right="284"/>
                  <w:jc w:val="right"/>
                  <w:textAlignment w:val="baseline"/>
                  <w:rPr>
                    <w:b/>
                    <w:szCs w:val="24"/>
                  </w:rPr>
                </w:pPr>
              </w:p>
            </w:tc>
          </w:tr>
          <w:tr>
            <w:trPr>
              <w:trHeight w:val="284"/>
            </w:trPr>
            <w:tc>
              <w:tcPr>
                <w:tcW w:w="709" w:type="dxa"/>
              </w:tcPr>
              <w:p>
                <w:pPr>
                  <w:overflowPunct w:val="0"/>
                  <w:jc w:val="center"/>
                  <w:textAlignment w:val="baseline"/>
                  <w:rPr>
                    <w:b/>
                    <w:szCs w:val="24"/>
                  </w:rPr>
                </w:pPr>
                <w:r>
                  <w:rPr>
                    <w:b/>
                    <w:szCs w:val="24"/>
                  </w:rPr>
                  <w:t>IV.</w:t>
                </w:r>
              </w:p>
            </w:tc>
            <w:tc>
              <w:tcPr>
                <w:tcW w:w="6663" w:type="dxa"/>
              </w:tcPr>
              <w:p>
                <w:pPr>
                  <w:overflowPunct w:val="0"/>
                  <w:jc w:val="both"/>
                  <w:textAlignment w:val="baseline"/>
                  <w:rPr>
                    <w:b/>
                    <w:szCs w:val="24"/>
                  </w:rPr>
                </w:pPr>
                <w:r>
                  <w:rPr>
                    <w:b/>
                    <w:szCs w:val="24"/>
                  </w:rPr>
                  <w:t>Valiutų kursų pasikeitimo įtaka grynųjų pinigų ir pinigų ekvivalentų likučiui</w:t>
                </w:r>
              </w:p>
            </w:tc>
            <w:tc>
              <w:tcPr>
                <w:tcW w:w="1275" w:type="dxa"/>
                <w:vAlign w:val="bottom"/>
              </w:tcPr>
              <w:p>
                <w:pPr>
                  <w:overflowPunct w:val="0"/>
                  <w:ind w:right="284"/>
                  <w:jc w:val="right"/>
                  <w:textAlignment w:val="baseline"/>
                  <w:rPr>
                    <w:b/>
                    <w:szCs w:val="24"/>
                  </w:rPr>
                </w:pPr>
              </w:p>
            </w:tc>
            <w:tc>
              <w:tcPr>
                <w:tcW w:w="1276" w:type="dxa"/>
                <w:vAlign w:val="bottom"/>
              </w:tcPr>
              <w:p>
                <w:pPr>
                  <w:overflowPunct w:val="0"/>
                  <w:ind w:right="284"/>
                  <w:jc w:val="right"/>
                  <w:textAlignment w:val="baseline"/>
                  <w:rPr>
                    <w:b/>
                    <w:szCs w:val="24"/>
                  </w:rPr>
                </w:pPr>
              </w:p>
            </w:tc>
          </w:tr>
          <w:tr>
            <w:trPr>
              <w:trHeight w:val="284"/>
            </w:trPr>
            <w:tc>
              <w:tcPr>
                <w:tcW w:w="709" w:type="dxa"/>
              </w:tcPr>
              <w:p>
                <w:pPr>
                  <w:overflowPunct w:val="0"/>
                  <w:jc w:val="center"/>
                  <w:textAlignment w:val="baseline"/>
                  <w:rPr>
                    <w:b/>
                    <w:szCs w:val="24"/>
                  </w:rPr>
                </w:pPr>
                <w:r>
                  <w:rPr>
                    <w:b/>
                    <w:szCs w:val="24"/>
                  </w:rPr>
                  <w:t>V.</w:t>
                </w:r>
              </w:p>
            </w:tc>
            <w:tc>
              <w:tcPr>
                <w:tcW w:w="6663" w:type="dxa"/>
              </w:tcPr>
              <w:p>
                <w:pPr>
                  <w:overflowPunct w:val="0"/>
                  <w:jc w:val="both"/>
                  <w:textAlignment w:val="baseline"/>
                  <w:rPr>
                    <w:b/>
                    <w:szCs w:val="24"/>
                  </w:rPr>
                </w:pPr>
                <w:r>
                  <w:rPr>
                    <w:b/>
                    <w:szCs w:val="24"/>
                  </w:rPr>
                  <w:t>Grynasis pinigų srautų padidėjimas (sumažėjimas)</w:t>
                </w:r>
              </w:p>
            </w:tc>
            <w:tc>
              <w:tcPr>
                <w:tcW w:w="1275" w:type="dxa"/>
                <w:vAlign w:val="bottom"/>
              </w:tcPr>
              <w:p>
                <w:pPr>
                  <w:overflowPunct w:val="0"/>
                  <w:ind w:right="284"/>
                  <w:jc w:val="right"/>
                  <w:textAlignment w:val="baseline"/>
                  <w:rPr>
                    <w:b/>
                    <w:szCs w:val="24"/>
                  </w:rPr>
                </w:pPr>
              </w:p>
            </w:tc>
            <w:tc>
              <w:tcPr>
                <w:tcW w:w="1276" w:type="dxa"/>
                <w:vAlign w:val="bottom"/>
              </w:tcPr>
              <w:p>
                <w:pPr>
                  <w:overflowPunct w:val="0"/>
                  <w:ind w:right="284"/>
                  <w:jc w:val="right"/>
                  <w:textAlignment w:val="baseline"/>
                  <w:rPr>
                    <w:b/>
                    <w:szCs w:val="24"/>
                  </w:rPr>
                </w:pPr>
              </w:p>
            </w:tc>
          </w:tr>
          <w:tr>
            <w:trPr>
              <w:trHeight w:val="284"/>
            </w:trPr>
            <w:tc>
              <w:tcPr>
                <w:tcW w:w="709" w:type="dxa"/>
              </w:tcPr>
              <w:p>
                <w:pPr>
                  <w:overflowPunct w:val="0"/>
                  <w:jc w:val="center"/>
                  <w:textAlignment w:val="baseline"/>
                  <w:rPr>
                    <w:b/>
                    <w:szCs w:val="24"/>
                  </w:rPr>
                </w:pPr>
                <w:r>
                  <w:rPr>
                    <w:b/>
                    <w:szCs w:val="24"/>
                  </w:rPr>
                  <w:t>VI.</w:t>
                </w:r>
              </w:p>
            </w:tc>
            <w:tc>
              <w:tcPr>
                <w:tcW w:w="6663" w:type="dxa"/>
              </w:tcPr>
              <w:p>
                <w:pPr>
                  <w:overflowPunct w:val="0"/>
                  <w:jc w:val="both"/>
                  <w:textAlignment w:val="baseline"/>
                  <w:rPr>
                    <w:b/>
                    <w:szCs w:val="24"/>
                  </w:rPr>
                </w:pPr>
                <w:r>
                  <w:rPr>
                    <w:b/>
                    <w:szCs w:val="24"/>
                  </w:rPr>
                  <w:t>Pinigai ir pinigų ekvivalentai laikotarpio pradžioje</w:t>
                </w:r>
              </w:p>
            </w:tc>
            <w:tc>
              <w:tcPr>
                <w:tcW w:w="1275" w:type="dxa"/>
                <w:vAlign w:val="bottom"/>
              </w:tcPr>
              <w:p>
                <w:pPr>
                  <w:overflowPunct w:val="0"/>
                  <w:ind w:right="284"/>
                  <w:jc w:val="right"/>
                  <w:textAlignment w:val="baseline"/>
                  <w:rPr>
                    <w:b/>
                    <w:szCs w:val="24"/>
                  </w:rPr>
                </w:pPr>
              </w:p>
            </w:tc>
            <w:tc>
              <w:tcPr>
                <w:tcW w:w="1276" w:type="dxa"/>
                <w:vAlign w:val="bottom"/>
              </w:tcPr>
              <w:p>
                <w:pPr>
                  <w:overflowPunct w:val="0"/>
                  <w:ind w:right="284"/>
                  <w:jc w:val="right"/>
                  <w:textAlignment w:val="baseline"/>
                  <w:rPr>
                    <w:b/>
                    <w:szCs w:val="24"/>
                  </w:rPr>
                </w:pPr>
              </w:p>
            </w:tc>
          </w:tr>
          <w:tr>
            <w:trPr>
              <w:trHeight w:val="284"/>
            </w:trPr>
            <w:tc>
              <w:tcPr>
                <w:tcW w:w="709" w:type="dxa"/>
              </w:tcPr>
              <w:p>
                <w:pPr>
                  <w:overflowPunct w:val="0"/>
                  <w:jc w:val="center"/>
                  <w:textAlignment w:val="baseline"/>
                  <w:rPr>
                    <w:b/>
                    <w:szCs w:val="24"/>
                  </w:rPr>
                </w:pPr>
                <w:r>
                  <w:rPr>
                    <w:b/>
                    <w:szCs w:val="24"/>
                  </w:rPr>
                  <w:t>VII.</w:t>
                </w:r>
              </w:p>
            </w:tc>
            <w:tc>
              <w:tcPr>
                <w:tcW w:w="6663" w:type="dxa"/>
              </w:tcPr>
              <w:p>
                <w:pPr>
                  <w:overflowPunct w:val="0"/>
                  <w:jc w:val="both"/>
                  <w:textAlignment w:val="baseline"/>
                  <w:rPr>
                    <w:b/>
                    <w:szCs w:val="24"/>
                  </w:rPr>
                </w:pPr>
                <w:r>
                  <w:rPr>
                    <w:b/>
                    <w:szCs w:val="24"/>
                  </w:rPr>
                  <w:t>Pinigai ir pinigų ekvivalentai laikotarpio pabaigoje</w:t>
                </w:r>
              </w:p>
            </w:tc>
            <w:tc>
              <w:tcPr>
                <w:tcW w:w="1275" w:type="dxa"/>
                <w:vAlign w:val="bottom"/>
              </w:tcPr>
              <w:p>
                <w:pPr>
                  <w:overflowPunct w:val="0"/>
                  <w:ind w:right="284"/>
                  <w:jc w:val="right"/>
                  <w:textAlignment w:val="baseline"/>
                  <w:rPr>
                    <w:b/>
                    <w:szCs w:val="24"/>
                  </w:rPr>
                </w:pPr>
              </w:p>
            </w:tc>
            <w:tc>
              <w:tcPr>
                <w:tcW w:w="1276" w:type="dxa"/>
                <w:vAlign w:val="bottom"/>
              </w:tcPr>
              <w:p>
                <w:pPr>
                  <w:overflowPunct w:val="0"/>
                  <w:ind w:right="284"/>
                  <w:jc w:val="right"/>
                  <w:textAlignment w:val="baseline"/>
                  <w:rPr>
                    <w:b/>
                    <w:szCs w:val="24"/>
                  </w:rPr>
                </w:pPr>
              </w:p>
            </w:tc>
          </w:tr>
        </w:tbl>
        <w:p>
          <w:pPr>
            <w:overflowPunct w:val="0"/>
            <w:jc w:val="both"/>
            <w:textAlignment w:val="baseline"/>
          </w:pPr>
        </w:p>
        <w:p>
          <w:pPr>
            <w:overflowPunct w:val="0"/>
            <w:jc w:val="both"/>
            <w:textAlignment w:val="baseline"/>
          </w:pPr>
          <w:r>
            <w:t>Ūkininkas</w:t>
            <w:tab/>
            <w:tab/>
            <w:t>_________________</w:t>
            <w:tab/>
            <w:tab/>
            <w:t>_________________________</w:t>
          </w:r>
        </w:p>
        <w:p>
          <w:pPr>
            <w:overflowPunct w:val="0"/>
            <w:ind w:left="1298" w:firstLine="1298"/>
            <w:jc w:val="both"/>
            <w:textAlignment w:val="baseline"/>
            <w:rPr>
              <w:sz w:val="20"/>
            </w:rPr>
          </w:pPr>
          <w:r>
            <w:rPr>
              <w:sz w:val="20"/>
            </w:rPr>
            <w:t>(parašas)</w:t>
            <w:tab/>
          </w:r>
          <w:r>
            <w:tab/>
            <w:tab/>
          </w:r>
          <w:r>
            <w:rPr>
              <w:sz w:val="20"/>
            </w:rPr>
            <w:t>(vardas, pavardė)</w:t>
          </w:r>
        </w:p>
        <w:sdt>
          <w:sdtPr>
            <w:alias w:val="pabaiga"/>
            <w:tag w:val="part_786e23fb572d446199cb2a4068f179b4"/>
            <w:lock w:val="sdtLocked"/>
            <w:richText/>
          </w:sdtPr>
          <w:sdtContent>
            <w:p>
              <w:pPr>
                <w:overflowPunct w:val="0"/>
                <w:ind w:left="3402"/>
                <w:jc w:val="both"/>
                <w:textAlignment w:val="baseline"/>
                <w:rPr>
                  <w:szCs w:val="22"/>
                </w:rPr>
              </w:pPr>
              <w:r>
                <w:rPr>
                  <w:sz w:val="20"/>
                </w:rP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ba5c0506f11e4a698d921e3e46801">
            <w:r w:rsidRPr="00532B9F">
              <w:rPr>
                <w:rFonts w:ascii="Times New Roman" w:eastAsia="MS Mincho" w:hAnsi="Times New Roman"/>
                <w:sz w:val="20"/>
                <w:i/>
                <w:iCs/>
                <w:color w:val="0000FF" w:themeColor="hyperlink"/>
                <w:u w:val="single"/>
              </w:rPr>
              <w:t>3D-725</w:t>
            </w:r>
          </w:fldSimple>
          <w:r>
            <w:rPr>
              <w:rFonts w:ascii="Times New Roman" w:eastAsia="MS Mincho" w:hAnsi="Times New Roman"/>
              <w:sz w:val="20"/>
              <w:i/>
              <w:iCs/>
            </w:rPr>
            <w:t>,
2014-10-10,
paskelbta TAR 2014-10-10, i. k. 2014-13951            </w:t>
          </w:r>
        </w:p>
        <w:p/>
      </w:sdtContent>
    </w:sdt>
    <w:sdt>
      <w:sdtPr>
        <w:alias w:val="16 pr."/>
        <w:tag w:val="part_da476bcd87354ca29c9e9ba92ea6bda9"/>
        <w:lock w:val="sdtLocked"/>
        <w:richText/>
      </w:sdtPr>
      <w:sdtContent>
        <w:p>
          <w:pPr>
            <w:overflowPunct w:val="0"/>
            <w:jc w:val="both"/>
            <w:textAlignment w:val="baseline"/>
            <w:rPr>
              <w:sz w:val="20"/>
            </w:rPr>
          </w:pPr>
          <w:r>
            <w:rPr>
              <w:sz w:val="20"/>
            </w:rPr>
            <w:br w:type="page"/>
          </w:r>
        </w:p>
        <w:p>
          <w:pPr>
            <w:overflowPunct w:val="0"/>
            <w:ind w:left="3402" w:firstLine="2977"/>
            <w:jc w:val="both"/>
            <w:textAlignment w:val="baseline"/>
            <w:rPr>
              <w:sz w:val="20"/>
            </w:rPr>
          </w:pPr>
          <w:r>
            <w:rPr>
              <w:szCs w:val="24"/>
            </w:rPr>
            <w:t>Ūkininko ūkio veiklos</w:t>
          </w:r>
        </w:p>
        <w:p>
          <w:pPr>
            <w:overflowPunct w:val="0"/>
            <w:ind w:left="6379"/>
            <w:jc w:val="both"/>
            <w:textAlignment w:val="baseline"/>
            <w:rPr>
              <w:szCs w:val="24"/>
            </w:rPr>
          </w:pPr>
          <w:r>
            <w:rPr>
              <w:szCs w:val="24"/>
            </w:rPr>
            <w:t>buhalterinės apskaitos tvarkymo</w:t>
          </w:r>
        </w:p>
        <w:p>
          <w:pPr>
            <w:overflowPunct w:val="0"/>
            <w:ind w:left="6379"/>
            <w:jc w:val="both"/>
            <w:textAlignment w:val="baseline"/>
            <w:rPr>
              <w:szCs w:val="24"/>
            </w:rPr>
          </w:pPr>
          <w:r>
            <w:rPr>
              <w:szCs w:val="24"/>
            </w:rPr>
            <w:t>supaprastintąja apskaitos sistema</w:t>
          </w:r>
        </w:p>
        <w:p>
          <w:pPr>
            <w:overflowPunct w:val="0"/>
            <w:ind w:left="6379"/>
            <w:jc w:val="both"/>
            <w:textAlignment w:val="baseline"/>
            <w:rPr>
              <w:szCs w:val="24"/>
            </w:rPr>
          </w:pPr>
          <w:r>
            <w:rPr>
              <w:szCs w:val="24"/>
            </w:rPr>
            <w:t xml:space="preserve">rekomendacijų </w:t>
          </w:r>
        </w:p>
        <w:p>
          <w:pPr>
            <w:overflowPunct w:val="0"/>
            <w:ind w:left="6379"/>
            <w:jc w:val="both"/>
            <w:textAlignment w:val="baseline"/>
            <w:rPr>
              <w:szCs w:val="24"/>
            </w:rPr>
          </w:pPr>
          <w:sdt>
            <w:sdtPr>
              <w:alias w:val="Numeris"/>
              <w:tag w:val="nr_da476bcd87354ca29c9e9ba92ea6bda9"/>
              <w:lock w:val="sdtLocked"/>
              <w:richText/>
            </w:sdtPr>
            <w:sdtContent>
              <w:r>
                <w:rPr>
                  <w:szCs w:val="24"/>
                </w:rPr>
                <w:t>16</w:t>
              </w:r>
            </w:sdtContent>
          </w:sdt>
          <w:r>
            <w:rPr>
              <w:szCs w:val="24"/>
            </w:rPr>
            <w:t xml:space="preserve">  priedas</w:t>
          </w:r>
        </w:p>
        <w:p>
          <w:pPr>
            <w:keepNext/>
            <w:overflowPunct w:val="0"/>
            <w:jc w:val="center"/>
            <w:textAlignment w:val="baseline"/>
            <w:rPr>
              <w:b/>
              <w:sz w:val="10"/>
              <w:szCs w:val="10"/>
            </w:rPr>
          </w:pPr>
        </w:p>
        <w:p>
          <w:pPr>
            <w:overflowPunct w:val="0"/>
            <w:jc w:val="center"/>
            <w:textAlignment w:val="baseline"/>
          </w:pPr>
          <w:r>
            <w:t>Ūkininko ________________________________ ūkis</w:t>
          </w:r>
        </w:p>
        <w:p>
          <w:pPr>
            <w:overflowPunct w:val="0"/>
            <w:jc w:val="center"/>
            <w:textAlignment w:val="baseline"/>
            <w:rPr>
              <w:sz w:val="10"/>
              <w:szCs w:val="10"/>
            </w:rPr>
          </w:pPr>
        </w:p>
        <w:p>
          <w:pPr>
            <w:overflowPunct w:val="0"/>
            <w:jc w:val="center"/>
            <w:textAlignment w:val="baseline"/>
          </w:pPr>
          <w:r>
            <w:t>Ūkininko ūkio įregistravimo pažymėjimo Nr. ___________</w:t>
          </w:r>
        </w:p>
        <w:p>
          <w:pPr>
            <w:overflowPunct w:val="0"/>
            <w:jc w:val="center"/>
            <w:textAlignment w:val="baseline"/>
            <w:rPr>
              <w:sz w:val="10"/>
              <w:szCs w:val="10"/>
            </w:rPr>
          </w:pPr>
        </w:p>
        <w:p>
          <w:pPr>
            <w:overflowPunct w:val="0"/>
            <w:jc w:val="center"/>
            <w:textAlignment w:val="baseline"/>
          </w:pPr>
          <w:r>
            <w:t>Adresas ____________________________________________</w:t>
          </w:r>
        </w:p>
        <w:p>
          <w:pPr>
            <w:overflowPunct w:val="0"/>
            <w:jc w:val="center"/>
            <w:textAlignment w:val="baseline"/>
          </w:pPr>
        </w:p>
        <w:p>
          <w:pPr>
            <w:overflowPunct w:val="0"/>
            <w:jc w:val="center"/>
            <w:textAlignment w:val="baseline"/>
            <w:rPr>
              <w:b/>
              <w:bCs/>
              <w:strike/>
              <w:szCs w:val="24"/>
            </w:rPr>
          </w:pPr>
          <w:r>
            <w:rPr>
              <w:b/>
              <w:bCs/>
              <w:szCs w:val="24"/>
            </w:rPr>
            <w:t>PINIGŲ SRAUTŲ ATASKAITA</w:t>
          </w:r>
        </w:p>
        <w:p>
          <w:pPr>
            <w:overflowPunct w:val="0"/>
            <w:jc w:val="center"/>
            <w:textAlignment w:val="baseline"/>
            <w:rPr>
              <w:b/>
              <w:szCs w:val="24"/>
            </w:rPr>
          </w:pPr>
          <w:r>
            <w:rPr>
              <w:b/>
              <w:bCs/>
              <w:szCs w:val="24"/>
            </w:rPr>
            <w:t>(tiesioginiu būdu)</w:t>
          </w:r>
        </w:p>
        <w:p>
          <w:pPr>
            <w:overflowPunct w:val="0"/>
            <w:jc w:val="center"/>
            <w:textAlignment w:val="baseline"/>
            <w:rPr>
              <w:sz w:val="10"/>
              <w:szCs w:val="10"/>
            </w:rPr>
          </w:pPr>
        </w:p>
        <w:p>
          <w:pPr>
            <w:overflowPunct w:val="0"/>
            <w:jc w:val="center"/>
            <w:textAlignment w:val="baseline"/>
          </w:pPr>
          <w:r>
            <w:t>_____________ Nr. _____________</w:t>
          </w:r>
        </w:p>
        <w:p>
          <w:pPr>
            <w:overflowPunct w:val="0"/>
            <w:ind w:left="3544"/>
            <w:jc w:val="both"/>
            <w:textAlignment w:val="baseline"/>
            <w:rPr>
              <w:sz w:val="20"/>
            </w:rPr>
          </w:pPr>
          <w:r>
            <w:rPr>
              <w:sz w:val="20"/>
            </w:rPr>
            <w:t>(data)</w:t>
          </w:r>
        </w:p>
        <w:p>
          <w:pPr>
            <w:overflowPunct w:val="0"/>
            <w:ind w:left="7513"/>
            <w:jc w:val="both"/>
            <w:textAlignment w:val="baseline"/>
          </w:pPr>
          <w:r>
            <w:t>_______________</w:t>
          </w:r>
        </w:p>
        <w:p>
          <w:pPr>
            <w:overflowPunct w:val="0"/>
            <w:ind w:left="8080"/>
            <w:jc w:val="both"/>
            <w:textAlignment w:val="baseline"/>
            <w:rPr>
              <w:sz w:val="20"/>
            </w:rPr>
          </w:pPr>
          <w:r>
            <w:rPr>
              <w:sz w:val="20"/>
            </w:rPr>
            <w:t>(valiuta)</w:t>
          </w:r>
        </w:p>
        <w:p>
          <w:pPr>
            <w:overflowPunct w:val="0"/>
            <w:ind w:left="8080"/>
            <w:jc w:val="both"/>
            <w:textAlignment w:val="baseline"/>
            <w:rPr>
              <w:sz w:val="10"/>
              <w:szCs w:val="10"/>
            </w:rPr>
          </w:pPr>
        </w:p>
        <w:tbl>
          <w:tblPr>
            <w:tblW w:w="9923" w:type="dxa"/>
            <w:tblInd w:w="-1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709"/>
            <w:gridCol w:w="6663"/>
            <w:gridCol w:w="1275"/>
            <w:gridCol w:w="1276"/>
          </w:tblGrid>
          <w:tr>
            <w:trPr>
              <w:trHeight w:hRule="exact" w:val="284"/>
            </w:trPr>
            <w:tc>
              <w:tcPr>
                <w:tcW w:w="709" w:type="dxa"/>
                <w:vAlign w:val="center"/>
              </w:tcPr>
              <w:p>
                <w:pPr>
                  <w:overflowPunct w:val="0"/>
                  <w:jc w:val="center"/>
                  <w:textAlignment w:val="baseline"/>
                  <w:rPr>
                    <w:b/>
                    <w:szCs w:val="24"/>
                  </w:rPr>
                </w:pPr>
                <w:r>
                  <w:rPr>
                    <w:b/>
                    <w:szCs w:val="24"/>
                  </w:rPr>
                  <w:t>Eil. Nr.</w:t>
                </w:r>
              </w:p>
            </w:tc>
            <w:tc>
              <w:tcPr>
                <w:tcW w:w="6663" w:type="dxa"/>
                <w:vAlign w:val="center"/>
              </w:tcPr>
              <w:p>
                <w:pPr>
                  <w:overflowPunct w:val="0"/>
                  <w:jc w:val="center"/>
                  <w:textAlignment w:val="baseline"/>
                  <w:rPr>
                    <w:b/>
                    <w:szCs w:val="24"/>
                  </w:rPr>
                </w:pPr>
                <w:r>
                  <w:rPr>
                    <w:b/>
                    <w:szCs w:val="24"/>
                  </w:rPr>
                  <w:t>Straipsniai</w:t>
                </w:r>
              </w:p>
            </w:tc>
            <w:tc>
              <w:tcPr>
                <w:tcW w:w="1275" w:type="dxa"/>
                <w:vAlign w:val="center"/>
              </w:tcPr>
              <w:p>
                <w:pPr>
                  <w:overflowPunct w:val="0"/>
                  <w:jc w:val="center"/>
                  <w:textAlignment w:val="baseline"/>
                  <w:rPr>
                    <w:b/>
                    <w:szCs w:val="24"/>
                  </w:rPr>
                </w:pPr>
                <w:r>
                  <w:rPr>
                    <w:b/>
                    <w:szCs w:val="24"/>
                  </w:rPr>
                  <w:t>Finansiniai</w:t>
                </w:r>
              </w:p>
              <w:p>
                <w:pPr>
                  <w:overflowPunct w:val="0"/>
                  <w:jc w:val="center"/>
                  <w:textAlignment w:val="baseline"/>
                  <w:rPr>
                    <w:b/>
                    <w:szCs w:val="24"/>
                  </w:rPr>
                </w:pPr>
                <w:r>
                  <w:rPr>
                    <w:b/>
                    <w:szCs w:val="24"/>
                  </w:rPr>
                  <w:t>metai</w:t>
                </w:r>
              </w:p>
            </w:tc>
            <w:tc>
              <w:tcPr>
                <w:tcW w:w="1276" w:type="dxa"/>
                <w:vAlign w:val="center"/>
              </w:tcPr>
              <w:p>
                <w:pPr>
                  <w:overflowPunct w:val="0"/>
                  <w:jc w:val="center"/>
                  <w:textAlignment w:val="baseline"/>
                  <w:rPr>
                    <w:b/>
                    <w:szCs w:val="24"/>
                  </w:rPr>
                </w:pPr>
                <w:r>
                  <w:rPr>
                    <w:b/>
                    <w:szCs w:val="24"/>
                  </w:rPr>
                  <w:t>Praėję</w:t>
                </w:r>
              </w:p>
              <w:p>
                <w:pPr>
                  <w:overflowPunct w:val="0"/>
                  <w:jc w:val="center"/>
                  <w:textAlignment w:val="baseline"/>
                  <w:rPr>
                    <w:b/>
                    <w:szCs w:val="24"/>
                  </w:rPr>
                </w:pPr>
                <w:r>
                  <w:rPr>
                    <w:b/>
                    <w:szCs w:val="24"/>
                  </w:rPr>
                  <w:t>finansiniai</w:t>
                </w:r>
              </w:p>
              <w:p>
                <w:pPr>
                  <w:overflowPunct w:val="0"/>
                  <w:jc w:val="center"/>
                  <w:textAlignment w:val="baseline"/>
                  <w:rPr>
                    <w:b/>
                    <w:szCs w:val="24"/>
                  </w:rPr>
                </w:pPr>
                <w:r>
                  <w:rPr>
                    <w:b/>
                    <w:szCs w:val="24"/>
                  </w:rPr>
                  <w:t>metai</w:t>
                </w:r>
              </w:p>
            </w:tc>
          </w:tr>
          <w:tr>
            <w:trPr>
              <w:trHeight w:hRule="exact" w:val="284"/>
            </w:trPr>
            <w:tc>
              <w:tcPr>
                <w:tcW w:w="709" w:type="dxa"/>
              </w:tcPr>
              <w:p>
                <w:pPr>
                  <w:overflowPunct w:val="0"/>
                  <w:jc w:val="center"/>
                  <w:textAlignment w:val="baseline"/>
                  <w:rPr>
                    <w:b/>
                    <w:szCs w:val="24"/>
                  </w:rPr>
                </w:pPr>
                <w:r>
                  <w:rPr>
                    <w:b/>
                    <w:szCs w:val="24"/>
                  </w:rPr>
                  <w:t>I.</w:t>
                </w:r>
              </w:p>
            </w:tc>
            <w:tc>
              <w:tcPr>
                <w:tcW w:w="6663" w:type="dxa"/>
              </w:tcPr>
              <w:p>
                <w:pPr>
                  <w:overflowPunct w:val="0"/>
                  <w:jc w:val="both"/>
                  <w:textAlignment w:val="baseline"/>
                  <w:rPr>
                    <w:b/>
                    <w:szCs w:val="24"/>
                  </w:rPr>
                </w:pPr>
                <w:r>
                  <w:rPr>
                    <w:b/>
                    <w:szCs w:val="24"/>
                  </w:rPr>
                  <w:t>Pagrindinės veiklos pinigų srautai</w:t>
                </w:r>
              </w:p>
            </w:tc>
            <w:tc>
              <w:tcPr>
                <w:tcW w:w="1275" w:type="dxa"/>
                <w:vAlign w:val="bottom"/>
              </w:tcPr>
              <w:p>
                <w:pPr>
                  <w:overflowPunct w:val="0"/>
                  <w:ind w:right="284"/>
                  <w:jc w:val="right"/>
                  <w:textAlignment w:val="baseline"/>
                  <w:rPr>
                    <w:b/>
                    <w:szCs w:val="24"/>
                  </w:rPr>
                </w:pPr>
              </w:p>
            </w:tc>
            <w:tc>
              <w:tcPr>
                <w:tcW w:w="1276" w:type="dxa"/>
                <w:vAlign w:val="bottom"/>
              </w:tcPr>
              <w:p>
                <w:pPr>
                  <w:overflowPunct w:val="0"/>
                  <w:ind w:right="284"/>
                  <w:jc w:val="right"/>
                  <w:textAlignment w:val="baseline"/>
                  <w:rPr>
                    <w:b/>
                    <w:szCs w:val="24"/>
                  </w:rPr>
                </w:pPr>
              </w:p>
            </w:tc>
          </w:tr>
          <w:tr>
            <w:trPr>
              <w:trHeight w:hRule="exact" w:val="284"/>
            </w:trPr>
            <w:tc>
              <w:tcPr>
                <w:tcW w:w="709" w:type="dxa"/>
              </w:tcPr>
              <w:p>
                <w:pPr>
                  <w:overflowPunct w:val="0"/>
                  <w:jc w:val="center"/>
                  <w:textAlignment w:val="baseline"/>
                  <w:rPr>
                    <w:szCs w:val="24"/>
                  </w:rPr>
                </w:pPr>
                <w:r>
                  <w:rPr>
                    <w:szCs w:val="24"/>
                  </w:rPr>
                  <w:t>I.1.</w:t>
                </w:r>
              </w:p>
            </w:tc>
            <w:tc>
              <w:tcPr>
                <w:tcW w:w="6663" w:type="dxa"/>
              </w:tcPr>
              <w:p>
                <w:pPr>
                  <w:overflowPunct w:val="0"/>
                  <w:jc w:val="both"/>
                  <w:textAlignment w:val="baseline"/>
                  <w:rPr>
                    <w:szCs w:val="24"/>
                  </w:rPr>
                </w:pPr>
                <w:r>
                  <w:rPr>
                    <w:szCs w:val="24"/>
                  </w:rPr>
                  <w:t>Pinigų įplaukos iš klientų (+)</w:t>
                </w:r>
              </w:p>
            </w:tc>
            <w:tc>
              <w:tcPr>
                <w:tcW w:w="1275" w:type="dxa"/>
                <w:vAlign w:val="bottom"/>
              </w:tcPr>
              <w:p>
                <w:pPr>
                  <w:overflowPunct w:val="0"/>
                  <w:ind w:right="284"/>
                  <w:jc w:val="right"/>
                  <w:textAlignment w:val="baseline"/>
                  <w:rPr>
                    <w:szCs w:val="24"/>
                  </w:rPr>
                </w:pPr>
              </w:p>
            </w:tc>
            <w:tc>
              <w:tcPr>
                <w:tcW w:w="1276" w:type="dxa"/>
                <w:vAlign w:val="bottom"/>
              </w:tcPr>
              <w:p>
                <w:pPr>
                  <w:overflowPunct w:val="0"/>
                  <w:ind w:right="284"/>
                  <w:jc w:val="right"/>
                  <w:textAlignment w:val="baseline"/>
                  <w:rPr>
                    <w:szCs w:val="24"/>
                  </w:rPr>
                </w:pPr>
              </w:p>
            </w:tc>
          </w:tr>
          <w:tr>
            <w:trPr>
              <w:trHeight w:hRule="exact" w:val="284"/>
            </w:trPr>
            <w:tc>
              <w:tcPr>
                <w:tcW w:w="709" w:type="dxa"/>
              </w:tcPr>
              <w:p>
                <w:pPr>
                  <w:overflowPunct w:val="0"/>
                  <w:jc w:val="center"/>
                  <w:textAlignment w:val="baseline"/>
                  <w:rPr>
                    <w:szCs w:val="24"/>
                  </w:rPr>
                </w:pPr>
                <w:r>
                  <w:rPr>
                    <w:szCs w:val="24"/>
                  </w:rPr>
                  <w:t>I.2.</w:t>
                </w:r>
              </w:p>
            </w:tc>
            <w:tc>
              <w:tcPr>
                <w:tcW w:w="6663" w:type="dxa"/>
              </w:tcPr>
              <w:p>
                <w:pPr>
                  <w:overflowPunct w:val="0"/>
                  <w:jc w:val="both"/>
                  <w:textAlignment w:val="baseline"/>
                  <w:rPr>
                    <w:szCs w:val="24"/>
                  </w:rPr>
                </w:pPr>
                <w:r>
                  <w:rPr>
                    <w:szCs w:val="24"/>
                  </w:rPr>
                  <w:t>Kitos įplaukos (+)</w:t>
                </w:r>
              </w:p>
            </w:tc>
            <w:tc>
              <w:tcPr>
                <w:tcW w:w="1275" w:type="dxa"/>
                <w:vAlign w:val="bottom"/>
              </w:tcPr>
              <w:p>
                <w:pPr>
                  <w:overflowPunct w:val="0"/>
                  <w:ind w:right="284"/>
                  <w:jc w:val="right"/>
                  <w:textAlignment w:val="baseline"/>
                  <w:rPr>
                    <w:szCs w:val="24"/>
                  </w:rPr>
                </w:pPr>
              </w:p>
            </w:tc>
            <w:tc>
              <w:tcPr>
                <w:tcW w:w="1276" w:type="dxa"/>
                <w:vAlign w:val="bottom"/>
              </w:tcPr>
              <w:p>
                <w:pPr>
                  <w:overflowPunct w:val="0"/>
                  <w:ind w:right="284"/>
                  <w:jc w:val="right"/>
                  <w:textAlignment w:val="baseline"/>
                  <w:rPr>
                    <w:szCs w:val="24"/>
                  </w:rPr>
                </w:pPr>
              </w:p>
            </w:tc>
          </w:tr>
          <w:tr>
            <w:trPr>
              <w:trHeight w:hRule="exact" w:val="284"/>
            </w:trPr>
            <w:tc>
              <w:tcPr>
                <w:tcW w:w="709" w:type="dxa"/>
              </w:tcPr>
              <w:p>
                <w:pPr>
                  <w:overflowPunct w:val="0"/>
                  <w:jc w:val="center"/>
                  <w:textAlignment w:val="baseline"/>
                  <w:rPr>
                    <w:szCs w:val="24"/>
                  </w:rPr>
                </w:pPr>
                <w:r>
                  <w:rPr>
                    <w:szCs w:val="24"/>
                  </w:rPr>
                  <w:t>I.3.</w:t>
                </w:r>
              </w:p>
            </w:tc>
            <w:tc>
              <w:tcPr>
                <w:tcW w:w="6663" w:type="dxa"/>
              </w:tcPr>
              <w:p>
                <w:pPr>
                  <w:overflowPunct w:val="0"/>
                  <w:jc w:val="both"/>
                  <w:textAlignment w:val="baseline"/>
                  <w:rPr>
                    <w:szCs w:val="24"/>
                  </w:rPr>
                </w:pPr>
                <w:r>
                  <w:rPr>
                    <w:szCs w:val="24"/>
                  </w:rPr>
                  <w:t>Sumokėta tiekėjams (su PVM) (-)</w:t>
                </w:r>
              </w:p>
            </w:tc>
            <w:tc>
              <w:tcPr>
                <w:tcW w:w="1275" w:type="dxa"/>
                <w:vAlign w:val="bottom"/>
              </w:tcPr>
              <w:p>
                <w:pPr>
                  <w:overflowPunct w:val="0"/>
                  <w:ind w:right="284"/>
                  <w:jc w:val="right"/>
                  <w:textAlignment w:val="baseline"/>
                  <w:rPr>
                    <w:szCs w:val="24"/>
                  </w:rPr>
                </w:pPr>
              </w:p>
            </w:tc>
            <w:tc>
              <w:tcPr>
                <w:tcW w:w="1276" w:type="dxa"/>
                <w:vAlign w:val="bottom"/>
              </w:tcPr>
              <w:p>
                <w:pPr>
                  <w:overflowPunct w:val="0"/>
                  <w:ind w:right="284"/>
                  <w:jc w:val="right"/>
                  <w:textAlignment w:val="baseline"/>
                  <w:rPr>
                    <w:szCs w:val="24"/>
                  </w:rPr>
                </w:pPr>
              </w:p>
            </w:tc>
          </w:tr>
          <w:tr>
            <w:trPr>
              <w:trHeight w:hRule="exact" w:val="284"/>
            </w:trPr>
            <w:tc>
              <w:tcPr>
                <w:tcW w:w="709" w:type="dxa"/>
              </w:tcPr>
              <w:p>
                <w:pPr>
                  <w:overflowPunct w:val="0"/>
                  <w:jc w:val="center"/>
                  <w:textAlignment w:val="baseline"/>
                  <w:rPr>
                    <w:szCs w:val="24"/>
                  </w:rPr>
                </w:pPr>
                <w:r>
                  <w:rPr>
                    <w:szCs w:val="24"/>
                  </w:rPr>
                  <w:t>I.4.</w:t>
                </w:r>
              </w:p>
            </w:tc>
            <w:tc>
              <w:tcPr>
                <w:tcW w:w="6663" w:type="dxa"/>
              </w:tcPr>
              <w:p>
                <w:pPr>
                  <w:overflowPunct w:val="0"/>
                  <w:jc w:val="both"/>
                  <w:textAlignment w:val="baseline"/>
                  <w:rPr>
                    <w:szCs w:val="24"/>
                  </w:rPr>
                </w:pPr>
                <w:r>
                  <w:rPr>
                    <w:szCs w:val="24"/>
                  </w:rPr>
                  <w:t>Pinigų išmokos, susijusios su darbo santykiais (-)</w:t>
                </w:r>
              </w:p>
            </w:tc>
            <w:tc>
              <w:tcPr>
                <w:tcW w:w="1275" w:type="dxa"/>
                <w:vAlign w:val="bottom"/>
              </w:tcPr>
              <w:p>
                <w:pPr>
                  <w:overflowPunct w:val="0"/>
                  <w:ind w:right="284"/>
                  <w:jc w:val="right"/>
                  <w:textAlignment w:val="baseline"/>
                  <w:rPr>
                    <w:szCs w:val="24"/>
                  </w:rPr>
                </w:pPr>
              </w:p>
            </w:tc>
            <w:tc>
              <w:tcPr>
                <w:tcW w:w="1276" w:type="dxa"/>
                <w:vAlign w:val="bottom"/>
              </w:tcPr>
              <w:p>
                <w:pPr>
                  <w:overflowPunct w:val="0"/>
                  <w:ind w:right="284"/>
                  <w:jc w:val="right"/>
                  <w:textAlignment w:val="baseline"/>
                  <w:rPr>
                    <w:szCs w:val="24"/>
                  </w:rPr>
                </w:pPr>
              </w:p>
            </w:tc>
          </w:tr>
          <w:tr>
            <w:trPr>
              <w:trHeight w:hRule="exact" w:val="284"/>
            </w:trPr>
            <w:tc>
              <w:tcPr>
                <w:tcW w:w="709" w:type="dxa"/>
              </w:tcPr>
              <w:p>
                <w:pPr>
                  <w:overflowPunct w:val="0"/>
                  <w:jc w:val="center"/>
                  <w:textAlignment w:val="baseline"/>
                  <w:rPr>
                    <w:szCs w:val="24"/>
                  </w:rPr>
                </w:pPr>
                <w:r>
                  <w:rPr>
                    <w:szCs w:val="24"/>
                  </w:rPr>
                  <w:t>I.5.</w:t>
                </w:r>
              </w:p>
            </w:tc>
            <w:tc>
              <w:tcPr>
                <w:tcW w:w="6663" w:type="dxa"/>
              </w:tcPr>
              <w:p>
                <w:pPr>
                  <w:overflowPunct w:val="0"/>
                  <w:jc w:val="both"/>
                  <w:textAlignment w:val="baseline"/>
                  <w:rPr>
                    <w:szCs w:val="24"/>
                  </w:rPr>
                </w:pPr>
                <w:r>
                  <w:rPr>
                    <w:szCs w:val="24"/>
                  </w:rPr>
                  <w:t>Sumokėti į biudžetą mokesčiai (-)</w:t>
                </w:r>
              </w:p>
            </w:tc>
            <w:tc>
              <w:tcPr>
                <w:tcW w:w="1275" w:type="dxa"/>
                <w:vAlign w:val="bottom"/>
              </w:tcPr>
              <w:p>
                <w:pPr>
                  <w:overflowPunct w:val="0"/>
                  <w:ind w:right="284"/>
                  <w:jc w:val="right"/>
                  <w:textAlignment w:val="baseline"/>
                  <w:rPr>
                    <w:szCs w:val="24"/>
                  </w:rPr>
                </w:pPr>
              </w:p>
            </w:tc>
            <w:tc>
              <w:tcPr>
                <w:tcW w:w="1276" w:type="dxa"/>
                <w:vAlign w:val="bottom"/>
              </w:tcPr>
              <w:p>
                <w:pPr>
                  <w:overflowPunct w:val="0"/>
                  <w:ind w:right="284"/>
                  <w:jc w:val="right"/>
                  <w:textAlignment w:val="baseline"/>
                  <w:rPr>
                    <w:szCs w:val="24"/>
                  </w:rPr>
                </w:pPr>
              </w:p>
            </w:tc>
          </w:tr>
          <w:tr>
            <w:trPr>
              <w:trHeight w:hRule="exact" w:val="284"/>
            </w:trPr>
            <w:tc>
              <w:tcPr>
                <w:tcW w:w="709" w:type="dxa"/>
              </w:tcPr>
              <w:p>
                <w:pPr>
                  <w:overflowPunct w:val="0"/>
                  <w:jc w:val="center"/>
                  <w:textAlignment w:val="baseline"/>
                  <w:rPr>
                    <w:szCs w:val="24"/>
                  </w:rPr>
                </w:pPr>
                <w:r>
                  <w:rPr>
                    <w:szCs w:val="24"/>
                  </w:rPr>
                  <w:t>I.6.</w:t>
                </w:r>
              </w:p>
            </w:tc>
            <w:tc>
              <w:tcPr>
                <w:tcW w:w="6663" w:type="dxa"/>
              </w:tcPr>
              <w:p>
                <w:pPr>
                  <w:tabs>
                    <w:tab w:val="center" w:pos="4153"/>
                    <w:tab w:val="right" w:pos="8306"/>
                  </w:tabs>
                  <w:overflowPunct w:val="0"/>
                  <w:jc w:val="both"/>
                  <w:textAlignment w:val="baseline"/>
                  <w:rPr>
                    <w:szCs w:val="24"/>
                  </w:rPr>
                </w:pPr>
                <w:r>
                  <w:rPr>
                    <w:szCs w:val="24"/>
                  </w:rPr>
                  <w:t xml:space="preserve">Kitos išmokos  (-)</w:t>
                </w:r>
              </w:p>
            </w:tc>
            <w:tc>
              <w:tcPr>
                <w:tcW w:w="1275" w:type="dxa"/>
                <w:vAlign w:val="bottom"/>
              </w:tcPr>
              <w:p>
                <w:pPr>
                  <w:overflowPunct w:val="0"/>
                  <w:ind w:right="284"/>
                  <w:jc w:val="right"/>
                  <w:textAlignment w:val="baseline"/>
                  <w:rPr>
                    <w:szCs w:val="24"/>
                  </w:rPr>
                </w:pPr>
              </w:p>
            </w:tc>
            <w:tc>
              <w:tcPr>
                <w:tcW w:w="1276" w:type="dxa"/>
                <w:vAlign w:val="bottom"/>
              </w:tcPr>
              <w:p>
                <w:pPr>
                  <w:overflowPunct w:val="0"/>
                  <w:ind w:right="284"/>
                  <w:jc w:val="right"/>
                  <w:textAlignment w:val="baseline"/>
                  <w:rPr>
                    <w:szCs w:val="24"/>
                  </w:rPr>
                </w:pPr>
              </w:p>
            </w:tc>
          </w:tr>
          <w:tr>
            <w:trPr>
              <w:trHeight w:hRule="exact" w:val="284"/>
            </w:trPr>
            <w:tc>
              <w:tcPr>
                <w:tcW w:w="709" w:type="dxa"/>
                <w:vAlign w:val="center"/>
              </w:tcPr>
              <w:p>
                <w:pPr>
                  <w:overflowPunct w:val="0"/>
                  <w:jc w:val="center"/>
                  <w:textAlignment w:val="baseline"/>
                  <w:rPr>
                    <w:szCs w:val="24"/>
                  </w:rPr>
                </w:pPr>
              </w:p>
            </w:tc>
            <w:tc>
              <w:tcPr>
                <w:tcW w:w="6663" w:type="dxa"/>
                <w:vAlign w:val="center"/>
              </w:tcPr>
              <w:p>
                <w:pPr>
                  <w:overflowPunct w:val="0"/>
                  <w:jc w:val="both"/>
                  <w:textAlignment w:val="baseline"/>
                  <w:rPr>
                    <w:b/>
                    <w:szCs w:val="24"/>
                    <w:u w:val="single"/>
                  </w:rPr>
                </w:pPr>
                <w:r>
                  <w:rPr>
                    <w:b/>
                    <w:szCs w:val="24"/>
                    <w:u w:val="single"/>
                  </w:rPr>
                  <w:t>Grynieji pagrindinės veiklos pinigų srautai</w:t>
                </w:r>
              </w:p>
            </w:tc>
            <w:tc>
              <w:tcPr>
                <w:tcW w:w="1275" w:type="dxa"/>
                <w:vAlign w:val="bottom"/>
              </w:tcPr>
              <w:p>
                <w:pPr>
                  <w:overflowPunct w:val="0"/>
                  <w:ind w:right="284"/>
                  <w:jc w:val="right"/>
                  <w:textAlignment w:val="baseline"/>
                  <w:rPr>
                    <w:b/>
                    <w:szCs w:val="24"/>
                  </w:rPr>
                </w:pPr>
              </w:p>
            </w:tc>
            <w:tc>
              <w:tcPr>
                <w:tcW w:w="1276" w:type="dxa"/>
                <w:vAlign w:val="bottom"/>
              </w:tcPr>
              <w:p>
                <w:pPr>
                  <w:overflowPunct w:val="0"/>
                  <w:ind w:right="284"/>
                  <w:jc w:val="right"/>
                  <w:textAlignment w:val="baseline"/>
                  <w:rPr>
                    <w:b/>
                    <w:szCs w:val="24"/>
                  </w:rPr>
                </w:pPr>
              </w:p>
            </w:tc>
          </w:tr>
          <w:tr>
            <w:trPr>
              <w:trHeight w:hRule="exact" w:val="284"/>
            </w:trPr>
            <w:tc>
              <w:tcPr>
                <w:tcW w:w="709" w:type="dxa"/>
              </w:tcPr>
              <w:p>
                <w:pPr>
                  <w:overflowPunct w:val="0"/>
                  <w:jc w:val="center"/>
                  <w:textAlignment w:val="baseline"/>
                  <w:rPr>
                    <w:b/>
                    <w:szCs w:val="24"/>
                  </w:rPr>
                </w:pPr>
                <w:r>
                  <w:rPr>
                    <w:b/>
                    <w:szCs w:val="24"/>
                  </w:rPr>
                  <w:t>II.</w:t>
                </w:r>
              </w:p>
            </w:tc>
            <w:tc>
              <w:tcPr>
                <w:tcW w:w="6663" w:type="dxa"/>
              </w:tcPr>
              <w:p>
                <w:pPr>
                  <w:overflowPunct w:val="0"/>
                  <w:jc w:val="both"/>
                  <w:textAlignment w:val="baseline"/>
                  <w:rPr>
                    <w:b/>
                    <w:szCs w:val="24"/>
                  </w:rPr>
                </w:pPr>
                <w:r>
                  <w:rPr>
                    <w:b/>
                    <w:szCs w:val="24"/>
                  </w:rPr>
                  <w:t>Investicinės veiklos pinigų srautai</w:t>
                </w:r>
              </w:p>
            </w:tc>
            <w:tc>
              <w:tcPr>
                <w:tcW w:w="1275" w:type="dxa"/>
                <w:vAlign w:val="bottom"/>
              </w:tcPr>
              <w:p>
                <w:pPr>
                  <w:overflowPunct w:val="0"/>
                  <w:ind w:right="284"/>
                  <w:jc w:val="right"/>
                  <w:textAlignment w:val="baseline"/>
                  <w:rPr>
                    <w:szCs w:val="24"/>
                  </w:rPr>
                </w:pPr>
              </w:p>
            </w:tc>
            <w:tc>
              <w:tcPr>
                <w:tcW w:w="1276" w:type="dxa"/>
                <w:vAlign w:val="bottom"/>
              </w:tcPr>
              <w:p>
                <w:pPr>
                  <w:overflowPunct w:val="0"/>
                  <w:ind w:right="284"/>
                  <w:jc w:val="right"/>
                  <w:textAlignment w:val="baseline"/>
                  <w:rPr>
                    <w:szCs w:val="24"/>
                  </w:rPr>
                </w:pPr>
              </w:p>
            </w:tc>
          </w:tr>
          <w:tr>
            <w:trPr>
              <w:trHeight w:hRule="exact" w:val="284"/>
            </w:trPr>
            <w:tc>
              <w:tcPr>
                <w:tcW w:w="709" w:type="dxa"/>
              </w:tcPr>
              <w:p>
                <w:pPr>
                  <w:overflowPunct w:val="0"/>
                  <w:jc w:val="center"/>
                  <w:textAlignment w:val="baseline"/>
                  <w:rPr>
                    <w:b/>
                    <w:szCs w:val="24"/>
                  </w:rPr>
                </w:pPr>
                <w:r>
                  <w:rPr>
                    <w:szCs w:val="24"/>
                  </w:rPr>
                  <w:t>II.1.</w:t>
                </w:r>
              </w:p>
            </w:tc>
            <w:tc>
              <w:tcPr>
                <w:tcW w:w="6663" w:type="dxa"/>
              </w:tcPr>
              <w:p>
                <w:pPr>
                  <w:overflowPunct w:val="0"/>
                  <w:jc w:val="both"/>
                  <w:textAlignment w:val="baseline"/>
                  <w:rPr>
                    <w:b/>
                    <w:szCs w:val="24"/>
                  </w:rPr>
                </w:pPr>
                <w:r>
                  <w:rPr>
                    <w:szCs w:val="24"/>
                  </w:rPr>
                  <w:t>Ilgalaikio turto (išskyrus investicijas) įsigijimas (-)</w:t>
                </w:r>
              </w:p>
            </w:tc>
            <w:tc>
              <w:tcPr>
                <w:tcW w:w="1275" w:type="dxa"/>
                <w:vAlign w:val="bottom"/>
              </w:tcPr>
              <w:p>
                <w:pPr>
                  <w:overflowPunct w:val="0"/>
                  <w:ind w:right="284"/>
                  <w:jc w:val="right"/>
                  <w:textAlignment w:val="baseline"/>
                  <w:rPr>
                    <w:szCs w:val="24"/>
                  </w:rPr>
                </w:pPr>
              </w:p>
            </w:tc>
            <w:tc>
              <w:tcPr>
                <w:tcW w:w="1276" w:type="dxa"/>
                <w:vAlign w:val="bottom"/>
              </w:tcPr>
              <w:p>
                <w:pPr>
                  <w:overflowPunct w:val="0"/>
                  <w:ind w:right="284"/>
                  <w:jc w:val="right"/>
                  <w:textAlignment w:val="baseline"/>
                  <w:rPr>
                    <w:szCs w:val="24"/>
                  </w:rPr>
                </w:pPr>
              </w:p>
            </w:tc>
          </w:tr>
          <w:tr>
            <w:trPr>
              <w:trHeight w:hRule="exact" w:val="284"/>
            </w:trPr>
            <w:tc>
              <w:tcPr>
                <w:tcW w:w="709" w:type="dxa"/>
              </w:tcPr>
              <w:p>
                <w:pPr>
                  <w:overflowPunct w:val="0"/>
                  <w:jc w:val="center"/>
                  <w:textAlignment w:val="baseline"/>
                  <w:rPr>
                    <w:b/>
                    <w:szCs w:val="24"/>
                  </w:rPr>
                </w:pPr>
                <w:r>
                  <w:rPr>
                    <w:szCs w:val="24"/>
                  </w:rPr>
                  <w:t>II.2.</w:t>
                </w:r>
              </w:p>
            </w:tc>
            <w:tc>
              <w:tcPr>
                <w:tcW w:w="6663" w:type="dxa"/>
              </w:tcPr>
              <w:p>
                <w:pPr>
                  <w:overflowPunct w:val="0"/>
                  <w:jc w:val="both"/>
                  <w:textAlignment w:val="baseline"/>
                  <w:rPr>
                    <w:b/>
                    <w:szCs w:val="24"/>
                  </w:rPr>
                </w:pPr>
                <w:r>
                  <w:rPr>
                    <w:szCs w:val="24"/>
                  </w:rPr>
                  <w:t>Ilgalaikio turto (išskyrus investicijas) perleidimas (+)</w:t>
                </w:r>
              </w:p>
            </w:tc>
            <w:tc>
              <w:tcPr>
                <w:tcW w:w="1275" w:type="dxa"/>
                <w:vAlign w:val="bottom"/>
              </w:tcPr>
              <w:p>
                <w:pPr>
                  <w:overflowPunct w:val="0"/>
                  <w:ind w:right="284"/>
                  <w:jc w:val="right"/>
                  <w:textAlignment w:val="baseline"/>
                  <w:rPr>
                    <w:szCs w:val="24"/>
                  </w:rPr>
                </w:pPr>
              </w:p>
            </w:tc>
            <w:tc>
              <w:tcPr>
                <w:tcW w:w="1276" w:type="dxa"/>
                <w:vAlign w:val="bottom"/>
              </w:tcPr>
              <w:p>
                <w:pPr>
                  <w:overflowPunct w:val="0"/>
                  <w:ind w:right="284"/>
                  <w:jc w:val="right"/>
                  <w:textAlignment w:val="baseline"/>
                  <w:rPr>
                    <w:szCs w:val="24"/>
                  </w:rPr>
                </w:pPr>
              </w:p>
            </w:tc>
          </w:tr>
          <w:tr>
            <w:trPr>
              <w:trHeight w:hRule="exact" w:val="284"/>
            </w:trPr>
            <w:tc>
              <w:tcPr>
                <w:tcW w:w="709" w:type="dxa"/>
              </w:tcPr>
              <w:p>
                <w:pPr>
                  <w:overflowPunct w:val="0"/>
                  <w:jc w:val="center"/>
                  <w:textAlignment w:val="baseline"/>
                  <w:rPr>
                    <w:b/>
                    <w:szCs w:val="24"/>
                  </w:rPr>
                </w:pPr>
                <w:r>
                  <w:rPr>
                    <w:szCs w:val="24"/>
                  </w:rPr>
                  <w:t>II.3.</w:t>
                </w:r>
              </w:p>
            </w:tc>
            <w:tc>
              <w:tcPr>
                <w:tcW w:w="6663" w:type="dxa"/>
              </w:tcPr>
              <w:p>
                <w:pPr>
                  <w:overflowPunct w:val="0"/>
                  <w:jc w:val="both"/>
                  <w:textAlignment w:val="baseline"/>
                  <w:rPr>
                    <w:b/>
                    <w:szCs w:val="24"/>
                  </w:rPr>
                </w:pPr>
                <w:r>
                  <w:rPr>
                    <w:szCs w:val="24"/>
                  </w:rPr>
                  <w:t>Ilgalaikių investicijų įsigijimas (-)</w:t>
                </w:r>
              </w:p>
            </w:tc>
            <w:tc>
              <w:tcPr>
                <w:tcW w:w="1275" w:type="dxa"/>
                <w:vAlign w:val="bottom"/>
              </w:tcPr>
              <w:p>
                <w:pPr>
                  <w:overflowPunct w:val="0"/>
                  <w:ind w:right="284"/>
                  <w:jc w:val="right"/>
                  <w:textAlignment w:val="baseline"/>
                  <w:rPr>
                    <w:szCs w:val="24"/>
                  </w:rPr>
                </w:pPr>
              </w:p>
            </w:tc>
            <w:tc>
              <w:tcPr>
                <w:tcW w:w="1276" w:type="dxa"/>
                <w:vAlign w:val="bottom"/>
              </w:tcPr>
              <w:p>
                <w:pPr>
                  <w:overflowPunct w:val="0"/>
                  <w:ind w:right="284"/>
                  <w:jc w:val="right"/>
                  <w:textAlignment w:val="baseline"/>
                  <w:rPr>
                    <w:szCs w:val="24"/>
                  </w:rPr>
                </w:pPr>
              </w:p>
            </w:tc>
          </w:tr>
          <w:tr>
            <w:trPr>
              <w:trHeight w:hRule="exact" w:val="284"/>
            </w:trPr>
            <w:tc>
              <w:tcPr>
                <w:tcW w:w="709" w:type="dxa"/>
              </w:tcPr>
              <w:p>
                <w:pPr>
                  <w:overflowPunct w:val="0"/>
                  <w:jc w:val="center"/>
                  <w:textAlignment w:val="baseline"/>
                  <w:rPr>
                    <w:b/>
                    <w:szCs w:val="24"/>
                  </w:rPr>
                </w:pPr>
                <w:r>
                  <w:rPr>
                    <w:szCs w:val="24"/>
                  </w:rPr>
                  <w:t>II.4.</w:t>
                </w:r>
              </w:p>
            </w:tc>
            <w:tc>
              <w:tcPr>
                <w:tcW w:w="6663" w:type="dxa"/>
              </w:tcPr>
              <w:p>
                <w:pPr>
                  <w:overflowPunct w:val="0"/>
                  <w:jc w:val="both"/>
                  <w:textAlignment w:val="baseline"/>
                  <w:rPr>
                    <w:b/>
                    <w:szCs w:val="24"/>
                  </w:rPr>
                </w:pPr>
                <w:r>
                  <w:rPr>
                    <w:szCs w:val="24"/>
                  </w:rPr>
                  <w:t>Ilgalaikių investicijų perleidimas (+)</w:t>
                </w:r>
              </w:p>
            </w:tc>
            <w:tc>
              <w:tcPr>
                <w:tcW w:w="1275" w:type="dxa"/>
                <w:vAlign w:val="bottom"/>
              </w:tcPr>
              <w:p>
                <w:pPr>
                  <w:overflowPunct w:val="0"/>
                  <w:ind w:right="284"/>
                  <w:jc w:val="right"/>
                  <w:textAlignment w:val="baseline"/>
                  <w:rPr>
                    <w:szCs w:val="24"/>
                  </w:rPr>
                </w:pPr>
              </w:p>
            </w:tc>
            <w:tc>
              <w:tcPr>
                <w:tcW w:w="1276" w:type="dxa"/>
                <w:vAlign w:val="bottom"/>
              </w:tcPr>
              <w:p>
                <w:pPr>
                  <w:overflowPunct w:val="0"/>
                  <w:ind w:right="284"/>
                  <w:jc w:val="right"/>
                  <w:textAlignment w:val="baseline"/>
                  <w:rPr>
                    <w:szCs w:val="24"/>
                  </w:rPr>
                </w:pPr>
              </w:p>
            </w:tc>
          </w:tr>
          <w:tr>
            <w:trPr>
              <w:trHeight w:hRule="exact" w:val="284"/>
            </w:trPr>
            <w:tc>
              <w:tcPr>
                <w:tcW w:w="709" w:type="dxa"/>
              </w:tcPr>
              <w:p>
                <w:pPr>
                  <w:overflowPunct w:val="0"/>
                  <w:jc w:val="center"/>
                  <w:textAlignment w:val="baseline"/>
                  <w:rPr>
                    <w:szCs w:val="24"/>
                  </w:rPr>
                </w:pPr>
                <w:r>
                  <w:rPr>
                    <w:szCs w:val="24"/>
                  </w:rPr>
                  <w:t>II.5.</w:t>
                </w:r>
              </w:p>
            </w:tc>
            <w:tc>
              <w:tcPr>
                <w:tcW w:w="6663" w:type="dxa"/>
              </w:tcPr>
              <w:p>
                <w:pPr>
                  <w:overflowPunct w:val="0"/>
                  <w:jc w:val="both"/>
                  <w:textAlignment w:val="baseline"/>
                  <w:rPr>
                    <w:szCs w:val="24"/>
                  </w:rPr>
                </w:pPr>
                <w:r>
                  <w:rPr>
                    <w:szCs w:val="24"/>
                  </w:rPr>
                  <w:t>Gauti dividendai, palūkanos (+)</w:t>
                </w:r>
              </w:p>
            </w:tc>
            <w:tc>
              <w:tcPr>
                <w:tcW w:w="1275" w:type="dxa"/>
                <w:vAlign w:val="bottom"/>
              </w:tcPr>
              <w:p>
                <w:pPr>
                  <w:overflowPunct w:val="0"/>
                  <w:ind w:right="284"/>
                  <w:jc w:val="right"/>
                  <w:textAlignment w:val="baseline"/>
                  <w:rPr>
                    <w:szCs w:val="24"/>
                  </w:rPr>
                </w:pPr>
              </w:p>
            </w:tc>
            <w:tc>
              <w:tcPr>
                <w:tcW w:w="1276" w:type="dxa"/>
                <w:vAlign w:val="bottom"/>
              </w:tcPr>
              <w:p>
                <w:pPr>
                  <w:overflowPunct w:val="0"/>
                  <w:ind w:right="284"/>
                  <w:jc w:val="right"/>
                  <w:textAlignment w:val="baseline"/>
                  <w:rPr>
                    <w:szCs w:val="24"/>
                  </w:rPr>
                </w:pPr>
              </w:p>
            </w:tc>
          </w:tr>
          <w:tr>
            <w:trPr>
              <w:trHeight w:hRule="exact" w:val="284"/>
            </w:trPr>
            <w:tc>
              <w:tcPr>
                <w:tcW w:w="709" w:type="dxa"/>
              </w:tcPr>
              <w:p>
                <w:pPr>
                  <w:overflowPunct w:val="0"/>
                  <w:jc w:val="center"/>
                  <w:textAlignment w:val="baseline"/>
                  <w:rPr>
                    <w:b/>
                    <w:szCs w:val="24"/>
                  </w:rPr>
                </w:pPr>
                <w:r>
                  <w:rPr>
                    <w:szCs w:val="24"/>
                  </w:rPr>
                  <w:t>II.6.</w:t>
                </w:r>
              </w:p>
            </w:tc>
            <w:tc>
              <w:tcPr>
                <w:tcW w:w="6663" w:type="dxa"/>
              </w:tcPr>
              <w:p>
                <w:pPr>
                  <w:overflowPunct w:val="0"/>
                  <w:jc w:val="both"/>
                  <w:textAlignment w:val="baseline"/>
                  <w:rPr>
                    <w:b/>
                    <w:szCs w:val="24"/>
                  </w:rPr>
                </w:pPr>
                <w:r>
                  <w:rPr>
                    <w:szCs w:val="24"/>
                  </w:rPr>
                  <w:t>Kiti investicinės veiklos pinigų srautų padidėjimai (+)</w:t>
                </w:r>
              </w:p>
            </w:tc>
            <w:tc>
              <w:tcPr>
                <w:tcW w:w="1275" w:type="dxa"/>
                <w:vAlign w:val="bottom"/>
              </w:tcPr>
              <w:p>
                <w:pPr>
                  <w:overflowPunct w:val="0"/>
                  <w:ind w:right="284"/>
                  <w:jc w:val="right"/>
                  <w:textAlignment w:val="baseline"/>
                  <w:rPr>
                    <w:szCs w:val="24"/>
                  </w:rPr>
                </w:pPr>
              </w:p>
            </w:tc>
            <w:tc>
              <w:tcPr>
                <w:tcW w:w="1276" w:type="dxa"/>
                <w:vAlign w:val="bottom"/>
              </w:tcPr>
              <w:p>
                <w:pPr>
                  <w:overflowPunct w:val="0"/>
                  <w:ind w:right="284"/>
                  <w:jc w:val="right"/>
                  <w:textAlignment w:val="baseline"/>
                  <w:rPr>
                    <w:szCs w:val="24"/>
                  </w:rPr>
                </w:pPr>
              </w:p>
            </w:tc>
          </w:tr>
          <w:tr>
            <w:trPr>
              <w:trHeight w:hRule="exact" w:val="284"/>
            </w:trPr>
            <w:tc>
              <w:tcPr>
                <w:tcW w:w="709" w:type="dxa"/>
              </w:tcPr>
              <w:p>
                <w:pPr>
                  <w:overflowPunct w:val="0"/>
                  <w:jc w:val="center"/>
                  <w:textAlignment w:val="baseline"/>
                  <w:rPr>
                    <w:b/>
                    <w:szCs w:val="24"/>
                  </w:rPr>
                </w:pPr>
                <w:r>
                  <w:rPr>
                    <w:szCs w:val="24"/>
                  </w:rPr>
                  <w:t>II.7.</w:t>
                </w:r>
              </w:p>
            </w:tc>
            <w:tc>
              <w:tcPr>
                <w:tcW w:w="6663" w:type="dxa"/>
              </w:tcPr>
              <w:p>
                <w:pPr>
                  <w:overflowPunct w:val="0"/>
                  <w:jc w:val="both"/>
                  <w:textAlignment w:val="baseline"/>
                  <w:rPr>
                    <w:b/>
                    <w:szCs w:val="24"/>
                  </w:rPr>
                </w:pPr>
                <w:r>
                  <w:rPr>
                    <w:szCs w:val="24"/>
                  </w:rPr>
                  <w:t>Kiti investicinės veiklos pinigų srautų sumažėjimai (-)</w:t>
                </w:r>
              </w:p>
            </w:tc>
            <w:tc>
              <w:tcPr>
                <w:tcW w:w="1275" w:type="dxa"/>
                <w:vAlign w:val="bottom"/>
              </w:tcPr>
              <w:p>
                <w:pPr>
                  <w:overflowPunct w:val="0"/>
                  <w:ind w:right="284"/>
                  <w:jc w:val="right"/>
                  <w:textAlignment w:val="baseline"/>
                  <w:rPr>
                    <w:szCs w:val="24"/>
                  </w:rPr>
                </w:pPr>
              </w:p>
            </w:tc>
            <w:tc>
              <w:tcPr>
                <w:tcW w:w="1276" w:type="dxa"/>
                <w:vAlign w:val="bottom"/>
              </w:tcPr>
              <w:p>
                <w:pPr>
                  <w:overflowPunct w:val="0"/>
                  <w:ind w:right="284"/>
                  <w:jc w:val="right"/>
                  <w:textAlignment w:val="baseline"/>
                  <w:rPr>
                    <w:szCs w:val="24"/>
                  </w:rPr>
                </w:pPr>
              </w:p>
            </w:tc>
          </w:tr>
          <w:tr>
            <w:trPr>
              <w:trHeight w:hRule="exact" w:val="284"/>
            </w:trPr>
            <w:tc>
              <w:tcPr>
                <w:tcW w:w="709" w:type="dxa"/>
              </w:tcPr>
              <w:p>
                <w:pPr>
                  <w:overflowPunct w:val="0"/>
                  <w:jc w:val="center"/>
                  <w:textAlignment w:val="baseline"/>
                  <w:rPr>
                    <w:b/>
                    <w:szCs w:val="24"/>
                  </w:rPr>
                </w:pPr>
              </w:p>
            </w:tc>
            <w:tc>
              <w:tcPr>
                <w:tcW w:w="6663" w:type="dxa"/>
              </w:tcPr>
              <w:p>
                <w:pPr>
                  <w:overflowPunct w:val="0"/>
                  <w:jc w:val="both"/>
                  <w:textAlignment w:val="baseline"/>
                  <w:rPr>
                    <w:b/>
                    <w:szCs w:val="24"/>
                    <w:u w:val="single"/>
                  </w:rPr>
                </w:pPr>
                <w:r>
                  <w:rPr>
                    <w:b/>
                    <w:szCs w:val="24"/>
                    <w:u w:val="single"/>
                  </w:rPr>
                  <w:t>Grynieji investicinės veiklos pinigų srautai</w:t>
                </w:r>
              </w:p>
            </w:tc>
            <w:tc>
              <w:tcPr>
                <w:tcW w:w="1275" w:type="dxa"/>
                <w:vAlign w:val="bottom"/>
              </w:tcPr>
              <w:p>
                <w:pPr>
                  <w:overflowPunct w:val="0"/>
                  <w:ind w:right="284"/>
                  <w:jc w:val="right"/>
                  <w:textAlignment w:val="baseline"/>
                  <w:rPr>
                    <w:b/>
                    <w:szCs w:val="24"/>
                  </w:rPr>
                </w:pPr>
              </w:p>
            </w:tc>
            <w:tc>
              <w:tcPr>
                <w:tcW w:w="1276" w:type="dxa"/>
                <w:vAlign w:val="bottom"/>
              </w:tcPr>
              <w:p>
                <w:pPr>
                  <w:overflowPunct w:val="0"/>
                  <w:ind w:right="284"/>
                  <w:jc w:val="right"/>
                  <w:textAlignment w:val="baseline"/>
                  <w:rPr>
                    <w:b/>
                    <w:szCs w:val="24"/>
                  </w:rPr>
                </w:pPr>
              </w:p>
            </w:tc>
          </w:tr>
          <w:tr>
            <w:trPr>
              <w:trHeight w:hRule="exact" w:val="284"/>
            </w:trPr>
            <w:tc>
              <w:tcPr>
                <w:tcW w:w="709" w:type="dxa"/>
              </w:tcPr>
              <w:p>
                <w:pPr>
                  <w:overflowPunct w:val="0"/>
                  <w:jc w:val="center"/>
                  <w:textAlignment w:val="baseline"/>
                  <w:rPr>
                    <w:b/>
                    <w:szCs w:val="24"/>
                  </w:rPr>
                </w:pPr>
                <w:r>
                  <w:rPr>
                    <w:b/>
                    <w:szCs w:val="24"/>
                  </w:rPr>
                  <w:t>III.</w:t>
                </w:r>
              </w:p>
            </w:tc>
            <w:tc>
              <w:tcPr>
                <w:tcW w:w="6663" w:type="dxa"/>
              </w:tcPr>
              <w:p>
                <w:pPr>
                  <w:overflowPunct w:val="0"/>
                  <w:jc w:val="both"/>
                  <w:textAlignment w:val="baseline"/>
                  <w:rPr>
                    <w:b/>
                    <w:szCs w:val="24"/>
                  </w:rPr>
                </w:pPr>
                <w:r>
                  <w:rPr>
                    <w:b/>
                    <w:szCs w:val="24"/>
                  </w:rPr>
                  <w:t>Finansinės veiklos pinigų srautai</w:t>
                </w:r>
              </w:p>
            </w:tc>
            <w:tc>
              <w:tcPr>
                <w:tcW w:w="1275" w:type="dxa"/>
                <w:vAlign w:val="bottom"/>
              </w:tcPr>
              <w:p>
                <w:pPr>
                  <w:overflowPunct w:val="0"/>
                  <w:ind w:right="284"/>
                  <w:jc w:val="right"/>
                  <w:textAlignment w:val="baseline"/>
                  <w:rPr>
                    <w:szCs w:val="24"/>
                  </w:rPr>
                </w:pPr>
              </w:p>
            </w:tc>
            <w:tc>
              <w:tcPr>
                <w:tcW w:w="1276" w:type="dxa"/>
                <w:vAlign w:val="bottom"/>
              </w:tcPr>
              <w:p>
                <w:pPr>
                  <w:overflowPunct w:val="0"/>
                  <w:ind w:right="284"/>
                  <w:jc w:val="right"/>
                  <w:textAlignment w:val="baseline"/>
                  <w:rPr>
                    <w:szCs w:val="24"/>
                  </w:rPr>
                </w:pPr>
              </w:p>
            </w:tc>
          </w:tr>
          <w:tr>
            <w:trPr>
              <w:trHeight w:hRule="exact" w:val="284"/>
            </w:trPr>
            <w:tc>
              <w:tcPr>
                <w:tcW w:w="709" w:type="dxa"/>
              </w:tcPr>
              <w:p>
                <w:pPr>
                  <w:overflowPunct w:val="0"/>
                  <w:jc w:val="center"/>
                  <w:textAlignment w:val="baseline"/>
                  <w:rPr>
                    <w:szCs w:val="24"/>
                  </w:rPr>
                </w:pPr>
                <w:r>
                  <w:rPr>
                    <w:szCs w:val="24"/>
                  </w:rPr>
                  <w:t>III.1.</w:t>
                </w:r>
              </w:p>
            </w:tc>
            <w:tc>
              <w:tcPr>
                <w:tcW w:w="6663" w:type="dxa"/>
              </w:tcPr>
              <w:p>
                <w:pPr>
                  <w:overflowPunct w:val="0"/>
                  <w:jc w:val="both"/>
                  <w:textAlignment w:val="baseline"/>
                  <w:rPr>
                    <w:szCs w:val="24"/>
                  </w:rPr>
                </w:pPr>
                <w:r>
                  <w:rPr>
                    <w:szCs w:val="24"/>
                  </w:rPr>
                  <w:t>Ūkininko ir jo partnerių įnašai (+)</w:t>
                </w:r>
              </w:p>
            </w:tc>
            <w:tc>
              <w:tcPr>
                <w:tcW w:w="1275" w:type="dxa"/>
                <w:vAlign w:val="bottom"/>
              </w:tcPr>
              <w:p>
                <w:pPr>
                  <w:overflowPunct w:val="0"/>
                  <w:ind w:right="284"/>
                  <w:jc w:val="right"/>
                  <w:textAlignment w:val="baseline"/>
                  <w:rPr>
                    <w:szCs w:val="24"/>
                  </w:rPr>
                </w:pPr>
              </w:p>
            </w:tc>
            <w:tc>
              <w:tcPr>
                <w:tcW w:w="1276" w:type="dxa"/>
                <w:vAlign w:val="bottom"/>
              </w:tcPr>
              <w:p>
                <w:pPr>
                  <w:overflowPunct w:val="0"/>
                  <w:ind w:right="284"/>
                  <w:jc w:val="right"/>
                  <w:textAlignment w:val="baseline"/>
                  <w:rPr>
                    <w:szCs w:val="24"/>
                  </w:rPr>
                </w:pPr>
              </w:p>
            </w:tc>
          </w:tr>
          <w:tr>
            <w:trPr>
              <w:trHeight w:hRule="exact" w:val="284"/>
            </w:trPr>
            <w:tc>
              <w:tcPr>
                <w:tcW w:w="709" w:type="dxa"/>
              </w:tcPr>
              <w:p>
                <w:pPr>
                  <w:overflowPunct w:val="0"/>
                  <w:jc w:val="center"/>
                  <w:textAlignment w:val="baseline"/>
                  <w:rPr>
                    <w:szCs w:val="24"/>
                  </w:rPr>
                </w:pPr>
                <w:r>
                  <w:rPr>
                    <w:szCs w:val="24"/>
                  </w:rPr>
                  <w:t>II.2.</w:t>
                </w:r>
              </w:p>
            </w:tc>
            <w:tc>
              <w:tcPr>
                <w:tcW w:w="6663" w:type="dxa"/>
              </w:tcPr>
              <w:p>
                <w:pPr>
                  <w:overflowPunct w:val="0"/>
                  <w:jc w:val="both"/>
                  <w:textAlignment w:val="baseline"/>
                  <w:rPr>
                    <w:szCs w:val="24"/>
                  </w:rPr>
                </w:pPr>
                <w:r>
                  <w:rPr>
                    <w:szCs w:val="24"/>
                  </w:rPr>
                  <w:t>Pinigų išmokėjimas ūkininkui ir jo partneriams (-)</w:t>
                </w:r>
              </w:p>
            </w:tc>
            <w:tc>
              <w:tcPr>
                <w:tcW w:w="1275" w:type="dxa"/>
                <w:vAlign w:val="bottom"/>
              </w:tcPr>
              <w:p>
                <w:pPr>
                  <w:overflowPunct w:val="0"/>
                  <w:ind w:right="284"/>
                  <w:jc w:val="right"/>
                  <w:textAlignment w:val="baseline"/>
                  <w:rPr>
                    <w:szCs w:val="24"/>
                  </w:rPr>
                </w:pPr>
              </w:p>
            </w:tc>
            <w:tc>
              <w:tcPr>
                <w:tcW w:w="1276" w:type="dxa"/>
                <w:vAlign w:val="bottom"/>
              </w:tcPr>
              <w:p>
                <w:pPr>
                  <w:overflowPunct w:val="0"/>
                  <w:ind w:right="284"/>
                  <w:jc w:val="right"/>
                  <w:textAlignment w:val="baseline"/>
                  <w:rPr>
                    <w:szCs w:val="24"/>
                  </w:rPr>
                </w:pPr>
              </w:p>
            </w:tc>
          </w:tr>
          <w:tr>
            <w:trPr>
              <w:trHeight w:hRule="exact" w:val="284"/>
            </w:trPr>
            <w:tc>
              <w:tcPr>
                <w:tcW w:w="709" w:type="dxa"/>
              </w:tcPr>
              <w:p>
                <w:pPr>
                  <w:overflowPunct w:val="0"/>
                  <w:jc w:val="center"/>
                  <w:textAlignment w:val="baseline"/>
                  <w:rPr>
                    <w:szCs w:val="24"/>
                  </w:rPr>
                </w:pPr>
                <w:r>
                  <w:rPr>
                    <w:szCs w:val="24"/>
                  </w:rPr>
                  <w:t>III.3.</w:t>
                </w:r>
              </w:p>
            </w:tc>
            <w:tc>
              <w:tcPr>
                <w:tcW w:w="6663" w:type="dxa"/>
              </w:tcPr>
              <w:p>
                <w:pPr>
                  <w:overflowPunct w:val="0"/>
                  <w:jc w:val="both"/>
                  <w:textAlignment w:val="baseline"/>
                  <w:rPr>
                    <w:szCs w:val="24"/>
                  </w:rPr>
                </w:pPr>
                <w:r>
                  <w:rPr>
                    <w:szCs w:val="24"/>
                  </w:rPr>
                  <w:t>Paskolų gavimas (+)</w:t>
                </w:r>
              </w:p>
            </w:tc>
            <w:tc>
              <w:tcPr>
                <w:tcW w:w="1275" w:type="dxa"/>
                <w:vAlign w:val="bottom"/>
              </w:tcPr>
              <w:p>
                <w:pPr>
                  <w:overflowPunct w:val="0"/>
                  <w:ind w:right="284"/>
                  <w:jc w:val="right"/>
                  <w:textAlignment w:val="baseline"/>
                  <w:rPr>
                    <w:szCs w:val="24"/>
                  </w:rPr>
                </w:pPr>
              </w:p>
            </w:tc>
            <w:tc>
              <w:tcPr>
                <w:tcW w:w="1276" w:type="dxa"/>
                <w:vAlign w:val="bottom"/>
              </w:tcPr>
              <w:p>
                <w:pPr>
                  <w:overflowPunct w:val="0"/>
                  <w:ind w:right="284"/>
                  <w:jc w:val="right"/>
                  <w:textAlignment w:val="baseline"/>
                  <w:rPr>
                    <w:szCs w:val="24"/>
                  </w:rPr>
                </w:pPr>
              </w:p>
            </w:tc>
          </w:tr>
          <w:tr>
            <w:trPr>
              <w:trHeight w:hRule="exact" w:val="284"/>
            </w:trPr>
            <w:tc>
              <w:tcPr>
                <w:tcW w:w="709" w:type="dxa"/>
              </w:tcPr>
              <w:p>
                <w:pPr>
                  <w:overflowPunct w:val="0"/>
                  <w:jc w:val="center"/>
                  <w:textAlignment w:val="baseline"/>
                  <w:rPr>
                    <w:szCs w:val="24"/>
                  </w:rPr>
                </w:pPr>
                <w:r>
                  <w:rPr>
                    <w:szCs w:val="24"/>
                  </w:rPr>
                  <w:t>III.4.</w:t>
                </w:r>
              </w:p>
            </w:tc>
            <w:tc>
              <w:tcPr>
                <w:tcW w:w="6663" w:type="dxa"/>
              </w:tcPr>
              <w:p>
                <w:pPr>
                  <w:overflowPunct w:val="0"/>
                  <w:jc w:val="both"/>
                  <w:textAlignment w:val="baseline"/>
                  <w:rPr>
                    <w:szCs w:val="24"/>
                  </w:rPr>
                </w:pPr>
                <w:r>
                  <w:rPr>
                    <w:szCs w:val="24"/>
                  </w:rPr>
                  <w:t>Paskolų grąžinimas (-)</w:t>
                </w:r>
              </w:p>
            </w:tc>
            <w:tc>
              <w:tcPr>
                <w:tcW w:w="1275" w:type="dxa"/>
                <w:vAlign w:val="bottom"/>
              </w:tcPr>
              <w:p>
                <w:pPr>
                  <w:overflowPunct w:val="0"/>
                  <w:ind w:right="284"/>
                  <w:jc w:val="right"/>
                  <w:textAlignment w:val="baseline"/>
                  <w:rPr>
                    <w:szCs w:val="24"/>
                  </w:rPr>
                </w:pPr>
              </w:p>
            </w:tc>
            <w:tc>
              <w:tcPr>
                <w:tcW w:w="1276" w:type="dxa"/>
                <w:vAlign w:val="bottom"/>
              </w:tcPr>
              <w:p>
                <w:pPr>
                  <w:overflowPunct w:val="0"/>
                  <w:ind w:right="284"/>
                  <w:jc w:val="right"/>
                  <w:textAlignment w:val="baseline"/>
                  <w:rPr>
                    <w:szCs w:val="24"/>
                  </w:rPr>
                </w:pPr>
              </w:p>
            </w:tc>
          </w:tr>
          <w:tr>
            <w:trPr>
              <w:trHeight w:hRule="exact" w:val="284"/>
            </w:trPr>
            <w:tc>
              <w:tcPr>
                <w:tcW w:w="709" w:type="dxa"/>
              </w:tcPr>
              <w:p>
                <w:pPr>
                  <w:overflowPunct w:val="0"/>
                  <w:jc w:val="center"/>
                  <w:textAlignment w:val="baseline"/>
                  <w:rPr>
                    <w:szCs w:val="24"/>
                  </w:rPr>
                </w:pPr>
                <w:r>
                  <w:rPr>
                    <w:szCs w:val="24"/>
                  </w:rPr>
                  <w:t>III.5.</w:t>
                </w:r>
              </w:p>
            </w:tc>
            <w:tc>
              <w:tcPr>
                <w:tcW w:w="6663" w:type="dxa"/>
              </w:tcPr>
              <w:p>
                <w:pPr>
                  <w:overflowPunct w:val="0"/>
                  <w:jc w:val="both"/>
                  <w:textAlignment w:val="baseline"/>
                  <w:rPr>
                    <w:szCs w:val="24"/>
                  </w:rPr>
                </w:pPr>
                <w:r>
                  <w:rPr>
                    <w:szCs w:val="24"/>
                  </w:rPr>
                  <w:t>Sumokėtos palūkanos (-)</w:t>
                </w:r>
              </w:p>
            </w:tc>
            <w:tc>
              <w:tcPr>
                <w:tcW w:w="1275" w:type="dxa"/>
                <w:vAlign w:val="bottom"/>
              </w:tcPr>
              <w:p>
                <w:pPr>
                  <w:overflowPunct w:val="0"/>
                  <w:ind w:right="284"/>
                  <w:jc w:val="right"/>
                  <w:textAlignment w:val="baseline"/>
                  <w:rPr>
                    <w:szCs w:val="24"/>
                  </w:rPr>
                </w:pPr>
              </w:p>
            </w:tc>
            <w:tc>
              <w:tcPr>
                <w:tcW w:w="1276" w:type="dxa"/>
                <w:tcBorders>
                  <w:bottom w:val="single" w:sz="4" w:space="0" w:color="auto"/>
                </w:tcBorders>
                <w:vAlign w:val="bottom"/>
              </w:tcPr>
              <w:p>
                <w:pPr>
                  <w:overflowPunct w:val="0"/>
                  <w:ind w:right="284"/>
                  <w:jc w:val="right"/>
                  <w:textAlignment w:val="baseline"/>
                  <w:rPr>
                    <w:szCs w:val="24"/>
                  </w:rPr>
                </w:pPr>
              </w:p>
            </w:tc>
          </w:tr>
          <w:tr>
            <w:trPr>
              <w:trHeight w:hRule="exact" w:val="284"/>
            </w:trPr>
            <w:tc>
              <w:tcPr>
                <w:tcW w:w="709" w:type="dxa"/>
              </w:tcPr>
              <w:p>
                <w:pPr>
                  <w:overflowPunct w:val="0"/>
                  <w:jc w:val="center"/>
                  <w:textAlignment w:val="baseline"/>
                  <w:rPr>
                    <w:szCs w:val="24"/>
                  </w:rPr>
                </w:pPr>
                <w:r>
                  <w:rPr>
                    <w:szCs w:val="24"/>
                  </w:rPr>
                  <w:t>III.6.</w:t>
                </w:r>
              </w:p>
            </w:tc>
            <w:tc>
              <w:tcPr>
                <w:tcW w:w="6663" w:type="dxa"/>
              </w:tcPr>
              <w:p>
                <w:pPr>
                  <w:overflowPunct w:val="0"/>
                  <w:jc w:val="both"/>
                  <w:textAlignment w:val="baseline"/>
                  <w:rPr>
                    <w:szCs w:val="24"/>
                  </w:rPr>
                </w:pPr>
                <w:r>
                  <w:rPr>
                    <w:szCs w:val="24"/>
                  </w:rPr>
                  <w:t>Kiti finansinės veiklos pinigų srautų padidėjimai (+)</w:t>
                </w:r>
              </w:p>
            </w:tc>
            <w:tc>
              <w:tcPr>
                <w:tcW w:w="1275" w:type="dxa"/>
                <w:vAlign w:val="bottom"/>
              </w:tcPr>
              <w:p>
                <w:pPr>
                  <w:overflowPunct w:val="0"/>
                  <w:ind w:right="284"/>
                  <w:jc w:val="right"/>
                  <w:textAlignment w:val="baseline"/>
                  <w:rPr>
                    <w:szCs w:val="24"/>
                  </w:rPr>
                </w:pPr>
              </w:p>
            </w:tc>
            <w:tc>
              <w:tcPr>
                <w:tcW w:w="1276" w:type="dxa"/>
                <w:vAlign w:val="bottom"/>
              </w:tcPr>
              <w:p>
                <w:pPr>
                  <w:overflowPunct w:val="0"/>
                  <w:ind w:right="284"/>
                  <w:jc w:val="right"/>
                  <w:textAlignment w:val="baseline"/>
                  <w:rPr>
                    <w:szCs w:val="24"/>
                  </w:rPr>
                </w:pPr>
              </w:p>
            </w:tc>
          </w:tr>
          <w:tr>
            <w:trPr>
              <w:trHeight w:hRule="exact" w:val="284"/>
            </w:trPr>
            <w:tc>
              <w:tcPr>
                <w:tcW w:w="709" w:type="dxa"/>
              </w:tcPr>
              <w:p>
                <w:pPr>
                  <w:overflowPunct w:val="0"/>
                  <w:jc w:val="center"/>
                  <w:textAlignment w:val="baseline"/>
                  <w:rPr>
                    <w:szCs w:val="24"/>
                  </w:rPr>
                </w:pPr>
                <w:r>
                  <w:rPr>
                    <w:szCs w:val="24"/>
                  </w:rPr>
                  <w:t>III.7.</w:t>
                </w:r>
              </w:p>
            </w:tc>
            <w:tc>
              <w:tcPr>
                <w:tcW w:w="6663" w:type="dxa"/>
              </w:tcPr>
              <w:p>
                <w:pPr>
                  <w:overflowPunct w:val="0"/>
                  <w:jc w:val="both"/>
                  <w:textAlignment w:val="baseline"/>
                  <w:rPr>
                    <w:szCs w:val="24"/>
                  </w:rPr>
                </w:pPr>
                <w:r>
                  <w:rPr>
                    <w:szCs w:val="24"/>
                  </w:rPr>
                  <w:t>Kiti finansinės veiklos pinigų srautų sumažėjimai (-)</w:t>
                </w:r>
              </w:p>
            </w:tc>
            <w:tc>
              <w:tcPr>
                <w:tcW w:w="1275" w:type="dxa"/>
                <w:vAlign w:val="bottom"/>
              </w:tcPr>
              <w:p>
                <w:pPr>
                  <w:overflowPunct w:val="0"/>
                  <w:ind w:right="284"/>
                  <w:jc w:val="right"/>
                  <w:textAlignment w:val="baseline"/>
                  <w:rPr>
                    <w:szCs w:val="24"/>
                  </w:rPr>
                </w:pPr>
              </w:p>
            </w:tc>
            <w:tc>
              <w:tcPr>
                <w:tcW w:w="1276" w:type="dxa"/>
                <w:vAlign w:val="bottom"/>
              </w:tcPr>
              <w:p>
                <w:pPr>
                  <w:overflowPunct w:val="0"/>
                  <w:ind w:right="284"/>
                  <w:jc w:val="right"/>
                  <w:textAlignment w:val="baseline"/>
                  <w:rPr>
                    <w:szCs w:val="24"/>
                  </w:rPr>
                </w:pPr>
              </w:p>
            </w:tc>
          </w:tr>
          <w:tr>
            <w:trPr>
              <w:trHeight w:hRule="exact" w:val="284"/>
            </w:trPr>
            <w:tc>
              <w:tcPr>
                <w:tcW w:w="709" w:type="dxa"/>
              </w:tcPr>
              <w:p>
                <w:pPr>
                  <w:overflowPunct w:val="0"/>
                  <w:jc w:val="center"/>
                  <w:textAlignment w:val="baseline"/>
                  <w:rPr>
                    <w:b/>
                    <w:szCs w:val="24"/>
                  </w:rPr>
                </w:pPr>
              </w:p>
            </w:tc>
            <w:tc>
              <w:tcPr>
                <w:tcW w:w="6663" w:type="dxa"/>
              </w:tcPr>
              <w:p>
                <w:pPr>
                  <w:overflowPunct w:val="0"/>
                  <w:jc w:val="both"/>
                  <w:textAlignment w:val="baseline"/>
                  <w:rPr>
                    <w:b/>
                    <w:szCs w:val="24"/>
                  </w:rPr>
                </w:pPr>
                <w:r>
                  <w:rPr>
                    <w:b/>
                    <w:szCs w:val="24"/>
                    <w:u w:val="single"/>
                  </w:rPr>
                  <w:t>Grynieji finansinės veiklos pinigų srautai</w:t>
                </w:r>
              </w:p>
            </w:tc>
            <w:tc>
              <w:tcPr>
                <w:tcW w:w="1275" w:type="dxa"/>
                <w:tcBorders>
                  <w:bottom w:val="single" w:sz="4" w:space="0" w:color="auto"/>
                </w:tcBorders>
                <w:vAlign w:val="bottom"/>
              </w:tcPr>
              <w:p>
                <w:pPr>
                  <w:overflowPunct w:val="0"/>
                  <w:ind w:right="284"/>
                  <w:jc w:val="right"/>
                  <w:textAlignment w:val="baseline"/>
                  <w:rPr>
                    <w:szCs w:val="24"/>
                  </w:rPr>
                </w:pPr>
              </w:p>
            </w:tc>
            <w:tc>
              <w:tcPr>
                <w:tcW w:w="1276" w:type="dxa"/>
                <w:tcBorders>
                  <w:bottom w:val="single" w:sz="4" w:space="0" w:color="auto"/>
                </w:tcBorders>
                <w:vAlign w:val="bottom"/>
              </w:tcPr>
              <w:p>
                <w:pPr>
                  <w:overflowPunct w:val="0"/>
                  <w:ind w:right="284"/>
                  <w:jc w:val="right"/>
                  <w:textAlignment w:val="baseline"/>
                  <w:rPr>
                    <w:b/>
                    <w:szCs w:val="24"/>
                  </w:rPr>
                </w:pPr>
              </w:p>
            </w:tc>
          </w:tr>
          <w:tr>
            <w:trPr>
              <w:trHeight w:hRule="exact" w:val="284"/>
            </w:trPr>
            <w:tc>
              <w:tcPr>
                <w:tcW w:w="709" w:type="dxa"/>
                <w:vMerge w:val="restart"/>
              </w:tcPr>
              <w:p>
                <w:pPr>
                  <w:overflowPunct w:val="0"/>
                  <w:jc w:val="center"/>
                  <w:textAlignment w:val="baseline"/>
                  <w:rPr>
                    <w:i/>
                    <w:szCs w:val="24"/>
                  </w:rPr>
                </w:pPr>
                <w:r>
                  <w:rPr>
                    <w:b/>
                    <w:szCs w:val="24"/>
                  </w:rPr>
                  <w:t>IV.</w:t>
                </w:r>
              </w:p>
            </w:tc>
            <w:tc>
              <w:tcPr>
                <w:tcW w:w="6663" w:type="dxa"/>
                <w:vMerge w:val="restart"/>
              </w:tcPr>
              <w:p>
                <w:pPr>
                  <w:overflowPunct w:val="0"/>
                  <w:jc w:val="both"/>
                  <w:textAlignment w:val="baseline"/>
                  <w:rPr>
                    <w:i/>
                    <w:szCs w:val="24"/>
                  </w:rPr>
                </w:pPr>
                <w:r>
                  <w:rPr>
                    <w:b/>
                    <w:szCs w:val="24"/>
                  </w:rPr>
                  <w:t>Valiutų kursų pasikeitimo įtaka grynųjų pinigų ir pinigų ekvivalentų likučiui</w:t>
                </w:r>
              </w:p>
            </w:tc>
            <w:tc>
              <w:tcPr>
                <w:tcW w:w="1275" w:type="dxa"/>
                <w:tcBorders>
                  <w:bottom w:val="nil"/>
                </w:tcBorders>
                <w:vAlign w:val="bottom"/>
              </w:tcPr>
              <w:p>
                <w:pPr>
                  <w:overflowPunct w:val="0"/>
                  <w:ind w:right="284"/>
                  <w:jc w:val="right"/>
                  <w:textAlignment w:val="baseline"/>
                  <w:rPr>
                    <w:szCs w:val="24"/>
                  </w:rPr>
                </w:pPr>
              </w:p>
            </w:tc>
            <w:tc>
              <w:tcPr>
                <w:tcW w:w="1276" w:type="dxa"/>
                <w:tcBorders>
                  <w:bottom w:val="nil"/>
                </w:tcBorders>
                <w:vAlign w:val="bottom"/>
              </w:tcPr>
              <w:p>
                <w:pPr>
                  <w:overflowPunct w:val="0"/>
                  <w:ind w:right="284"/>
                  <w:jc w:val="right"/>
                  <w:textAlignment w:val="baseline"/>
                  <w:rPr>
                    <w:i/>
                    <w:szCs w:val="24"/>
                  </w:rPr>
                </w:pPr>
              </w:p>
            </w:tc>
          </w:tr>
          <w:tr>
            <w:trPr>
              <w:trHeight w:hRule="exact" w:val="284"/>
            </w:trPr>
            <w:tc>
              <w:tcPr>
                <w:tcW w:w="709" w:type="dxa"/>
                <w:vMerge/>
              </w:tcPr>
              <w:p>
                <w:pPr>
                  <w:overflowPunct w:val="0"/>
                  <w:jc w:val="center"/>
                  <w:textAlignment w:val="baseline"/>
                  <w:rPr>
                    <w:b/>
                    <w:szCs w:val="24"/>
                  </w:rPr>
                </w:pPr>
              </w:p>
            </w:tc>
            <w:tc>
              <w:tcPr>
                <w:tcW w:w="6663" w:type="dxa"/>
                <w:vMerge/>
              </w:tcPr>
              <w:p>
                <w:pPr>
                  <w:overflowPunct w:val="0"/>
                  <w:jc w:val="both"/>
                  <w:textAlignment w:val="baseline"/>
                  <w:rPr>
                    <w:b/>
                    <w:szCs w:val="24"/>
                  </w:rPr>
                </w:pPr>
              </w:p>
            </w:tc>
            <w:tc>
              <w:tcPr>
                <w:tcW w:w="1275" w:type="dxa"/>
                <w:tcBorders>
                  <w:top w:val="nil"/>
                </w:tcBorders>
                <w:vAlign w:val="bottom"/>
              </w:tcPr>
              <w:p>
                <w:pPr>
                  <w:overflowPunct w:val="0"/>
                  <w:ind w:right="284"/>
                  <w:jc w:val="right"/>
                  <w:textAlignment w:val="baseline"/>
                  <w:rPr>
                    <w:i/>
                    <w:szCs w:val="24"/>
                  </w:rPr>
                </w:pPr>
              </w:p>
            </w:tc>
            <w:tc>
              <w:tcPr>
                <w:tcW w:w="1276" w:type="dxa"/>
                <w:tcBorders>
                  <w:top w:val="nil"/>
                </w:tcBorders>
                <w:vAlign w:val="bottom"/>
              </w:tcPr>
              <w:p>
                <w:pPr>
                  <w:overflowPunct w:val="0"/>
                  <w:ind w:right="284"/>
                  <w:jc w:val="right"/>
                  <w:textAlignment w:val="baseline"/>
                  <w:rPr>
                    <w:i/>
                    <w:szCs w:val="24"/>
                  </w:rPr>
                </w:pPr>
              </w:p>
            </w:tc>
          </w:tr>
          <w:tr>
            <w:trPr>
              <w:trHeight w:hRule="exact" w:val="284"/>
            </w:trPr>
            <w:tc>
              <w:tcPr>
                <w:tcW w:w="709" w:type="dxa"/>
              </w:tcPr>
              <w:p>
                <w:pPr>
                  <w:overflowPunct w:val="0"/>
                  <w:jc w:val="center"/>
                  <w:textAlignment w:val="baseline"/>
                  <w:rPr>
                    <w:b/>
                    <w:szCs w:val="24"/>
                  </w:rPr>
                </w:pPr>
                <w:r>
                  <w:rPr>
                    <w:b/>
                    <w:szCs w:val="24"/>
                  </w:rPr>
                  <w:t>V.</w:t>
                </w:r>
              </w:p>
            </w:tc>
            <w:tc>
              <w:tcPr>
                <w:tcW w:w="6663" w:type="dxa"/>
              </w:tcPr>
              <w:p>
                <w:pPr>
                  <w:overflowPunct w:val="0"/>
                  <w:jc w:val="both"/>
                  <w:textAlignment w:val="baseline"/>
                  <w:rPr>
                    <w:b/>
                    <w:szCs w:val="24"/>
                  </w:rPr>
                </w:pPr>
                <w:r>
                  <w:rPr>
                    <w:b/>
                    <w:szCs w:val="24"/>
                  </w:rPr>
                  <w:t>Grynasis pinigų srautų padidėjimas (sumažėjimas)</w:t>
                </w:r>
              </w:p>
            </w:tc>
            <w:tc>
              <w:tcPr>
                <w:tcW w:w="1275" w:type="dxa"/>
                <w:vAlign w:val="bottom"/>
              </w:tcPr>
              <w:p>
                <w:pPr>
                  <w:overflowPunct w:val="0"/>
                  <w:ind w:right="284"/>
                  <w:jc w:val="right"/>
                  <w:textAlignment w:val="baseline"/>
                  <w:rPr>
                    <w:i/>
                    <w:szCs w:val="24"/>
                  </w:rPr>
                </w:pPr>
              </w:p>
            </w:tc>
            <w:tc>
              <w:tcPr>
                <w:tcW w:w="1276" w:type="dxa"/>
                <w:vAlign w:val="bottom"/>
              </w:tcPr>
              <w:p>
                <w:pPr>
                  <w:overflowPunct w:val="0"/>
                  <w:ind w:right="284"/>
                  <w:jc w:val="right"/>
                  <w:textAlignment w:val="baseline"/>
                  <w:rPr>
                    <w:b/>
                    <w:i/>
                    <w:szCs w:val="24"/>
                  </w:rPr>
                </w:pPr>
              </w:p>
            </w:tc>
          </w:tr>
          <w:tr>
            <w:trPr>
              <w:trHeight w:hRule="exact" w:val="284"/>
            </w:trPr>
            <w:tc>
              <w:tcPr>
                <w:tcW w:w="709" w:type="dxa"/>
              </w:tcPr>
              <w:p>
                <w:pPr>
                  <w:overflowPunct w:val="0"/>
                  <w:jc w:val="center"/>
                  <w:textAlignment w:val="baseline"/>
                  <w:rPr>
                    <w:b/>
                    <w:szCs w:val="24"/>
                  </w:rPr>
                </w:pPr>
                <w:r>
                  <w:rPr>
                    <w:b/>
                    <w:szCs w:val="24"/>
                  </w:rPr>
                  <w:t>VI.</w:t>
                </w:r>
              </w:p>
            </w:tc>
            <w:tc>
              <w:tcPr>
                <w:tcW w:w="6663" w:type="dxa"/>
              </w:tcPr>
              <w:p>
                <w:pPr>
                  <w:overflowPunct w:val="0"/>
                  <w:jc w:val="both"/>
                  <w:textAlignment w:val="baseline"/>
                  <w:rPr>
                    <w:b/>
                    <w:szCs w:val="24"/>
                  </w:rPr>
                </w:pPr>
                <w:r>
                  <w:rPr>
                    <w:b/>
                    <w:szCs w:val="24"/>
                  </w:rPr>
                  <w:t>Pinigai ir pinigų ekvivalentai laikotarpio pradžioje</w:t>
                </w:r>
              </w:p>
            </w:tc>
            <w:tc>
              <w:tcPr>
                <w:tcW w:w="1275" w:type="dxa"/>
                <w:vAlign w:val="bottom"/>
              </w:tcPr>
              <w:p>
                <w:pPr>
                  <w:overflowPunct w:val="0"/>
                  <w:ind w:right="284"/>
                  <w:jc w:val="right"/>
                  <w:textAlignment w:val="baseline"/>
                  <w:rPr>
                    <w:b/>
                    <w:szCs w:val="24"/>
                  </w:rPr>
                </w:pPr>
              </w:p>
            </w:tc>
            <w:tc>
              <w:tcPr>
                <w:tcW w:w="1276" w:type="dxa"/>
                <w:vAlign w:val="bottom"/>
              </w:tcPr>
              <w:p>
                <w:pPr>
                  <w:overflowPunct w:val="0"/>
                  <w:ind w:right="284"/>
                  <w:jc w:val="right"/>
                  <w:textAlignment w:val="baseline"/>
                  <w:rPr>
                    <w:b/>
                    <w:szCs w:val="24"/>
                  </w:rPr>
                </w:pPr>
              </w:p>
            </w:tc>
          </w:tr>
          <w:tr>
            <w:trPr>
              <w:trHeight w:hRule="exact" w:val="284"/>
            </w:trPr>
            <w:tc>
              <w:tcPr>
                <w:tcW w:w="709" w:type="dxa"/>
              </w:tcPr>
              <w:p>
                <w:pPr>
                  <w:overflowPunct w:val="0"/>
                  <w:jc w:val="center"/>
                  <w:textAlignment w:val="baseline"/>
                  <w:rPr>
                    <w:b/>
                    <w:szCs w:val="24"/>
                  </w:rPr>
                </w:pPr>
                <w:r>
                  <w:rPr>
                    <w:b/>
                    <w:szCs w:val="24"/>
                  </w:rPr>
                  <w:t>VII</w:t>
                </w:r>
              </w:p>
            </w:tc>
            <w:tc>
              <w:tcPr>
                <w:tcW w:w="6663" w:type="dxa"/>
              </w:tcPr>
              <w:p>
                <w:pPr>
                  <w:overflowPunct w:val="0"/>
                  <w:jc w:val="both"/>
                  <w:textAlignment w:val="baseline"/>
                  <w:rPr>
                    <w:b/>
                    <w:szCs w:val="24"/>
                  </w:rPr>
                </w:pPr>
                <w:r>
                  <w:rPr>
                    <w:b/>
                    <w:szCs w:val="24"/>
                  </w:rPr>
                  <w:t>Pinigai ir pinigų ekvivalentai laikotarpio pabaigoje</w:t>
                </w:r>
              </w:p>
            </w:tc>
            <w:tc>
              <w:tcPr>
                <w:tcW w:w="1275" w:type="dxa"/>
                <w:vAlign w:val="bottom"/>
              </w:tcPr>
              <w:p>
                <w:pPr>
                  <w:overflowPunct w:val="0"/>
                  <w:ind w:right="284"/>
                  <w:jc w:val="right"/>
                  <w:textAlignment w:val="baseline"/>
                  <w:rPr>
                    <w:b/>
                    <w:szCs w:val="24"/>
                  </w:rPr>
                </w:pPr>
              </w:p>
            </w:tc>
            <w:tc>
              <w:tcPr>
                <w:tcW w:w="1276" w:type="dxa"/>
                <w:vAlign w:val="bottom"/>
              </w:tcPr>
              <w:p>
                <w:pPr>
                  <w:overflowPunct w:val="0"/>
                  <w:ind w:right="284"/>
                  <w:jc w:val="right"/>
                  <w:textAlignment w:val="baseline"/>
                  <w:rPr>
                    <w:b/>
                    <w:szCs w:val="24"/>
                  </w:rPr>
                </w:pPr>
              </w:p>
            </w:tc>
          </w:tr>
        </w:tbl>
        <w:p>
          <w:pPr>
            <w:overflowPunct w:val="0"/>
            <w:jc w:val="both"/>
            <w:textAlignment w:val="baseline"/>
          </w:pPr>
          <w:r>
            <w:t>Ūkininkas</w:t>
            <w:tab/>
            <w:tab/>
            <w:t>_________________</w:t>
            <w:tab/>
            <w:tab/>
            <w:t>_________________________</w:t>
          </w:r>
        </w:p>
        <w:p>
          <w:pPr>
            <w:overflowPunct w:val="0"/>
            <w:ind w:left="1298" w:firstLine="1298"/>
            <w:jc w:val="both"/>
            <w:textAlignment w:val="baseline"/>
            <w:rPr>
              <w:sz w:val="20"/>
            </w:rPr>
          </w:pPr>
          <w:r>
            <w:rPr>
              <w:sz w:val="20"/>
            </w:rPr>
            <w:t>(parašas)</w:t>
            <w:tab/>
          </w:r>
          <w:r>
            <w:tab/>
            <w:tab/>
          </w:r>
          <w:r>
            <w:rPr>
              <w:sz w:val="20"/>
            </w:rPr>
            <w:t>(vardas, pavardė)</w:t>
          </w:r>
        </w:p>
        <w:sdt>
          <w:sdtPr>
            <w:alias w:val="pabaiga"/>
            <w:tag w:val="part_9341f993aac545cc9866e59ebdf915da"/>
            <w:lock w:val="sdtLocked"/>
            <w:richText/>
          </w:sdtPr>
          <w:sdtContent>
            <w:p>
              <w:pPr>
                <w:overflowPunct w:val="0"/>
                <w:jc w:val="center"/>
                <w:textAlignment w:val="baseline"/>
              </w:pPr>
              <w:r>
                <w:rPr>
                  <w:sz w:val="20"/>
                </w:rPr>
                <w:t>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ba5c0506f11e4a698d921e3e46801">
            <w:r w:rsidRPr="00532B9F">
              <w:rPr>
                <w:rFonts w:ascii="Times New Roman" w:eastAsia="MS Mincho" w:hAnsi="Times New Roman"/>
                <w:sz w:val="20"/>
                <w:i/>
                <w:iCs/>
                <w:color w:val="0000FF" w:themeColor="hyperlink"/>
                <w:u w:val="single"/>
              </w:rPr>
              <w:t>3D-725</w:t>
            </w:r>
          </w:fldSimple>
          <w:r>
            <w:rPr>
              <w:rFonts w:ascii="Times New Roman" w:eastAsia="MS Mincho" w:hAnsi="Times New Roman"/>
              <w:sz w:val="20"/>
              <w:i/>
              <w:iCs/>
            </w:rPr>
            <w:t>,
2014-10-10,
paskelbta TAR 2014-10-10, i. k. 2014-13951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0ba5c0506f11e4a698d921e3e46801">
            <w:r w:rsidRPr="00532B9F">
              <w:rPr>
                <w:rFonts w:ascii="Times New Roman" w:eastAsia="MS Mincho" w:hAnsi="Times New Roman"/>
                <w:sz w:val="20"/>
                <w:iCs/>
                <w:color w:val="0000FF" w:themeColor="hyperlink"/>
                <w:u w:val="single"/>
              </w:rPr>
              <w:t>3D-725</w:t>
            </w:r>
          </w:fldSimple>
          <w:r>
            <w:rPr>
              <w:rFonts w:ascii="Times New Roman" w:eastAsia="MS Mincho" w:hAnsi="Times New Roman"/>
              <w:sz w:val="20"/>
              <w:iCs/>
            </w:rPr>
            <w:t>,
2014-10-10,
paskelbta TAR 2014-10-10, i. k. 2014-13951                </w:t>
          </w:r>
        </w:p>
        <w:p>
          <w:pPr>
            <w:jc w:val="both"/>
            <w:rPr>
              <w:rFonts w:ascii="Times New Roman" w:hAnsi="Times New Roman"/>
            </w:rPr>
          </w:pPr>
          <w:r>
            <w:rPr>
              <w:rFonts w:ascii="Times New Roman" w:hAnsi="Times New Roman"/>
              <w:sz w:val="20"/>
            </w:rPr>
            <w:t>Dėl Lietuvos Respublikos žemės ūkio ministro 2005 m. gegužės 11 d. įsakymo Nr. 3D-266 „Dėl Ūkininko ūkio veiklos buhalterinės apskaitos tvarkymo supaprastintąja apskaitos sistema rekomendacijų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5ef4760a89511e5be7fbe3f919a1ebe">
            <w:r w:rsidRPr="00532B9F">
              <w:rPr>
                <w:rFonts w:ascii="Times New Roman" w:eastAsia="MS Mincho" w:hAnsi="Times New Roman"/>
                <w:sz w:val="20"/>
                <w:iCs/>
                <w:color w:val="0000FF" w:themeColor="hyperlink"/>
                <w:u w:val="single"/>
              </w:rPr>
              <w:t>3D-941</w:t>
            </w:r>
          </w:fldSimple>
          <w:r>
            <w:rPr>
              <w:rFonts w:ascii="Times New Roman" w:eastAsia="MS Mincho" w:hAnsi="Times New Roman"/>
              <w:sz w:val="20"/>
              <w:iCs/>
            </w:rPr>
            <w:t>,
2015-12-22,
paskelbta TAR 2015-12-23, i. k. 2015-20239                </w:t>
          </w:r>
        </w:p>
        <w:p>
          <w:pPr>
            <w:jc w:val="both"/>
            <w:rPr>
              <w:rFonts w:ascii="Times New Roman" w:hAnsi="Times New Roman"/>
            </w:rPr>
          </w:pPr>
          <w:r>
            <w:rPr>
              <w:rFonts w:ascii="Times New Roman" w:hAnsi="Times New Roman"/>
              <w:sz w:val="20"/>
            </w:rPr>
            <w:t>Dėl Lietuvos Respublikos žemės ūkio ministro 2005 m. gegužės 11 d. įsakymo Nr. 3D-266 „Dėl Ūkininko ūkio veiklos buhalterinės apskaitos tvarkymo supaprastintąja apskaitos sistema rekomendacijų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aperSrc w:first="15" w:other="15"/>
      <w:pgNumType w:start="51"/>
      <w:cols w:space="1296"/>
      <w:titlePg/>
      <w:docGrid w:linePitch="254"/>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right" w:y="1"/>
      <w:tabs>
        <w:tab w:val="center" w:pos="4153"/>
        <w:tab w:val="right" w:pos="8306"/>
      </w:tabs>
      <w:overflowPunct w:val="0"/>
      <w:jc w:val="both"/>
      <w:textAlignment w:val="baseline"/>
      <w:rPr>
        <w:lang w:val="en-GB"/>
      </w:rPr>
    </w:pPr>
    <w:r>
      <w:rPr>
        <w:lang w:val="en-GB"/>
      </w:rPr>
      <w:fldChar w:fldCharType="begin"/>
    </w:r>
    <w:r>
      <w:rPr>
        <w:lang w:val="en-GB"/>
      </w:rPr>
      <w:instrText xml:space="preserve">PAGE  </w:instrText>
    </w:r>
    <w:r>
      <w:rPr>
        <w:lang w:val="en-GB"/>
      </w:rPr>
      <w:fldChar w:fldCharType="separate"/>
    </w:r>
    <w:r>
      <w:rPr>
        <w:lang w:val="en-GB"/>
      </w:rPr>
      <w:t>65</w:t>
    </w:r>
    <w:r>
      <w:rPr>
        <w:lang w:val="en-GB"/>
      </w:rPr>
      <w:fldChar w:fldCharType="end"/>
    </w:r>
  </w:p>
  <w:p>
    <w:pPr>
      <w:tabs>
        <w:tab w:val="center" w:pos="4153"/>
        <w:tab w:val="right" w:pos="8306"/>
      </w:tabs>
      <w:overflowPunct w:val="0"/>
      <w:ind w:right="360"/>
      <w:jc w:val="both"/>
      <w:textAlignment w:val="baseline"/>
      <w:rPr>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right" w:y="1"/>
      <w:tabs>
        <w:tab w:val="center" w:pos="4153"/>
        <w:tab w:val="right" w:pos="8306"/>
      </w:tabs>
      <w:overflowPunct w:val="0"/>
      <w:jc w:val="both"/>
      <w:textAlignment w:val="baseline"/>
      <w:rPr>
        <w:lang w:val="en-GB"/>
      </w:rPr>
    </w:pPr>
    <w:r>
      <w:rPr>
        <w:lang w:val="en-GB"/>
      </w:rPr>
      <w:fldChar w:fldCharType="begin"/>
    </w:r>
    <w:r>
      <w:rPr>
        <w:lang w:val="en-GB"/>
      </w:rPr>
      <w:instrText xml:space="preserve">PAGE  </w:instrText>
    </w:r>
    <w:r>
      <w:rPr>
        <w:lang w:val="en-GB"/>
      </w:rPr>
      <w:fldChar w:fldCharType="separate"/>
    </w:r>
    <w:r>
      <w:rPr>
        <w:lang w:val="en-GB"/>
      </w:rPr>
      <w:t>65</w:t>
    </w:r>
    <w:r>
      <w:rPr>
        <w:lang w:val="en-GB"/>
      </w:rPr>
      <w:fldChar w:fldCharType="end"/>
    </w:r>
  </w:p>
  <w:p>
    <w:pPr>
      <w:tabs>
        <w:tab w:val="center" w:pos="4153"/>
        <w:tab w:val="right" w:pos="8306"/>
      </w:tabs>
      <w:overflowPunct w:val="0"/>
      <w:ind w:right="360"/>
      <w:jc w:val="both"/>
      <w:textAlignment w:val="baseline"/>
      <w:rPr>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right"/>
      <w:textAlignment w:val="baseline"/>
      <w:rPr>
        <w:i/>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right"/>
      <w:textAlignment w:val="baseline"/>
      <w:rPr>
        <w:i/>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5"/>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439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74"/>
    <o:shapelayout v:ext="edit">
      <o:idmap v:ext="edit" data="1"/>
    </o:shapelayout>
  </w:shapeDefaults>
  <w:decimalSymbol w:val=","/>
  <w:listSeparator w:val=";"/>
  <w14:docId w14:val="358C1D5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4227251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1.xml"/>
  <Relationship Id="rId11" Type="http://schemas.openxmlformats.org/officeDocument/2006/relationships/hyperlink" TargetMode="External" Target="https://www.e-tar.lt/portal/lt/legalAct/TAR.64CF02BD2377"/>
  <Relationship Id="rId12" Type="http://schemas.openxmlformats.org/officeDocument/2006/relationships/hyperlink" TargetMode="External" Target="https://www.e-tar.lt/portal/lt/legalAct/TAR.BD0C617C54C9"/>
  <Relationship Id="rId13" Type="http://schemas.openxmlformats.org/officeDocument/2006/relationships/footer" Target="footer1.xml"/>
  <Relationship Id="rId14" Type="http://schemas.openxmlformats.org/officeDocument/2006/relationships/header" Target="header1.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aa77daeb94c49d89579f4499dfb1a9f" PartId="af3437306bfc49a29cdcc527074cc4d4">
    <Part Type="preambule" DocPartId="099f5b6d400d4e7489323910aa42554b" PartId="90befee3fefe4dc1b66abc7094218e5a"/>
    <Part Type="pastraipa" DocPartId="6d5d34d8804b426fb29abb36cafec8e0" PartId="8229edda9d334952950753fc201e2554"/>
    <Part Type="signatura" DocPartId="74153ff177944f059a933f7032c90257" PartId="18bd7f876e9a464f8d25cce5519b8f18"/>
  </Part>
  <Part Type="patvirtinta" Title="ŪKININKO ŪKIO VEIKLOS BUHALTERINĖS APSKAITOS TVARKYMO SUPAPRASTINTĄJA APSKAITOS SISTEMA REKOMENDACIJOS" DocPartId="452e22feecfc48edaac411dc14f51230" PartId="6019feab2d454dfba8baf5f27f71124d">
    <Part Type="skyrius" Nr="1" Title="BENDROSIOS NUOSTATOS" DocPartId="909c5ec711584e94866a3d2c685b2fda" PartId="9928956ed60b483ea8fea4fba8767372">
      <Part Type="punktas" Nr="1" Abbr="1 p." DocPartId="0f2ea721eb644d97b68185ac171d8f80" PartId="e8f2dd4b445c4635a489274c8165e17b"/>
      <Part Type="punktas" Nr="2" Abbr="2 p." DocPartId="d2d9c3b3ba1b4459958cb9be5427e67e" PartId="2f2c763d169b4119b69e61c6bbb8aaeb"/>
      <Part Type="punktas" Nr="3" Abbr="3 p." DocPartId="2554544432354f70b8e53fbbacd24321" PartId="2a05ab3a546244288a7d96edb9918115"/>
      <Part Type="punktas" Nr="4" Abbr="4 p." DocPartId="9391165af0984a039cf0e2c53f437b9d" PartId="c961f7bfcf2a43f3a7c6ddc777fcee86"/>
      <Part Type="punktas" Nr="5" Abbr="5 p." DocPartId="f9c80c8bf6874330b05ff3f689a7b1d9" PartId="5f3ff28da41c442f9ea60acb7ac09f55"/>
      <Part Type="punktas" Nr="6" Abbr="6 p." DocPartId="2f7c377fa3884e0399458d043124e320" PartId="de28d493fb96467b955b003a18033075"/>
      <Part Type="punktas" Nr="7" Abbr="7 p." DocPartId="f8fd74a9f36c461c93a7e340dff3ba36" PartId="e346b96fede94febba61f9c6b9ad4145"/>
    </Part>
    <Part Type="skyrius" Nr="2" Title="ŪKINIŲ OPERACIJŲ DOKUMENTAVIMAS" DocPartId="a95dc27b8cf148ceb4537d6356d52d1f" PartId="af24ffe991ad4a8eb318a5ca4b0e22e3">
      <Part Type="punktas" Nr="8" Abbr="8 p." DocPartId="f2c93eee331740c6bcf779a87d2bb2f5" PartId="4c1dceda7e4e4bb8a8c0cb447c2a0d5c">
        <Part Type="punktas" Nr="8.1" Abbr="8.1 p." DocPartId="99e78f57f1be4b968eade2bfe71f252c" PartId="977c405189f5431fbd6fc2fca597254d"/>
        <Part Type="punktas" Nr="8.2" Abbr="8.2 p." DocPartId="6152891b387244d7a3cd90a840e88307" PartId="f569be7470474e03af84f9bf731a79e4"/>
        <Part Type="punktas" Nr="8.3" Abbr="8.3 p." DocPartId="7f6ce3b860334ea1b3b75726fcbe0449" PartId="c5850ca3b1ff4b818fc9ec6d96629cb1"/>
        <Part Type="punktas" Nr="8.4" Abbr="8.4 p." DocPartId="8859da0a8dbd4b0084b166d29f1f07c2" PartId="19b7f309149d4bd9941f8e61f2eaa9a1"/>
        <Part Type="punktas" Nr="8.5" Abbr="8.5 p." DocPartId="2062dea9c0784229acb6570c9f71e44d" PartId="43c2a7a784284f2a9968a5ef98b75a60"/>
        <Part Type="punktas" Nr="8.6" Abbr="8.6 p." DocPartId="a2137282cb8643e7850a076954b5ad49" PartId="2c9f0f2990244846aee0a125f9a81bc4"/>
      </Part>
      <Part Type="punktas" Nr="9" Abbr="9 p." DocPartId="916254021aad467ea8760a499cf94e69" PartId="8b79d0a8ae124bb4b70c8c33236c527d"/>
      <Part Type="punktas" Nr="10" Abbr="10 p." DocPartId="52ea49788d6144789180a8baa40fcb7c" PartId="f1219653af1843aeb54810b0c7093cd6"/>
      <Part Type="punktas" Nr="11" Abbr="11 p." DocPartId="5bd7c5bd060a409ca1740d29f2822ab8" PartId="ff1353c1a8914390ad95d6ecc7039a26"/>
      <Part Type="punktas" Nr="12" Abbr="12 p." DocPartId="4d2345a8bc624b3ea84c5127da0557cc" PartId="2d4d1de7e51048db8d44ba0184a553bf"/>
      <Part Type="punktas" Nr="13" Abbr="13 p." DocPartId="f298210be7bd4f9ba0d94a3282447e47" PartId="6078df10508d4fbc8e26e8f2908ef5f5"/>
      <Part Type="punktas" Nr="14" Abbr="14 p." DocPartId="028914334f214bdbb9d7dce0ff802739" PartId="2b12ddd8aceb4dd598ee9cd019d34b2a"/>
      <Part Type="punktas" Nr="15" Abbr="15 p." DocPartId="b2e846a87f204cc1b7e15bc989743c1a" PartId="5cad62c3fa21475b9876bc555f5a5a18"/>
      <Part Type="punktas" Nr="16" Abbr="16 p." DocPartId="d020c7ee6b704e748343199bd371bdbd" PartId="e8e42e1177c04b18b3290cc2dc911c6d"/>
      <Part Type="punktas" Nr="17" Abbr="17 p." DocPartId="f9a6426bb6ea40f998c031250cc17360" PartId="77efc9e6543344eb87ac925134e64aac"/>
      <Part Type="punktas" Nr="18" Abbr="18 p." DocPartId="3fe760b9ff974f6b8c49a722a47f41b0" PartId="1fb2a408fefa419dbacb4b64cb186015"/>
      <Part Type="punktas" Nr="19" Abbr="19 p." DocPartId="373c040e862d451db740878d1874ddfe" PartId="b5f9f422413b417783d1c88a0a49fee7"/>
      <Part Type="punktas" Nr="20" Abbr="20 p." DocPartId="fc7af89b7b74475ba9990dc9122e9479" PartId="e080a92186274556a97e96b8b4dbe683"/>
      <Part Type="punktas" Nr="21" Abbr="21 p." DocPartId="3c99f77138db47d9a16a0fe8f9497964" PartId="2775db0c834a474496bc6da88a92bc27"/>
      <Part Type="punktas" Nr="22" Abbr="22 p." DocPartId="92e2e929a1d942c2a08e6a2dcb4aa90c" PartId="d91626a9d5ec4fbfa079778f7661ddc1"/>
    </Part>
    <Part Type="skyrius" Nr="3" Title="APSKAITOS REGISTRAI" DocPartId="0124ab0fa06f4e728d075956dd2b5ac4" PartId="b884703916b1403d9d752c12d103c768">
      <Part Type="skirsnis" Title="Piniginių įplaukų ir piniginių išlaidų registravimas ir kaupimas" DocPartId="14a033d9db2f4a90a2528cde60ab2b64" PartId="8fde2963360c4bda940da4e908f3d0c5">
        <Part Type="punktas" Nr="23" Abbr="23 p." DocPartId="33cc6a7e26024e5d905c5ee63be90712" PartId="d3ff90f07c9d42bc8a729a9518cd8e12"/>
        <Part Type="punktas" Nr="24" Abbr="24 p." DocPartId="d4b5d0a071f245539ddacb6b6afc9ce1" PartId="aadc34ef92e34f868e456f9f30fed267"/>
        <Part Type="punktas" Nr="25" Abbr="25 p." DocPartId="e288c3ace15e4c9ab4b2bb4f9a00f284" PartId="c213595415344764a9384524275881dc"/>
        <Part Type="punktas" Nr="26" Abbr="26 p." DocPartId="809ce8290c3246daadbc63fec312ee77" PartId="0af7a1a6965e47de8de26b84cabf7812"/>
        <Part Type="punktas" Nr="27" Abbr="27 p." DocPartId="7f6086cc39db4e4e94803e94aa1aa37a" PartId="61da8d47460a488ba239e47c5127e85c"/>
        <Part Type="punktas" Nr="28" Abbr="28 p." DocPartId="6203730e4b00490ebeb70e725b444b0c" PartId="bd8524e3652c45e4ae0667ae77841da0"/>
        <Part Type="punktas" Nr="29" Abbr="29 p." DocPartId="0292690620a84a889e08dcbd6a976cde" PartId="47b8ffcc78c44ffea5479e926dd22979"/>
        <Part Type="punktas" Nr="30" Abbr="30 p." DocPartId="9c20c0beae0f46ad83b4acc1af07100c" PartId="cd0024937674493eb9f7e407f23bc366">
          <Part Type="punktas" Nr="30.1" Abbr="30.1 p." DocPartId="4d20aafcb41e479bbc83436e69adb4fb" PartId="1ec125dcc0f14718927ca9ff87c5dd25"/>
          <Part Type="punktas" Nr="30.2" Abbr="30.2 p." DocPartId="c6d731b458f04a8c9a4deff3478ed681" PartId="2eedf0bd35dd4aff842169a74d56f032"/>
          <Part Type="punktas" Nr="30.3" Abbr="30.3 p." DocPartId="f98b827838b743b3a4fcb8bd2da63d44" PartId="7aeeaf1720c7483f9595bcf5d3461fdb"/>
          <Part Type="punktas" Nr="30.4" Abbr="30.4 p." DocPartId="4216cbed0f3d4b6db919b860ef023971" PartId="050a0d8ff2a34a26b2b327143ea41625"/>
          <Part Type="punktas" Nr="30.5" Abbr="30.5 p." DocPartId="30ecfdaa60484c2787c668a380e7cc5c" PartId="c93f8801fbcf4f3685da2bd26ebac47b"/>
          <Part Type="punktas" Nr="30.6" Abbr="30.6 p." DocPartId="426f32c44c274ce98572b0fc065df648" PartId="b788bced3c274089acd230a20c3ba911"/>
          <Part Type="punktas" Nr="30.7" Abbr="30.7 p." DocPartId="5fc0c4b6c9c646e68d4eaa6ed2995734" PartId="a3422e2dc10e4ce4938ec10eabde7562"/>
        </Part>
        <Part Type="punktas" Nr="31" Abbr="31 p." DocPartId="562c298df3704b57b62d45ff1f0640ee" PartId="53ab2ed548dd4eb585faf26caed95e69">
          <Part Type="punktas" Nr="31.1" Abbr="31.1 p." DocPartId="c7d511e5065c4da1a5d78facfbf75451" PartId="b108c60d87bc4e26909d34a0f05f89b4"/>
          <Part Type="punktas" Nr="31.2" Abbr="31.2 p." DocPartId="4b3b238187fb4f66a0a4aa78cbba7c89" PartId="9c67c1064d8c440e876f2afaf2cee6bd"/>
          <Part Type="punktas" Nr="31.3" Abbr="31.3 p." DocPartId="961e735e97604eb18156ab323e668bd6" PartId="451c539ece654ccf808dc1611e3760cf"/>
          <Part Type="punktas" Nr="31.4" Abbr="31.4 p." DocPartId="d5bee267007746cdb4b1dd5d48b0e49f" PartId="05c87f2d0e0345d58add49f9c5c6fc00"/>
          <Part Type="punktas" Nr="31.5" Abbr="31.5 p." DocPartId="acf7e9f1e0054acabf348fcd601b299f" PartId="40dcbd9ab2a14fad9089161ae6b764d1"/>
        </Part>
        <Part Type="punktas" Nr="32" Abbr="32 p." DocPartId="a4ebf9f9dd644cb8ac740a43a1ee4eb1" PartId="67ca370e736a424e87f71c16b42fcc6b"/>
      </Part>
      <Part Type="skirsnis" Title="Ilgalaikio turto apskaita" DocPartId="02f981b1d3944086957d4208eed0d400" PartId="9b8023f202394361b5a7c1a0ae03199d">
        <Part Type="punktas" Nr="33" Abbr="33 p." DocPartId="4d7280faf4ce48d6aabe52cc3232a450" PartId="89ae871d62ca4981ba1b7840dd905b33"/>
        <Part Type="punktas" Nr="34" Abbr="34 p." DocPartId="33afa950aa264a478592ef8db19c7cef" PartId="87a047fcf5eb4d7b82bef4ef68c6f4b4"/>
        <Part Type="punktas" Nr="35" Abbr="35 p." DocPartId="45fa3001ec244c428ef294159d15784c" PartId="2daeb60952a948e285fbc49e81d96cd7"/>
        <Part Type="punktas" Nr="36" Abbr="36 p." DocPartId="b978a724e8fa489c85dae726f18647de" PartId="186edd4dc06841128d2a144586845e6c"/>
        <Part Type="punktas" Nr="37" Abbr="37 p." DocPartId="38a9a4bd9d1a4ad58ecab24a2e2c0afd" PartId="5442e4ac56e847c1ad34fffb448a2be4"/>
        <Part Type="punktas" Nr="38" Abbr="38 p." DocPartId="cdef0881512e4064b87d1958cce1d89b" PartId="a9456e5b67fc45b8ba6bf8db4436e4eb"/>
        <Part Type="punktas" Nr="39" Abbr="39 p." DocPartId="1bcdb17761c34cd6beaeaa3ce5afbc17" PartId="01f57ee4f474481ca2e2eed8829c001a"/>
        <Part Type="punktas" Nr="40" Abbr="40 p." DocPartId="72b16df20d7a4bc0ae43a3f173012ac7" PartId="99fcc1e04e6f4863ad09fc8649c8c170"/>
        <Part Type="punktas" Nr="41" Abbr="41 p." DocPartId="b87d5aa872804dd6bd09c233b8685d85" PartId="6dbafee40a6d45808c65a12063e9f6c1"/>
        <Part Type="punktas" Nr="42" Abbr="42 p." DocPartId="fc2d007a0e5e492da28d834175232e5a" PartId="c8d1f82442f241db8f321235c1f8c80f"/>
        <Part Type="punktas" Nr="43" Abbr="43 p." DocPartId="2bbec6246f8a4d85919b12d67fd35d01" PartId="9bd4f50b5c6746be9d269b6bd72f37b4"/>
        <Part Type="punktas" Nr="44" Abbr="44 p." DocPartId="1da65abca9214ccf975e2d418aadd765" PartId="9e373bb1150e44528c6574041b420e7b"/>
        <Part Type="punktas" Nr="45" Abbr="45 p." DocPartId="c95d6eba67df4b5a8a1256c55566cfb4" PartId="27cebff1d74e4520aae3876b92719efb"/>
        <Part Type="punktas" Nr="46" Abbr="46 p." DocPartId="9c6c81a4a4a4425f8c069319f95d4406" PartId="be4245f6d71b40098d8e863c0ffab381"/>
      </Part>
      <Part Type="skirsnis" Title="Trumpalaikio turto apskaita" DocPartId="2018a225654f4d608430bb91e8658c7a" PartId="7e127f887b9a46ef9607782b6b4aa395">
        <Part Type="punktas" Nr="47" Abbr="47 p." DocPartId="e9a37e64887243e5a7f7422a5f2fdc1e" PartId="5473853bb29543d196d340b06717b481"/>
        <Part Type="punktas" Nr="48" Abbr="48 p." DocPartId="ab94728c4889474d9fd7c06a3d096e60" PartId="4d100a46d308488fb126210d55ebf5e2"/>
        <Part Type="punktas" Nr="49" Abbr="49 p." DocPartId="1b200d1f8cd842619a622177e47f6a27" PartId="14a699dd144e4e7d9190c9f4a0cffaaf"/>
        <Part Type="punktas" Nr="50" Abbr="50 p." DocPartId="a869999eafd047ef8c706c17d5901401" PartId="3e165618d17149769c8acee52552a7c6"/>
        <Part Type="punktas" Nr="51" Abbr="51 p." DocPartId="9bfab580af004baaa05606c8b14939c9" PartId="b5cf7d0f99074ca98e06d68bdd3356b3"/>
      </Part>
      <Part Type="skirsnis" Title="Gyvulių apskaita" DocPartId="6a6bac16ad3142f1b0a10dfd99e19a84" PartId="ec1ab8a6a91e4ac696d5c8bdc95d0ec8">
        <Part Type="punktas" Nr="52" Abbr="52 p." DocPartId="4419b2b7fc0944e689df7db0ec6748f6" PartId="db335614266c4317ad21aa2ba7d6e358"/>
        <Part Type="punktas" Nr="53" Abbr="53 p." DocPartId="0a1af89fb92e4e618185ac73320a17ed" PartId="d0f8609f579f49f883fe49ea8d5bcaf3"/>
      </Part>
      <Part Type="skirsnis" Title="Atsiskaitymų apskaita" DocPartId="4b1cef6c89c54c79b11908101f702e35" PartId="e4f61e8d0fb649fa8534a509c1bc7234">
        <Part Type="punktas" Nr="54" Abbr="54 p." DocPartId="73d0109a3b6e4ebdbf9b8202a41842df" PartId="711440978a284694a1cf11b53c475320"/>
        <Part Type="punktas" Nr="55" Abbr="55 p." DocPartId="b45bbe2ba24045ccb77e953649189abe" PartId="800adef2f14643189b9e30abe5b9e018"/>
        <Part Type="punktas" Nr="56" Abbr="56 p." DocPartId="d8deb790e12240ebaf8bcec0d2a43a66" PartId="bbf238db40e449dc809d4c3935d3c3fa"/>
        <Part Type="punktas" Nr="57" Abbr="57 p." DocPartId="2c0d424015a7485f8e2a1f793a32bafc" PartId="90772d53a2f043bb9667e843827965f2"/>
        <Part Type="punktas" Nr="58" Abbr="58 p." DocPartId="7b128b72b22744428bbb4327308e5a32" PartId="b7139b1a7b92454e952fde1acf211697"/>
        <Part Type="punktas" Nr="59" Abbr="59 p." DocPartId="97922520d6b745efa77ef3005f539f42" PartId="cecd967f6a754878b5030ea8e0a46e6d"/>
        <Part Type="punktas" Nr="60" Abbr="60 p." DocPartId="e6c45f6b57f646efbc1ff7b5426ceacd" PartId="c740c85df738400cb867804e1dd69c2f"/>
        <Part Type="punktas" Nr="61" Abbr="61 p." DocPartId="b326cc7a8025428a80164f097e4d98bf" PartId="a6af216a23644971b48d9e034024ff21"/>
        <Part Type="punktas" Nr="62" Abbr="62 p." DocPartId="70b66008dffe4a5b89637f70f06fe5f0" PartId="366b2a4f7efd420fbb25d7d05aec0e19"/>
        <Part Type="punktas" Nr="63" Abbr="63 p." DocPartId="e946baef199d4e6386985934ecf136e2" PartId="613a7b0748564c658bef3eaac3519c67"/>
        <Part Type="punktas" Nr="64" Abbr="64 p." DocPartId="de8112a0094b4a2cb226451203d8e614" PartId="96d963f0c7cc47979b250857af313f65"/>
        <Part Type="punktas" Nr="65" Abbr="65 p." DocPartId="9b18df344a204d53a8c94117b5622393" PartId="e725ff4c914f4f62a1ee50a096377e12"/>
        <Part Type="punktas" Nr="66" Abbr="66 p." DocPartId="367a81dfb53a4c769acb93db4a1defa3" PartId="9b6b0d8a1b53455682fd4cdf7a7060c2"/>
      </Part>
    </Part>
    <Part Type="skyrius" Nr="4" Title="ŪKININKO ŪKIO FINANSINĖ ATSKAITOMYBĖ" DocPartId="0c36d3db63d14f399655ea6138fa7bb5" PartId="c6435fd09401441d8efc288a81d9d241">
      <Part Type="skirsnis" Title="Finansinio rezultato apskaičiavimas" DocPartId="9968a13c8f6f4e29ba8d6b8ba866d8fa" PartId="1e869975719341d690882e81e50c506b">
        <Part Type="punktas" Nr="67" Abbr="67 p." DocPartId="4a3cf37ed6f747148ea5d6426ba7fa66" PartId="16a1934f713249579028abb97bd0b8d7"/>
        <Part Type="punktas" Nr="68" Abbr="68 p." DocPartId="5947035d86834b0a86ddebd5ef4b990b" PartId="c38a8a61c811492095e01bcf88834a98"/>
        <Part Type="punktas" Nr="69" Abbr="69 p." DocPartId="9cbd7154fc164917918ca181df2634fc" PartId="dc3805aa0d294c69a0dd5fb4bebeab40"/>
      </Part>
      <Part Type="skirsnis" Title="Piniginės įplaukos ± Pirkėjų skolų pokytis ± kitų skolų ūkiui pokytis + ūkininko asmeninėms reikmėms sunaudota produkcija" DocPartId="940d89d65f9349c6b6719d4de5384546" PartId="2b1156c86a584d3f84dc0b7f061b7297">
        <Part Type="punktas" Nr="70" Abbr="70 p." DocPartId="546e9b158d2a449089d47aebff400375" PartId="787449a0c6714bfa80089df73843eb92"/>
        <Part Type="punktas" Nr="71" Abbr="71 p." DocPartId="b8cefbe2033a44ed9c4af2e13e89f85a" PartId="ab23494e3d934f1db92bf3cd7a28ce0c"/>
      </Part>
      <Part Type="skirsnis" Title="Piniginės išlaidos ± skolų tiekėjams pokytis ± kitų ūkio skolų pokytis ± atsargų likučių vertės pokytis ± gyvulių ir kitų gyvūnų likučių vertės pokytis ± pasėlių likučių vertės pokytis + ilgalaikio turto nusidėvėjimas" DocPartId="1bafd93ff8714af297383e29b8a50b9e" PartId="5faf8687a6cb4718956c2407e04024ac">
        <Part Type="punktas" Nr="72" Abbr="72 p." DocPartId="eb13c54ca1e34b788920917d305e684e" PartId="eb1d3ab9322d4cf09b6c9185b0c15e73"/>
        <Part Type="punktas" Nr="73" Abbr="73 p." DocPartId="22e03be35f8544c5a2e3fc27a855668d" PartId="b5a5d71be98d45679d1256c207d9c1a8"/>
        <Part Type="punktas" Nr="74" Abbr="74 p." DocPartId="c39e0a9bb83a4e3e90cadba17eb995d8" PartId="1ae93d5200d84a5197ee27d042e7c8ea"/>
        <Part Type="punktas" Nr="75" Abbr="75 p." DocPartId="af493aad590c4674a97f3b16c5cf2ea9" PartId="2cd9aebabef14955b29a9be6b5d51a7e"/>
        <Part Type="punktas" Nr="76" Abbr="76 p." DocPartId="a40ff5468d95443b9ed20b219fd04a21" PartId="fb1b49d3a66749e0a88b5fadb4f4a474"/>
        <Part Type="punktas" Nr="77" Abbr="77 p." DocPartId="0b209d0e2e58484c8cf1c97a6b794a9f" PartId="de670577664241e98031e634bdb8f148"/>
        <Part Type="punktas" Nr="78" Abbr="78 p." DocPartId="315b29b9b74a4beb84dc9da7250ae06f" PartId="a46328266b9d44b2abd7acc6697a8011"/>
        <Part Type="punktas" Nr="79" Abbr="79 p." DocPartId="0b228e06d2a44dd5975d62d3539012eb" PartId="54f9bacdca5e465f9053e2ac9ce906f5"/>
        <Part Type="skirsnis" Title="Ūkininko ūkio balansas" DocPartId="8b9d8cc2d4014a09b120412e8c21e3e1" PartId="4ccf3e120d9247149c422da91b2278e7">
          <Part Type="punktas" Nr="80" Abbr="80 p." DocPartId="22f19431c15c4180980fca34f3626fd5" PartId="87cfb4b54a1d4bb091d22b042349f6ea"/>
          <Part Type="punktas" Nr="81" Abbr="81 p." DocPartId="04ba5a6095264f8fa2806fa67564ecc2" PartId="5425033c17c54f11a30141f790164cf8"/>
          <Part Type="punktas" Nr="82" Abbr="82 p." DocPartId="74f9fd8bf63c48fbb97609e80b5e2650" PartId="da79ca8a0ef6406a88d1c7d21fe15a09"/>
          <Part Type="punktas" Nr="83" Abbr="83 p." DocPartId="24c11eea1d0441b8a070b272024516d7" PartId="3dfec98eaa0343c5aaefd2cc41e5dd45"/>
          <Part Type="punktas" Nr="84" Abbr="84 p." DocPartId="b0b2adbe61374111aeeee363f7a4cda4" PartId="c9f179844622488f95e233b3a1dfceb8"/>
          <Part Type="punktas" Nr="85" Abbr="85 p." DocPartId="1480b1ef606144ce9e8c2acf7d284f91" PartId="b5b53e1f43c7452884115e7f67e8a9c1"/>
          <Part Type="punktas" Nr="86" Abbr="86 p." DocPartId="6f7a9a277fab4cc890768ca0ebc94af1" PartId="d3ac0a15765d460f8981f47e2dd42c9e"/>
          <Part Type="punktas" Nr="87" Abbr="87 p." DocPartId="dc2fdbe840f0413ba209ee6170539aac" PartId="a80c488b442a4154b20e3d83b48006c1"/>
          <Part Type="punktas" Nr="88" Abbr="88 p." DocPartId="0bba2ee555c4484d87e8d4aa40e374c7" PartId="4c37c2583eca4e1582da6040a78d91b4"/>
          <Part Type="punktas" Nr="89" Abbr="89 p." DocPartId="d14e7aba2811485ea6b16e049b77680a" PartId="df6c476338a6482882e36a87c02d55d9"/>
          <Part Type="punktas" Nr="90" Abbr="90 p." DocPartId="7c4733fa32954cf9aeb156f21b3746d5" PartId="e121af1026464624829e4f1fee93c4c7"/>
          <Part Type="punktas" Nr="91" Abbr="91 p." DocPartId="382b28253236498296176b2161b16a67" PartId="9b2fa777e2e7469b83af965935bd32a1"/>
          <Part Type="punktas" Nr="92" Abbr="92 p." DocPartId="19ed4734064c4e3cad2abe66de928288" PartId="fa97b271ff4e40f185e9c07f0b9fc73c"/>
          <Part Type="punktas" Nr="93" Abbr="93 p." DocPartId="831647b36a514e059f0ee1fb778c0c01" PartId="250e4bb96e5741b6a6b4cadaa0826332"/>
          <Part Type="punktas" Nr="94" Abbr="94 p." DocPartId="5d93439d175d4ba8b47b0fe169c49267" PartId="e1e81da747b84078812d1908635e1bab"/>
          <Part Type="punktas" Nr="95" Abbr="95 p." DocPartId="44d548f64533419c92dfe8de33618b35" PartId="74fc086e37b64a2898049f2765e7ec95"/>
          <Part Type="punktas" Nr="96" Abbr="96 p." DocPartId="7024c2b1a0b84cd19775b59e2fd6b512" PartId="d72751754d124ff78b98da10cd2770a5"/>
          <Part Type="punktas" Nr="97" Abbr="97 p." DocPartId="e83cd633656d416c914a9e20acf73b97" PartId="8133a319a771449cb12fffd3fbf3fd8c"/>
          <Part Type="punktas" Nr="98" Abbr="98 p." DocPartId="bc06224ebf7043808dd0b9084ab8556d" PartId="2b482eae82c3486fa856bacdb05efa02"/>
          <Part Type="punktas" Nr="99" Abbr="99 p." DocPartId="ad1ea17d10eb4fb1b245bec02f410974" PartId="da25e0b94340418d8e333d3427dd6817"/>
          <Part Type="punktas" Nr="100" Abbr="100 p." DocPartId="a5662370461c482ab2deadac4bafd651" PartId="7fc92dc29f144c79b3d6f6f5a4e1357e"/>
        </Part>
        <Part Type="skirsnis" Title="Pinigų srautų ataskaita" DocPartId="ea3f99b8ba0543e0b9f24c6a0da0a906" PartId="b56573d18fee412eb9db65d4e4aec276">
          <Part Type="punktas" Nr="101" Abbr="101 p." DocPartId="b1a117f77b4c413c90a1db8a0bdf7749" PartId="fb4beacc521645c8be9a1b117e23a905"/>
          <Part Type="punktas" Nr="102" Abbr="102 p." DocPartId="88ac572b074d4a07a4b0c194a5637c22" PartId="91b06c9fb50c4473b57b4b866e99ee7a"/>
          <Part Type="punktas" Nr="103" Abbr="103 p." DocPartId="bd86951530e04d6e9c380dc895f5b96c" PartId="4b776d507b26486fb0798423d41d7202">
            <Part Type="punktas" Nr="103.1" Abbr="103.1 p." DocPartId="f882e4ee8e2f4f23b3e78c00429db6dd" PartId="507bcbf7d1ef48d5a72718e71ff5135f"/>
            <Part Type="punktas" Nr="103.2" Abbr="103.2 p." DocPartId="32052e095a8d45a8b88d5bf8918e4135" PartId="4e64ef2d83ac488ea411afcc7feb89db"/>
            <Part Type="punktas" Nr="103.3" Abbr="103.3 p." DocPartId="08caa24d05ce4b7a899942b0f51ae969" PartId="da9656821ee5474db7c3e25e0b6f59a7"/>
            <Part Type="punktas" Nr="103.4" Abbr="103.4 p." DocPartId="7c177bcdef504087bfdd5f075d620683" PartId="64f6efea078c4bdfa2438429c8b6ec8e"/>
            <Part Type="punktas" Nr="103.5" Abbr="103.5 p." DocPartId="f5d9f034d6974812a2d9509c6f200e84" PartId="6b4c7b04527f46d1b439dc131529da6a"/>
            <Part Type="punktas" Nr="103.6" Abbr="103.6 p." DocPartId="330aad6c907c49128bf978956b1a7292" PartId="dca18a0ad1ae4dcd9d4d9d4bc7d63ba6"/>
            <Part Type="punktas" Nr="103.7" Abbr="103.7 p." DocPartId="54a564ea10cc4ba4bba06a52bc0a7e5b" PartId="de88903aa3bf49a0a1ef8d39970e6bf1"/>
            <Part Type="punktas" Nr="103.8" Abbr="103.8 p." DocPartId="01822f6e06644fce8868c6860acc34a9" PartId="26be1b060d97425abdbed08415d4c0cf"/>
            <Part Type="punktas" Nr="103.9" Abbr="103.9 p." DocPartId="4becdc0f842f490a991792ab9e8651fe" PartId="308826e17ff04d4db8b2171497d20044"/>
            <Part Type="punktas" Nr="103.10" Abbr="103.10 p." DocPartId="3fb89b60c0c84f9f8b8fd2932042bf30" PartId="2ed842b1d21547dd9d5158651cccd67a"/>
            <Part Type="punktas" Nr="103.11" Abbr="103.11 p." DocPartId="0362a3a3754249be8c850710baca618c" PartId="48f7819414a942f99bb1e61d450bde57"/>
          </Part>
          <Part Type="punktas" Nr="104" Abbr="104 p." DocPartId="f39e1a1cdd2d48329529426382d137db" PartId="1913758a210446579b50235541d0ee5f">
            <Part Type="punktas" Nr="104.1" Abbr="104.1 p." DocPartId="b8ecedffb965412c94562e0c6472a60d" PartId="9c7e0a65718e40b9aeda2f06bdcd6945"/>
            <Part Type="punktas" Nr="104.2" Abbr="104.2 p." DocPartId="07cc2e83149248bfa5ca35a976ace9a2" PartId="2135b58858c84e33b50de2dfbb65669a"/>
            <Part Type="punktas" Nr="104.3" Abbr="104.3 p." DocPartId="ab5ad6972f724dc9b50c6a3bb8936f07" PartId="c9943748415a4ab1bb1b6bce5e183506"/>
          </Part>
          <Part Type="punktas" Nr="105" Abbr="105 p." DocPartId="8491f7d9fcd949ce9406e12ca32039ed" PartId="9d064800fce647cf9c3d5e076f11761a">
            <Part Type="punktas" Nr="105.1" Abbr="105.1 p." DocPartId="bf4c0270b8704157acdc1d4b11ab6f14" PartId="4d97c5c9188d4da7af3d2d4065ee019c"/>
            <Part Type="punktas" Nr="105.2" Abbr="105.2 p." DocPartId="d475c2b9671749a388eb3f00b36a9595" PartId="528f6cb6acce4fdb918fe08652df361c"/>
            <Part Type="punktas" Nr="105.3" Abbr="105.3 p." DocPartId="5da900e141274b3b8356acd39ec336a6" PartId="775ecbe37a4b4bacb4c7f7ffe4006ce1"/>
            <Part Type="punktas" Nr="105.4" Abbr="105.4 p." DocPartId="5d8cb8570d524b80ab9087431170faff" PartId="9b52f49ea7a7407c9cc2bd53e0712516"/>
            <Part Type="punktas" Nr="105.5" Abbr="105.5 p." DocPartId="3e623148e1ca4607b738e98946dd6c76" PartId="88b5a5d05ea24bdd8a673dfcfa14d977"/>
            <Part Type="punktas" Nr="105.6" Abbr="105.6 p." DocPartId="aa637fe023ea4354bd5c33cc0fb81534" PartId="1f5788c1af8445d4b94585eddbe83780"/>
            <Part Type="punktas" Nr="105.7" Abbr="105.7 p." DocPartId="e4a27a1e51644a59972ed6bc244c22d5" PartId="9a22fbb3451c4928a5e5d643b2fa0dc6"/>
            <Part Type="punktas" Nr="105.8" Abbr="105.8 p." DocPartId="8076e99d4c6f4dd9883e70383f92867b" PartId="7e629e34145d4a2a86942b32a8e9b389"/>
            <Part Type="punktas" Nr="105.9" Abbr="105.9 p." DocPartId="a222e445e07248d4b996e51e0cea5821" PartId="93b684f8b2184caeb4ffaeb6e13e4000"/>
          </Part>
          <Part Type="punktas" Nr="106" Abbr="106 p." DocPartId="9f147ed02bd94bf59b80f40f61a7457e" PartId="950fa77b5bdb4456998ae81b9cf37c19">
            <Part Type="punktas" Nr="106.1" Abbr="106.1 p." DocPartId="2c251a1e69214a628a804e4e66ef32a4" PartId="16db69c80a2a473bb243763802a73f2b"/>
            <Part Type="punktas" Nr="106.2" Abbr="106.2 p." DocPartId="36385b7569a940408aad74449b756ca0" PartId="c3f4e11fdac14dfaaa3f328d17548df8"/>
            <Part Type="punktas" Nr="106.3" Abbr="106.3 p." DocPartId="abdb0e63355d441c87004b2e1a23dd38" PartId="6b7861ab225d46eba16c82685688ad97"/>
            <Part Type="punktas" Nr="106.4" Abbr="106.4 p." DocPartId="b6096f25a272462f99588ad85dd487d3" PartId="49551a8414094180826fca6f4044dc93"/>
            <Part Type="punktas" Nr="106.5" Abbr="106.5 p." DocPartId="a64282429a3a497b8689d104ad20f8de" PartId="e37c585a1eeb465d8e8fa875e3ad2508"/>
            <Part Type="punktas" Nr="106.7" Abbr="106.7 p." DocPartId="69f958372f7e4d339d7fa6f45aa3f355" PartId="7e9d4ace1414409a979eebbf130654d3"/>
            <Part Type="punktas" Nr="106.8" Abbr="106.8 p." DocPartId="09d6055e828b489e8ea032154ad97781" PartId="7339af0326ae4f889af3d0d246bb0d6d"/>
          </Part>
        </Part>
      </Part>
    </Part>
    <Part Type="pabaiga" Nr="" Abbr="" Title="" DocPartId="27d5fa3fede54d6b91eac79ca2aaaff7" PartId="75c5d1ec3540466889a250009b9815c5"/>
  </Part>
  <Part Type="priedas" Nr="1" Abbr="1 pr." Title="" DocPartId="34b6084637e24d23bff5be46d96eded0" PartId="8f8835723172476b9ecb66af48b3bbc6">
    <Part Type="pabaiga" Nr="" Title="" DocPartId="4572bfb5f466483993a8c510a7fe33f9" PartId="abd8691c72574dfab86d20e163eaf794"/>
  </Part>
  <Part Type="priedas" Nr="2" Abbr="2 pr." DocPartId="90dbd3bff610457da4c81b9fcf98403c" PartId="3639dc3a07a146739a2e442b6ace5f97">
    <Part Type="pabaiga" Nr="" Title="" DocPartId="7e581af8594a45e5a559f1f6128acc3a" PartId="a3c4acd51ba34ec4a4ebc22d126075ca"/>
  </Part>
  <Part Type="priedas" Nr="3" Abbr="3 pr." DocPartId="6d6deff13b3240a8b87e85e10e1f0069" PartId="5b24a1b5dd3e4409bc189eb32758f925">
    <Part Type="pabaiga" Nr="" Title="" DocPartId="43179bb41e84415eb7bc2a698425612a" PartId="c4ab7eca17a84d768ccdef9ee477b1d2"/>
  </Part>
  <Part Type="priedas" Nr="4" Abbr="4 pr." DocPartId="ffb60d77259a48dfb303da1e378a985f" PartId="1432efef15c1403797e9bf71b9e517b0">
    <Part Type="pabaiga" Nr="" Title="" DocPartId="e0ca98f70b85470d9584e361e06476ba" PartId="68f38865b0ec47e6bcb8db3a9256a90a"/>
  </Part>
  <Part Type="priedas" Nr="5" Abbr="5 pr." DocPartId="00d722ef5ff74a3a8bb613d71ad60416" PartId="fb29c5b80a644190aec81091d329e41a">
    <Part Type="pabaiga" Nr="" Title="" DocPartId="e8899428df314353862e450df78cc17f" PartId="a4730b3a03db42519e36207306d5c685"/>
  </Part>
  <Part Type="priedas" Nr="6" Abbr="6 pr." DocPartId="a8eece223ff749d99adb34c821a17a74" PartId="8463422ed32548ef948ad91a3ed0bfe7">
    <Part Type="pabaiga" Nr="" Title="" DocPartId="62a0e591fbf64ec4a5a5de774e598de1" PartId="4f97685546d04767b767326254775718"/>
  </Part>
  <Part Type="priedas" Nr="7" Abbr="7 pr." DocPartId="ae6557bb0b3d4a1b890a7a8a5ec0dcc9" PartId="f5c5888f9d404157af7b941512064cc4">
    <Part Type="pabaiga" Nr="" Title="" DocPartId="a256d8793b294a099d671ec4cc3f30fc" PartId="9bf6c0167c1e4e4e8258dc2780302c3d"/>
  </Part>
  <Part Type="priedas" Nr="8" Abbr="8 pr." DocPartId="e6e1819508fa4922b59a66e3e99bd9c4" PartId="5ddde3ef58264d8c8fccce717a507c49">
    <Part Type="pabaiga" Nr="" Title="" DocPartId="24aed61418b44649a108384a70160281" PartId="9bf949d51e024cd3a314c6908d5569b7"/>
  </Part>
  <Part Type="priedas" Nr="9" Abbr="9 pr." DocPartId="1335d5b4f16e4cb2aab3f2cc93a93a60" PartId="8effa9f1c82442159a74478e86244f25">
    <Part Type="pabaiga" Nr="" Title="" DocPartId="fc8a9a64cb774052aac49260afc78176" PartId="5a109039fcf841a7a50b511aca067dab"/>
  </Part>
  <Part Type="priedas" Nr="10" Abbr="10 pr." DocPartId="43cedc0aebd64c0f809a89e33dba8931" PartId="28d21673a1d941c99218d5ed73615c59">
    <Part Type="pabaiga" Nr="" Title="" DocPartId="0e1389c1b1aa432a92ccd7bfc2fabed8" PartId="450d21a7c9f14163be14403b2ac8b7d2"/>
  </Part>
  <Part Type="priedas" Nr="11" Abbr="11 pr." DocPartId="3254ef36e67649cda9d785eac194c3b6" PartId="dd7773d9ce9b4b4e9f1cfe8cad6f36a9">
    <Part Type="pabaiga" Nr="" Title="" DocPartId="c92afffd245b4f2ca8971d6fb41c2c9c" PartId="35b486b607a646879597b9bcd30a0d45"/>
  </Part>
  <Part Type="priedas" Nr="12" Abbr="12 pr." DocPartId="a718c0b0b66347c09be4470d72f90d7f" PartId="6b97ccd8a718404787d49c77c8a2c409">
    <Part Type="pabaiga" Nr="" Title="" DocPartId="b7d9850f121a41bf9b5300917185910e" PartId="4d3ff702e61c4de7a75706cda25ef2b3"/>
  </Part>
  <Part Type="priedas" Nr="13" Abbr="13 pr." DocPartId="9dfb9078ee5f4f2191cd6dc1219faef6" PartId="71c602c836454004848e0559c8804475">
    <Part Type="pabaiga" Nr="" Title="" DocPartId="6efa7342cb034cd3b784ba7f4248d1b4" PartId="6246ffe4d0564722976b287df66b220a"/>
  </Part>
  <Part Type="priedas" Nr="14" Abbr="14 pr." DocPartId="79c05bbb8ccc478588c81fceadf38816" PartId="a6198aa587e74d2a946165a1dcc2ef12">
    <Part Type="pabaiga" Nr="" Title="" DocPartId="dd3b9504dbde4da5ae4c05774eeef714" PartId="da0b7af0775d4b4dacf4f1f26d74c836"/>
  </Part>
  <Part Type="priedas" Nr="15" Abbr="15 pr." DocPartId="024af36a02f3411b84b0e41a403f6aac" PartId="267b02f2da194f1384beb73a05c5ad4c">
    <Part Type="pabaiga" Nr="" Title="" DocPartId="e1a9878ff5854de9bf860b0025396a81" PartId="786e23fb572d446199cb2a4068f179b4"/>
  </Part>
  <Part Type="priedas" Nr="16" Abbr="16 pr." DocPartId="57faa364ee9649939dd43e7eaf9170c6" PartId="da476bcd87354ca29c9e9ba92ea6bda9">
    <Part Type="pabaiga" Nr="" Title="" DocPartId="9788e5878cc444ef93809e3b21dc918a" PartId="9341f993aac545cc9866e59ebdf915da"/>
  </Part>
</Parts>
</file>

<file path=customXml/itemProps1.xml><?xml version="1.0" encoding="utf-8"?>
<ds:datastoreItem xmlns:ds="http://schemas.openxmlformats.org/officeDocument/2006/customXml" ds:itemID="{FBF57F7D-861D-4DAB-8008-A5672B5E2737}">
  <ds:schemaRefs>
    <ds:schemaRef ds:uri="http://lrs.lt/TAIS/DocParts"/>
  </ds:schemaRefs>
</ds:datastoreItem>
</file>

<file path=docProps/app.xml><?xml version="1.0" encoding="utf-8"?>
<Properties xmlns="http://schemas.openxmlformats.org/officeDocument/2006/extended-properties">
  <Template>Normal.dotm</Template>
  <TotalTime>69</TotalTime>
  <Pages>33</Pages>
  <Words>48569</Words>
  <Characters>27685</Characters>
  <Application>Microsoft Office Word</Application>
  <DocSecurity>0</DocSecurity>
  <Lines>230</Lines>
  <Paragraphs>152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76102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2015-09-20T10:30:00Z</dcterms:created>
  <dc:creator>User</dc:creator>
  <lastModifiedBy>PAPINIGIENĖ Augustė</lastModifiedBy>
  <dcterms:modified xsi:type="dcterms:W3CDTF">2016-02-05T13:09:00Z</dcterms:modified>
  <revision>7</revision>
</coreProperties>
</file>