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15428115c8c41f18ab79f751e81dfbf"/>
        <w:lock w:val="sdtLocked"/>
        <w:richText/>
      </w:sdtPr>
      <w:sdtContent>
        <w:p>
          <w:pPr>
            <w:jc w:val="both"/>
            <w:rPr>
              <w:rFonts w:ascii="Times New Roman" w:hAnsi="Times New Roman"/>
            </w:rPr>
          </w:pPr>
          <w:r>
            <w:rPr>
              <w:rFonts w:ascii="Times New Roman" w:hAnsi="Times New Roman"/>
              <w:b/>
              <w:i/>
            </w:rPr>
            <w:t>Suvestinė redakcija nuo 2011-04-22 iki 2015-06-16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20D5FEC">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5" o:title=""/>
              </v:shape>
              <w:control r:id="rId16"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815428115c8c41f18ab79f751e81dfbf"/>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fb2ae064167a4a25a19e4e59aa0124c8"/>
            <w:lock w:val="sdtLocked"/>
            <w:richText/>
          </w:sdtPr>
          <w:sdtContent>
            <w:p>
              <w:pPr>
                <w:widowControl w:val="0"/>
                <w:ind w:firstLine="709"/>
                <w:jc w:val="both"/>
              </w:pPr>
              <w:r>
                <w:t xml:space="preserve">Vadovaudamasis Lietuvos Respublikos farmacijos įstatymo (Žin., 2006, Nr. </w:t>
              </w:r>
              <w:hyperlink r:id="rId17" w:tgtFrame="_blank" w:history="1">
                <w:r>
                  <w:rPr>
                    <w:color w:val="0000FF" w:themeColor="hyperlink"/>
                    <w:u w:val="single"/>
                  </w:rPr>
                  <w:t>78-3056</w:t>
                </w:r>
              </w:hyperlink>
              <w:r>
                <w:t xml:space="preserve">) 8 straipsnio 3 ir 4 dalimis,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8"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9"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0"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1"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2"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3"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f5c05f5f95344259b0925437220d9fba"/>
                <w:lock w:val="sdtLocked"/>
                <w:richText/>
              </w:sdtPr>
              <w:sdtContent>
                <w:p>
                  <w:pPr>
                    <w:widowControl w:val="0"/>
                    <w:ind w:firstLine="709"/>
                    <w:jc w:val="both"/>
                  </w:pPr>
                  <w:sdt>
                    <w:sdtPr>
                      <w:alias w:val="Numeris"/>
                      <w:tag w:val="nr_f5c05f5f95344259b0925437220d9fba"/>
                      <w:lock w:val="sdtLocked"/>
                      <w:richText/>
                    </w:sdtPr>
                    <w:sdtContent>
                      <w:r>
                        <w:t>3</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4" w:tgtFrame="_blank" w:history="1">
                    <w:r>
                      <w:rPr>
                        <w:color w:val="0000FF" w:themeColor="hyperlink"/>
                        <w:u w:val="single"/>
                      </w:rPr>
                      <w:t>102-2317</w:t>
                    </w:r>
                  </w:hyperlink>
                  <w:r>
                    <w:t>; 2004, Nr. 115-4284) ir kitų teisės aktų nustatyta tvarka bei atsižvelgiant į Taisyklių 4 punkto nuostatas.</w:t>
                  </w:r>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83ea6c180dc34dcdb34c87d79676dbcf"/>
                <w:lock w:val="sdtLocked"/>
                <w:richText/>
              </w:sdtPr>
              <w:sdtContent>
                <w:p>
                  <w:pPr>
                    <w:widowControl w:val="0"/>
                    <w:ind w:firstLine="709"/>
                    <w:jc w:val="both"/>
                  </w:pPr>
                  <w:sdt>
                    <w:sdtPr>
                      <w:alias w:val="Numeris"/>
                      <w:tag w:val="nr_83ea6c180dc34dcdb34c87d79676dbcf"/>
                      <w:lock w:val="sdtLocked"/>
                      <w:richText/>
                    </w:sdtPr>
                    <w:sdtContent>
                      <w:r>
                        <w:t>6</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3db73a207f0b4d219379d8e5ba89990f"/>
                <w:lock w:val="sdtLocked"/>
                <w:richText/>
              </w:sdtPr>
              <w:sdtContent>
                <w:p>
                  <w:pPr>
                    <w:widowControl w:val="0"/>
                    <w:ind w:firstLine="709"/>
                    <w:jc w:val="both"/>
                  </w:pPr>
                  <w:sdt>
                    <w:sdtPr>
                      <w:alias w:val="Numeris"/>
                      <w:tag w:val="nr_3db73a207f0b4d219379d8e5ba89990f"/>
                      <w:lock w:val="sdtLocked"/>
                      <w:richText/>
                    </w:sdtPr>
                    <w:sdtContent>
                      <w:r>
                        <w:t>9</w:t>
                      </w:r>
                    </w:sdtContent>
                  </w:sdt>
                  <w:r>
                    <w:t>. Šiose Taisyklėse vartojamos sąvokos:</w:t>
                  </w:r>
                </w:p>
                <w:p>
                  <w:pPr>
                    <w:widowControl w:val="0"/>
                    <w:ind w:firstLine="709"/>
                    <w:jc w:val="both"/>
                    <w:rPr>
                      <w:b/>
                      <w:bCs/>
                    </w:rPr>
                  </w:pPr>
                  <w:r>
                    <w:rPr>
                      <w:b/>
                      <w:bCs/>
                      <w:color w:val="000000"/>
                    </w:rPr>
                    <w:t>Centralizuotai perkami vaistiniai preparatai</w:t>
                  </w:r>
                  <w:r>
                    <w:rPr>
                      <w:color w:val="000000"/>
                    </w:rPr>
                    <w:t xml:space="preserve"> – vaistiniai preparatai, perkami pagal sveikatos apsaugos ministro patvirtintą Centralizuotai perkamų vaistinių preparatų ir medicinos pagalbos priemonių sąrašą, jų įsigijimo išlaidas apmokant iš Privalomojo sveikatos draudimo fondo biudžeto lėšų.</w:t>
                  </w:r>
                </w:p>
                <w:p>
                  <w:pPr>
                    <w:widowControl w:val="0"/>
                    <w:ind w:firstLine="709"/>
                    <w:jc w:val="both"/>
                  </w:pPr>
                  <w:r>
                    <w:rPr>
                      <w:b/>
                      <w:bCs/>
                    </w:rPr>
                    <w:t xml:space="preserve">Neregistruoti vaistiniai preparatai – </w:t>
                  </w:r>
                  <w:r>
                    <w:t>vaistiniai preparatai, neįrašyti į Lietuvos Respublikos ar Europos Bendrijos vaistinių preparatų registrą.</w:t>
                  </w:r>
                </w:p>
                <w:p>
                  <w:pPr>
                    <w:widowControl w:val="0"/>
                    <w:ind w:firstLine="709"/>
                    <w:jc w:val="both"/>
                  </w:pPr>
                  <w:r>
                    <w:rPr>
                      <w:b/>
                      <w:bCs/>
                    </w:rPr>
                    <w:t xml:space="preserve">Vardinis vaistinis preparatas – </w:t>
                  </w:r>
                  <w:r>
                    <w:t>pavieniam pacientui būtinas neregistruotas vaistinis preparatas, tiekiamas į Lietuvos Respubliką remiantis to paciento gydytojo paskyrimu, pateiktu pagal šių Taisyklių nustatytus reikalavimus, ir skirtas vartoti tiesiogiai šiam gydytojui atsakant.</w:t>
                  </w:r>
                </w:p>
                <w:p>
                  <w:pPr>
                    <w:widowControl w:val="0"/>
                    <w:ind w:firstLine="709"/>
                    <w:jc w:val="both"/>
                  </w:pPr>
                  <w:r>
                    <w:rPr>
                      <w:b/>
                      <w:bCs/>
                    </w:rPr>
                    <w:t xml:space="preserve">Vardinio vaistinio preparato skyrimo pareiškimas </w:t>
                  </w:r>
                  <w:r>
                    <w:t>(toliau – pareiškimas) – dokumentas, kuriuo gydytojas patvirtina būtinybę skirti vardinį vaistinį preparatą pacientui, o pacientas (jo atstovas) – sutikimą vartoti vardinį vaistinį preparatą.</w:t>
                  </w:r>
                </w:p>
                <w:p>
                  <w:pPr>
                    <w:widowControl w:val="0"/>
                    <w:ind w:firstLine="709"/>
                    <w:jc w:val="both"/>
                  </w:pPr>
                  <w:r>
                    <w:rPr>
                      <w:color w:val="000000"/>
                    </w:rPr>
                    <w:t xml:space="preserve">Kitos Taisyklėse vartojamos sąvokos atitinka Lietuvos Respublikos farmacijos įstatyme (Žin., 2006, Nr. </w:t>
                  </w:r>
                  <w:hyperlink r:id="rId25" w:tgtFrame="_blank" w:history="1">
                    <w:r>
                      <w:rPr>
                        <w:color w:val="0000FF" w:themeColor="hyperlink"/>
                        <w:u w:val="single"/>
                      </w:rPr>
                      <w:t>78-3056</w:t>
                    </w:r>
                  </w:hyperlink>
                  <w:r>
                    <w:rPr>
                      <w:color w:val="000000"/>
                    </w:rPr>
                    <w:t>)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201375d3b0c0482e988875852758f433"/>
                    <w:lock w:val="sdtLocked"/>
                    <w:richText/>
                  </w:sdtPr>
                  <w:sdtContent>
                    <w:p>
                      <w:pPr>
                        <w:widowControl w:val="0"/>
                        <w:ind w:firstLine="709"/>
                        <w:jc w:val="both"/>
                      </w:pPr>
                      <w:sdt>
                        <w:sdtPr>
                          <w:alias w:val="Numeris"/>
                          <w:tag w:val="nr_201375d3b0c0482e988875852758f433"/>
                          <w:lock w:val="sdtLocked"/>
                          <w:richText/>
                        </w:sdtPr>
                        <w:sdtContent>
                          <w:r>
                            <w:t>14.3</w:t>
                          </w:r>
                        </w:sdtContent>
                      </w:sdt>
                      <w:r>
                        <w:t xml:space="preserve">. vardinis vaistinis preparatas išrašomas vadovaujantis Vaistų receptų rašymo ir vaistų išdavimo (pardavimo) gyventojams taisyklėmis, patvirtintomis Lietuvos Respublikos sveikatos apsaugos ministro 2002 m. kovo 8 d. įsakymu Nr. 112 (Žin., 2002, Nr. </w:t>
                      </w:r>
                      <w:hyperlink r:id="rId26" w:tgtFrame="_blank" w:history="1">
                        <w:r>
                          <w:rPr>
                            <w:color w:val="0000FF" w:themeColor="hyperlink"/>
                            <w:u w:val="single"/>
                          </w:rPr>
                          <w:t>28-1013</w:t>
                        </w:r>
                      </w:hyperlink>
                      <w:r>
                        <w:t>). Papildomai recepto viršuje nurodoma „Vardinis vaistinis preparatas“;</w:t>
                      </w:r>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ac98f753f89c492f9cfc8dda30aa48bf"/>
                        <w:lock w:val="sdtLocked"/>
                        <w:richText/>
                      </w:sdtPr>
                      <w:sdtContent>
                        <w:p>
                          <w:pPr>
                            <w:widowControl w:val="0"/>
                            <w:ind w:firstLine="709"/>
                            <w:jc w:val="both"/>
                          </w:pPr>
                          <w:sdt>
                            <w:sdtPr>
                              <w:alias w:val="Numeris"/>
                              <w:tag w:val="nr_ac98f753f89c492f9cfc8dda30aa48bf"/>
                              <w:lock w:val="sdtLocked"/>
                              <w:richText/>
                            </w:sdtPr>
                            <w:sdtContent>
                              <w:r>
                                <w:t>15.1.1</w:t>
                              </w:r>
                            </w:sdtContent>
                          </w:sdt>
                          <w:r>
                            <w:t>. skiriamo vardinio vaistinio preparato pavadinimą, stiprumą, farmacinę formą, veikliųjų medžiagų pavadinimus ir kiekius, vienkartinę dozę, vartojimo būdą, periodiškumą, gydymui reikalingą dozuočių skaičių ir rinkodaros teisės turėtoją bei pažymi „Vardinis vaistinis preparatas“;</w:t>
                          </w:r>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627484744c74f72bd9b974222d18d42"/>
                    <w:lock w:val="sdtLocked"/>
                    <w:richText/>
                  </w:sdtPr>
                  <w:sdtContent>
                    <w:p>
                      <w:pPr>
                        <w:widowControl w:val="0"/>
                        <w:ind w:firstLine="709"/>
                        <w:jc w:val="both"/>
                      </w:pPr>
                      <w:sdt>
                        <w:sdtPr>
                          <w:alias w:val="Numeris"/>
                          <w:tag w:val="nr_d627484744c74f72bd9b974222d18d42"/>
                          <w:lock w:val="sdtLocked"/>
                          <w:richText/>
                        </w:sdtPr>
                        <w:sdtContent>
                          <w:r>
                            <w:t>15.3</w:t>
                          </w:r>
                        </w:sdtContent>
                      </w:sdt>
                      <w:r>
                        <w:t>. įstaigos padalinio atstovas ligoninės vaistinei, jei jos nėra, – už vaistinių preparatų užsakymą atsakingam asmeniui, pateikia atskirą vardinio vaistinio preparato reikalavimą, kuriame papildomai nurodoma vardinio vaistinio preparato pavadinimas, stiprumas, farmacinė forma, veikliųjų medžiagų pavadinimai ir kiekiai, rinkodaros teisės turėtojas, paciento vardas, pavardė, jo medicinos dokumento numeris, vardinį vaistinį preparatą skyrusio gydytojo vardas, pavardė, parašas ir data. Reikalavimo viršuje pažymima „vardinio vaistinio preparato“;</w:t>
                      </w:r>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989197e4e574beda2c06db80064a61f"/>
                <w:lock w:val="sdtLocked"/>
                <w:richText/>
              </w:sdtPr>
              <w:sdtContent>
                <w:p>
                  <w:pPr>
                    <w:widowControl w:val="0"/>
                    <w:ind w:firstLine="709"/>
                    <w:jc w:val="both"/>
                  </w:pPr>
                  <w:sdt>
                    <w:sdtPr>
                      <w:alias w:val="Numeris"/>
                      <w:tag w:val="nr_a989197e4e574beda2c06db80064a61f"/>
                      <w:lock w:val="sdtLocked"/>
                      <w:richText/>
                    </w:sdtPr>
                    <w:sdtContent>
                      <w:r>
                        <w:t>18</w:t>
                      </w:r>
                    </w:sdtContent>
                  </w:sdt>
                  <w:r>
                    <w:t>. Vaistininkas nedelsdamas pateikia atskirą vardinio vaistinio preparato užsakymą platinimo įmonei, kurio viršuje pažymi „vardinio vaistinio preparato“, ir papildomai nurodo vardinio vaistinio preparato pavadinimą, stiprumą, farmacinę formą, veikliųjų medžiagų pavadinimus ir kiekius, pakuotės dydį ir reikiamų pakuočių kiekį, rinkodaros teisės turėtoją.</w:t>
                  </w:r>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
                  <w:sdtPr>
                    <w:alias w:val="21-1 p."/>
                    <w:tag w:val="part_75bc3fd4922f4a81b94b255421c6f091"/>
                    <w:lock w:val="sdtLocked"/>
                    <w:richText/>
                  </w:sdtPr>
                  <w:sdtContent>
                    <w:p>
                      <w:pPr>
                        <w:widowControl w:val="0"/>
                        <w:suppressAutoHyphens/>
                        <w:ind w:firstLine="709"/>
                        <w:jc w:val="both"/>
                      </w:pPr>
                      <w:sdt>
                        <w:sdtPr>
                          <w:alias w:val="Numeris"/>
                          <w:tag w:val="nr_75bc3fd4922f4a81b94b255421c6f091"/>
                          <w:lock w:val="sdtLocked"/>
                          <w:richText/>
                        </w:sdtPr>
                        <w:sdtContent>
                          <w:r>
                            <w:rPr>
                              <w:color w:val="000000"/>
                            </w:rPr>
                            <w:t>21</w:t>
                          </w:r>
                          <w:r>
                            <w:rPr>
                              <w:color w:val="000000"/>
                              <w:vertAlign w:val="superscript"/>
                            </w:rPr>
                            <w:t>1</w:t>
                          </w:r>
                        </w:sdtContent>
                      </w:sdt>
                      <w:r>
                        <w:rPr>
                          <w:color w:val="000000"/>
                        </w:rPr>
                        <w:t>. 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Reikalingų vardinių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86d07cfc31484e2898ad25c43026a2f4"/>
        <w:lock w:val="sdtLocked"/>
        <w:richText/>
      </w:sdtPr>
      <w:sdtContent>
        <w:p>
          <w:pPr>
            <w:widowControl w:val="0"/>
            <w:ind w:left="5102"/>
            <w:divId w:val="1561088806"/>
          </w:pPr>
          <w:r>
            <w:br w:type="page"/>
            <w:t>Vardinių vaistinių preparatų įsigijimo</w:t>
          </w:r>
        </w:p>
        <w:p>
          <w:pPr>
            <w:widowControl w:val="0"/>
            <w:ind w:firstLine="5102"/>
            <w:divId w:val="1561088806"/>
          </w:pPr>
          <w:r>
            <w:t xml:space="preserve">Taisyklių priedas </w:t>
          </w:r>
        </w:p>
        <w:p>
          <w:pPr>
            <w:widowControl w:val="0"/>
            <w:ind w:firstLine="5102"/>
            <w:divId w:val="1561088806"/>
          </w:pPr>
        </w:p>
        <w:p>
          <w:pPr>
            <w:widowControl w:val="0"/>
            <w:ind w:firstLine="5102"/>
            <w:divId w:val="1561088806"/>
          </w:pPr>
          <w:r>
            <w:t>(Vardinio vaistinio preparato skyrimo</w:t>
          </w:r>
        </w:p>
        <w:p>
          <w:pPr>
            <w:widowControl w:val="0"/>
            <w:ind w:firstLine="5102"/>
            <w:divId w:val="1561088806"/>
          </w:pPr>
          <w:r>
            <w:t>pareiškimo forma)</w:t>
          </w:r>
        </w:p>
        <w:p>
          <w:pPr>
            <w:jc w:val="center"/>
            <w:divId w:val="1561088806"/>
          </w:pPr>
        </w:p>
        <w:p>
          <w:pPr>
            <w:jc w:val="center"/>
            <w:divId w:val="1561088806"/>
          </w:pPr>
          <w:r>
            <w:t>________________________________________________________</w:t>
          </w:r>
        </w:p>
        <w:p>
          <w:pPr>
            <w:widowControl w:val="0"/>
            <w:jc w:val="center"/>
            <w:divId w:val="1561088806"/>
            <w:rPr>
              <w:sz w:val="20"/>
            </w:rPr>
          </w:pPr>
          <w:r>
            <w:rPr>
              <w:sz w:val="20"/>
            </w:rPr>
            <w:t>(ambulatorinės asmens sveikatos priežiūros įstaigos pavadinimas)</w:t>
          </w:r>
        </w:p>
        <w:p>
          <w:pPr>
            <w:widowControl w:val="0"/>
            <w:jc w:val="center"/>
            <w:divId w:val="1561088806"/>
          </w:pPr>
          <w:r>
            <w:t>______________________________________________</w:t>
          </w:r>
        </w:p>
        <w:p>
          <w:pPr>
            <w:widowControl w:val="0"/>
            <w:jc w:val="center"/>
            <w:divId w:val="1561088806"/>
            <w:rPr>
              <w:sz w:val="20"/>
            </w:rPr>
          </w:pPr>
          <w:r>
            <w:rPr>
              <w:sz w:val="20"/>
            </w:rPr>
            <w:t>(kodas, adresas, telefonas, faksas, el. paštas)</w:t>
          </w:r>
        </w:p>
        <w:p>
          <w:pPr>
            <w:jc w:val="center"/>
            <w:divId w:val="1561088806"/>
          </w:pPr>
        </w:p>
        <w:sdt>
          <w:sdtPr>
            <w:alias w:val="Pavadinimas"/>
            <w:tag w:val="title_86d07cfc31484e2898ad25c43026a2f4"/>
            <w:lock w:val="sdtLocked"/>
            <w:richText/>
          </w:sdtPr>
          <w:sdtContent>
            <w:p>
              <w:pPr>
                <w:widowControl w:val="0"/>
                <w:jc w:val="center"/>
                <w:divId w:val="1561088806"/>
                <w:rPr>
                  <w:b/>
                  <w:bCs/>
                </w:rPr>
              </w:pPr>
              <w:r>
                <w:rPr>
                  <w:b/>
                  <w:bCs/>
                </w:rPr>
                <w:t xml:space="preserve">VARDINIO VAISTINIO PREPARATO SKYRIMO </w:t>
              </w:r>
            </w:p>
            <w:p>
              <w:pPr>
                <w:widowControl w:val="0"/>
                <w:jc w:val="center"/>
                <w:divId w:val="1561088806"/>
              </w:pPr>
              <w:r>
                <w:rPr>
                  <w:b/>
                  <w:bCs/>
                </w:rPr>
                <w:t>PAREIŠKIMAS</w:t>
              </w:r>
            </w:p>
          </w:sdtContent>
        </w:sdt>
        <w:p>
          <w:pPr>
            <w:widowControl w:val="0"/>
            <w:tabs>
              <w:tab w:val="left" w:leader="underscore" w:pos="1320"/>
              <w:tab w:val="left" w:leader="underscore" w:pos="2309"/>
            </w:tabs>
            <w:jc w:val="center"/>
            <w:divId w:val="1561088806"/>
          </w:pPr>
          <w:r>
            <w:rPr>
              <w:b/>
              <w:bCs/>
            </w:rPr>
            <w:t>_____________ Nr. ________</w:t>
          </w:r>
        </w:p>
        <w:p>
          <w:pPr>
            <w:widowControl w:val="0"/>
            <w:tabs>
              <w:tab w:val="center" w:pos="4218"/>
            </w:tabs>
            <w:ind w:firstLine="709"/>
            <w:jc w:val="both"/>
            <w:divId w:val="1561088806"/>
            <w:rPr>
              <w:sz w:val="20"/>
            </w:rPr>
          </w:pPr>
          <w:r>
            <w:rPr>
              <w:sz w:val="20"/>
            </w:rPr>
            <w:tab/>
            <w:t>(data)</w:t>
          </w:r>
        </w:p>
        <w:p>
          <w:pPr>
            <w:widowControl w:val="0"/>
            <w:tabs>
              <w:tab w:val="center" w:pos="4218"/>
            </w:tabs>
            <w:ind w:firstLine="709"/>
            <w:jc w:val="both"/>
            <w:divId w:val="1561088806"/>
            <w:rPr>
              <w:szCs w:val="24"/>
            </w:rPr>
          </w:pPr>
        </w:p>
        <w:tbl>
          <w:tblPr>
            <w:tblW w:w="9637" w:type="dxa"/>
            <w:tblLayout w:type="fixed"/>
            <w:tblCellMar>
              <w:left w:w="40" w:type="dxa"/>
              <w:right w:w="40" w:type="dxa"/>
            </w:tblCellMar>
            <w:tblLook w:val="0000" w:firstRow="0" w:lastRow="0" w:firstColumn="0" w:lastColumn="0" w:noHBand="0" w:noVBand="0"/>
          </w:tblPr>
          <w:tblGrid>
            <w:gridCol w:w="9637"/>
          </w:tblGrid>
          <w:tr>
            <w:trPr>
              <w:divId w:val="1561088806"/>
              <w:trHeight w:val="20"/>
            </w:trPr>
            <w:tc>
              <w:tcPr>
                <w:tcW w:w="9637" w:type="dxa"/>
                <w:tcBorders>
                  <w:top w:val="single" w:sz="6" w:space="0" w:color="auto"/>
                  <w:left w:val="single" w:sz="6" w:space="0" w:color="auto"/>
                  <w:right w:val="single" w:sz="6" w:space="0" w:color="auto"/>
                </w:tcBorders>
                <w:shd w:val="clear" w:color="auto" w:fill="FFFFFF"/>
              </w:tcPr>
              <w:p>
                <w:pPr>
                  <w:widowControl w:val="0"/>
                  <w:tabs>
                    <w:tab w:val="left" w:leader="dot" w:pos="9405"/>
                  </w:tabs>
                  <w:rPr>
                    <w:szCs w:val="24"/>
                  </w:rPr>
                </w:pPr>
                <w:r>
                  <w:rPr>
                    <w:szCs w:val="24"/>
                  </w:rPr>
                  <w:t xml:space="preserve">Gydytojo vardas, pavardė </w:t>
                  <w:tab/>
                </w:r>
              </w:p>
              <w:p>
                <w:pPr>
                  <w:widowControl w:val="0"/>
                  <w:tabs>
                    <w:tab w:val="left" w:leader="dot" w:pos="9405"/>
                  </w:tabs>
                  <w:rPr>
                    <w:szCs w:val="24"/>
                  </w:rPr>
                </w:pPr>
                <w:r>
                  <w:rPr>
                    <w:szCs w:val="24"/>
                  </w:rPr>
                  <w:t xml:space="preserve">Tel., faks., el. paštas </w:t>
                  <w:tab/>
                </w:r>
              </w:p>
              <w:p>
                <w:pPr>
                  <w:widowControl w:val="0"/>
                  <w:tabs>
                    <w:tab w:val="left" w:leader="dot" w:pos="9405"/>
                  </w:tabs>
                  <w:rPr>
                    <w:szCs w:val="24"/>
                  </w:rPr>
                </w:pPr>
              </w:p>
            </w:tc>
          </w:tr>
          <w:tr>
            <w:trPr>
              <w:divId w:val="1561088806"/>
              <w:trHeight w:val="20"/>
            </w:trPr>
            <w:tc>
              <w:tcPr>
                <w:tcW w:w="9637" w:type="dxa"/>
                <w:tcBorders>
                  <w:top w:val="single" w:sz="6"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Paciento vardas, pavardė, asmens kodas (gimimo data, jei neturi kodo)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Adresas </w:t>
                  <w:tab/>
                </w:r>
              </w:p>
              <w:p>
                <w:pPr>
                  <w:widowControl w:val="0"/>
                  <w:tabs>
                    <w:tab w:val="left" w:leader="dot" w:pos="9405"/>
                  </w:tabs>
                  <w:rPr>
                    <w:szCs w:val="24"/>
                  </w:rPr>
                </w:pPr>
                <w:r>
                  <w:rPr>
                    <w:szCs w:val="24"/>
                  </w:rPr>
                  <w:t xml:space="preserve">Medicinos dokumento rūšis ir Nr. </w:t>
                  <w:tab/>
                </w:r>
              </w:p>
              <w:p>
                <w:pPr>
                  <w:widowControl w:val="0"/>
                  <w:tabs>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rPr>
                    <w:szCs w:val="24"/>
                  </w:rPr>
                </w:pPr>
                <w:r>
                  <w:rPr>
                    <w:szCs w:val="24"/>
                  </w:rPr>
                  <w:t xml:space="preserve">Vaistinio preparato pavadinimas stiprumas farmacinė forma </w:t>
                  <w:tab/>
                </w:r>
              </w:p>
              <w:p>
                <w:pPr>
                  <w:widowControl w:val="0"/>
                  <w:tabs>
                    <w:tab w:val="left" w:leader="dot" w:pos="9405"/>
                  </w:tabs>
                  <w:rPr>
                    <w:szCs w:val="24"/>
                  </w:rPr>
                </w:pPr>
                <w:r>
                  <w:rPr>
                    <w:szCs w:val="24"/>
                  </w:rPr>
                  <w:t xml:space="preserve">Veikliųjų medžiagų pavadinimai ir kiekiai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Pakuotės dydis </w:t>
                  <w:tab/>
                </w:r>
              </w:p>
              <w:p>
                <w:pPr>
                  <w:widowControl w:val="0"/>
                  <w:tabs>
                    <w:tab w:val="left" w:leader="dot" w:pos="9405"/>
                  </w:tabs>
                  <w:rPr>
                    <w:szCs w:val="24"/>
                  </w:rPr>
                </w:pPr>
                <w:r>
                  <w:rPr>
                    <w:szCs w:val="24"/>
                  </w:rPr>
                  <w:t xml:space="preserve">Reikiamas pakuočių kiekis </w:t>
                  <w:tab/>
                </w:r>
              </w:p>
              <w:p>
                <w:pPr>
                  <w:widowControl w:val="0"/>
                  <w:tabs>
                    <w:tab w:val="left" w:leader="dot" w:pos="9405"/>
                  </w:tabs>
                  <w:rPr>
                    <w:szCs w:val="24"/>
                  </w:rPr>
                </w:pPr>
                <w:r>
                  <w:rPr>
                    <w:szCs w:val="24"/>
                  </w:rPr>
                  <w:t>Vienkartinė dozė, vartojimo būdas ir periodiškumas</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Rinkodaros teisės turėtojas</w:t>
                  <w:tab/>
                </w:r>
              </w:p>
              <w:p>
                <w:pPr>
                  <w:widowControl w:val="0"/>
                  <w:tabs>
                    <w:tab w:val="left" w:leader="dot" w:pos="9298"/>
                    <w:tab w:val="left" w:leader="dot" w:pos="9405"/>
                  </w:tabs>
                  <w:rPr>
                    <w:szCs w:val="24"/>
                  </w:rPr>
                </w:pPr>
              </w:p>
            </w:tc>
          </w:tr>
          <w:tr>
            <w:trPr>
              <w:divId w:val="1561088806"/>
              <w:trHeight w:val="20"/>
            </w:trPr>
            <w:tc>
              <w:tcPr>
                <w:tcW w:w="9637" w:type="dxa"/>
                <w:tcBorders>
                  <w:top w:val="single" w:sz="4"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Patvirtinu, kad: </w:t>
                </w:r>
              </w:p>
              <w:p>
                <w:pPr>
                  <w:widowControl w:val="0"/>
                  <w:tabs>
                    <w:tab w:val="left" w:leader="dot" w:pos="9405"/>
                  </w:tabs>
                  <w:ind w:firstLine="709"/>
                  <w:jc w:val="both"/>
                  <w:rPr>
                    <w:szCs w:val="24"/>
                  </w:rPr>
                </w:pPr>
                <w:r>
                  <w:rPr>
                    <w:szCs w:val="24"/>
                  </w:rPr>
                  <w:t xml:space="preserve">– esu susipažinęs(-usi) su moksliškai pagrįsta informacija apie šio vaistinio preparato klinikines, farmakologines ir farmacines savybes; </w:t>
                </w:r>
              </w:p>
              <w:p>
                <w:pPr>
                  <w:widowControl w:val="0"/>
                  <w:tabs>
                    <w:tab w:val="left" w:leader="dot" w:pos="9405"/>
                  </w:tabs>
                  <w:ind w:firstLine="709"/>
                  <w:jc w:val="both"/>
                  <w:rPr>
                    <w:szCs w:val="24"/>
                  </w:rPr>
                </w:pPr>
                <w:r>
                  <w:rPr>
                    <w:szCs w:val="24"/>
                  </w:rPr>
                  <w:t xml:space="preserve">– pacientui (jo atstovui) pateikiau išsamią informaciją apie šio vardinio vaistinio preparato skyrimo priežastis, laukiamą terapinę naudą, vartojimo ypatumus, atsargumo priemones, galimą nepageidaujamą poveikį; </w:t>
                </w:r>
              </w:p>
              <w:p>
                <w:pPr>
                  <w:widowControl w:val="0"/>
                  <w:tabs>
                    <w:tab w:val="left" w:leader="dot" w:pos="9405"/>
                  </w:tabs>
                  <w:ind w:firstLine="709"/>
                  <w:jc w:val="both"/>
                  <w:rPr>
                    <w:szCs w:val="24"/>
                  </w:rPr>
                </w:pPr>
                <w:r>
                  <w:rPr>
                    <w:szCs w:val="24"/>
                  </w:rPr>
                  <w:t>– šį vardinį vaistinį preparatą skiriu vadovaudamasis(-asi) Lietuvos Respublikos sveikatos apsaugos ministro patvirtintomis Vardinių vaistinių preparatų įsigijimo taisyklėmis.</w:t>
                </w:r>
              </w:p>
              <w:p>
                <w:pPr>
                  <w:widowControl w:val="0"/>
                  <w:tabs>
                    <w:tab w:val="left" w:pos="6156"/>
                    <w:tab w:val="left" w:leader="dot" w:pos="9405"/>
                  </w:tabs>
                  <w:rPr>
                    <w:szCs w:val="24"/>
                  </w:rPr>
                </w:pPr>
                <w:r>
                  <w:rPr>
                    <w:szCs w:val="24"/>
                  </w:rPr>
                  <w:t>Gydytojas ________________________</w:t>
                  <w:tab/>
                  <w:t>________________________</w:t>
                </w:r>
              </w:p>
              <w:p>
                <w:pPr>
                  <w:widowControl w:val="0"/>
                  <w:tabs>
                    <w:tab w:val="center" w:pos="2280"/>
                    <w:tab w:val="center" w:pos="7467"/>
                    <w:tab w:val="left" w:leader="dot" w:pos="9405"/>
                  </w:tabs>
                  <w:rPr>
                    <w:sz w:val="20"/>
                  </w:rPr>
                </w:pPr>
                <w:r>
                  <w:rPr>
                    <w:sz w:val="20"/>
                  </w:rPr>
                  <w:tab/>
                  <w:t>(parašas)</w:t>
                  <w:tab/>
                  <w:t>(vardas ir pavardė)</w:t>
                </w:r>
              </w:p>
              <w:p>
                <w:pPr>
                  <w:widowControl w:val="0"/>
                  <w:tabs>
                    <w:tab w:val="left" w:pos="5720"/>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jc w:val="both"/>
                  <w:rPr>
                    <w:szCs w:val="24"/>
                  </w:rPr>
                </w:pPr>
                <w:r>
                  <w:rPr>
                    <w:szCs w:val="24"/>
                  </w:rPr>
                  <w:t>Esu informuotas apie vaistinio preparato skyrimo priežastis, laukiamą terapinę naudą, vartojimo ypatumus, atsargumo priemones, galimą nepageidaujamą poveikį ir sutinku jį vartoti:</w:t>
                </w:r>
              </w:p>
              <w:p>
                <w:pPr>
                  <w:widowControl w:val="0"/>
                  <w:tabs>
                    <w:tab w:val="left" w:leader="dot" w:pos="9405"/>
                  </w:tabs>
                  <w:rPr>
                    <w:szCs w:val="24"/>
                  </w:rPr>
                </w:pPr>
                <w:r>
                  <w:rPr>
                    <w:szCs w:val="24"/>
                  </w:rPr>
                  <w:t>___________________________</w:t>
                </w:r>
              </w:p>
              <w:p>
                <w:pPr>
                  <w:widowControl w:val="0"/>
                  <w:tabs>
                    <w:tab w:val="left" w:leader="dot" w:pos="9405"/>
                  </w:tabs>
                  <w:rPr>
                    <w:sz w:val="20"/>
                  </w:rPr>
                </w:pPr>
                <w:r>
                  <w:rPr>
                    <w:sz w:val="20"/>
                  </w:rPr>
                  <w:t>(paciento (jo atstovo) parašas)</w:t>
                </w:r>
              </w:p>
              <w:p>
                <w:pPr>
                  <w:widowControl w:val="0"/>
                  <w:tabs>
                    <w:tab w:val="left" w:leader="dot" w:pos="9405"/>
                  </w:tabs>
                  <w:rPr>
                    <w:szCs w:val="24"/>
                  </w:rPr>
                </w:pPr>
                <w:r>
                  <w:rPr>
                    <w:szCs w:val="24"/>
                  </w:rPr>
                  <w:t>_________________________________</w:t>
                </w:r>
              </w:p>
              <w:p>
                <w:pPr>
                  <w:widowControl w:val="0"/>
                  <w:tabs>
                    <w:tab w:val="left" w:leader="dot" w:pos="9405"/>
                  </w:tabs>
                  <w:rPr>
                    <w:sz w:val="20"/>
                  </w:rPr>
                </w:pPr>
                <w:r>
                  <w:rPr>
                    <w:sz w:val="20"/>
                  </w:rPr>
                  <w:t>(paciento (jo atstovo) vardas ir pavardė)</w:t>
                </w:r>
              </w:p>
              <w:p>
                <w:pPr>
                  <w:widowControl w:val="0"/>
                  <w:tabs>
                    <w:tab w:val="left" w:leader="dot" w:pos="9405"/>
                  </w:tabs>
                  <w:rPr>
                    <w:szCs w:val="24"/>
                  </w:rPr>
                </w:pPr>
                <w:r>
                  <w:rPr>
                    <w:szCs w:val="24"/>
                  </w:rPr>
                  <w:t>________________</w:t>
                </w:r>
              </w:p>
              <w:p>
                <w:pPr>
                  <w:widowControl w:val="0"/>
                  <w:tabs>
                    <w:tab w:val="left" w:leader="dot" w:pos="9405"/>
                  </w:tabs>
                  <w:jc w:val="both"/>
                  <w:rPr>
                    <w:sz w:val="20"/>
                  </w:rPr>
                </w:pPr>
                <w:r>
                  <w:rPr>
                    <w:sz w:val="20"/>
                  </w:rPr>
                  <w:t>(data)</w:t>
                </w:r>
              </w:p>
            </w:tc>
          </w:tr>
        </w:tbl>
        <w:p>
          <w:pPr>
            <w:widowControl w:val="0"/>
            <w:jc w:val="center"/>
            <w:divId w:val="1561088806"/>
          </w:pPr>
          <w:r>
            <w:t>______________</w:t>
          </w:r>
        </w:p>
        <w:p>
          <w:pPr>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171804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FF33B3BF23DD"/>
  <Relationship Id="rId18" Type="http://schemas.openxmlformats.org/officeDocument/2006/relationships/hyperlink" TargetMode="External" Target="https://www.e-tar.lt/portal/lt/legalAct/TAR.1C76CA72A96F"/>
  <Relationship Id="rId19" Type="http://schemas.openxmlformats.org/officeDocument/2006/relationships/hyperlink" TargetMode="External" Target="https://www.e-tar.lt/portal/lt/legalAct/TAR.1C76CA72A96F"/>
  <Relationship Id="rId2" Type="http://schemas.openxmlformats.org/officeDocument/2006/relationships/header" Target="header2.xml"/>
  <Relationship Id="rId20" Type="http://schemas.openxmlformats.org/officeDocument/2006/relationships/hyperlink" TargetMode="External" Target="https://www.e-tar.lt/portal/lt/legalAct/TAR.AB4F9CF4C7FD"/>
  <Relationship Id="rId21" Type="http://schemas.openxmlformats.org/officeDocument/2006/relationships/hyperlink" TargetMode="External" Target="https://www.e-tar.lt/portal/lt/legalAct/TAR.A8CB7E641F8B"/>
  <Relationship Id="rId22" Type="http://schemas.openxmlformats.org/officeDocument/2006/relationships/hyperlink" TargetMode="External" Target="https://www.e-tar.lt/portal/lt/legalAct/TAR.B3C45AF5E24B"/>
  <Relationship Id="rId23" Type="http://schemas.openxmlformats.org/officeDocument/2006/relationships/hyperlink" TargetMode="External" Target="https://www.e-tar.lt/portal/lt/legalAct/TAR.BEC7B5E76BCF"/>
  <Relationship Id="rId24" Type="http://schemas.openxmlformats.org/officeDocument/2006/relationships/hyperlink" TargetMode="External" Target="https://www.e-tar.lt/portal/lt/legalAct/TAR.C6E4170DB704"/>
  <Relationship Id="rId25" Type="http://schemas.openxmlformats.org/officeDocument/2006/relationships/hyperlink" TargetMode="External" Target="https://www.e-tar.lt/portal/lt/legalAct/TAR.FF33B3BF23DD"/>
  <Relationship Id="rId26" Type="http://schemas.openxmlformats.org/officeDocument/2006/relationships/hyperlink" TargetMode="External" Target="https://www.e-tar.lt/portal/lt/legalAct/TAR.8268A928D936"/>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815428115c8c41f18ab79f751e81dfbf">
    <Part Type="preambule" DocPartId="f4fe285b78014a28aa2e3a6c4ec06f67" PartId="fb2ae064167a4a25a19e4e59aa0124c8"/>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f5c05f5f95344259b0925437220d9fba"/>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83ea6c180dc34dcdb34c87d79676dbcf"/>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3db73a207f0b4d219379d8e5ba89990f"/>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201375d3b0c0482e988875852758f433"/>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Title="" DocPartId="e0fa3c19ff3348d189be4789dc5d8314" PartId="d4227004e90c4ba0a5418c81cafd604d"/>
      <Part Type="punktas" Nr="15" Abbr="15 p." DocPartId="a246321b49eb4e069bf1f21394eae31a" PartId="725bd96827f6415d962a3b4654951fc3">
        <Part Type="punktas" Nr="15.1" Abbr="15.1 p." DocPartId="68eda6d154e24bfa88a4ca8b19351322" PartId="56d12e56b350421c903ab7b61a0c2e41">
          <Part Type="punktas" Nr="15.1.1" Abbr="15.1.1 p." DocPartId="29aac7db82fa4b7ba98de8899759e289" PartId="ac98f753f89c492f9cfc8dda30aa48bf"/>
          <Part Type="punktas" Nr="15.1.2" Abbr="15.1.2 p." DocPartId="8739a409422b4f7daeeff1aa2efb6663" PartId="9434c48f4d8a47f9baa3540fcc5cf05d"/>
        </Part>
        <Part Type="punktas" Nr="15.2" Abbr="15.2 p." DocPartId="ed788c95be614f308f44d6392c6137d1" PartId="ab734d508f6947e3862e097741400ddb"/>
        <Part Type="punktas" Nr="15.3" Abbr="15.3 p." DocPartId="13912144187d4684929b3b4fe8a075eb" PartId="d627484744c74f72bd9b974222d18d42"/>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989197e4e574beda2c06db80064a61f"/>
      <Part Type="punktas" Nr="19" Abbr="19 p." DocPartId="4529b4b0c0c64f579206f0c263aa5502" PartId="c0dcd9f26a5c402a9e8180a2b98bc263"/>
      <Part Type="punktas" Nr="20" Abbr="20 p." DocPartId="c65c8275d7a4473783e74e48bf26def9" PartId="055e7ff67c9a4b9296c12ce80ed27ff5"/>
      <Part Type="punktas" Nr="20-1" Abbr="20-1 p." Title=""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Type="punktas" Nr="21-1" Abbr="21-1 p." Title="" DocPartId="41eabe7d32b0471d86639f9fdf6070fa" PartId="75bc3fd4922f4a81b94b255421c6f091"/>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Nr="" Title="" DocPartId="c37d24399ba343f8935e4f4a864bf950" PartId="3c05178b2d1b492b8f9439eab9ad7b83"/>
  </Part>
  <Part Type="forma" Abbr="frm." Title="VARDINIO VAISTINIO PREPARATO SKYRIMO PAREIŠKIMAS" DocPartId="4bb8d1b4bcf5425ea8cfd30aec0ac989" PartId="86d07cfc31484e2898ad25c43026a2f4"/>
</Parts>
</file>

<file path=customXml/itemProps1.xml><?xml version="1.0" encoding="utf-8"?>
<ds:datastoreItem xmlns:ds="http://schemas.openxmlformats.org/officeDocument/2006/customXml" ds:itemID="{98A684F1-7323-407F-A607-2462A822138E}">
  <ds:schemaRefs>
    <ds:schemaRef ds:uri="http://lrs.lt/TAIS/DocParts"/>
  </ds:schemaRefs>
</ds:datastoreItem>
</file>

<file path=docProps/app.xml><?xml version="1.0" encoding="utf-8"?>
<Properties xmlns="http://schemas.openxmlformats.org/officeDocument/2006/extended-properties">
  <Template>Normal.dotm</Template>
  <TotalTime>13</TotalTime>
  <Pages>8</Pages>
  <Words>14822</Words>
  <Characters>8449</Characters>
  <Application>Microsoft Office Word</Application>
  <DocSecurity>0</DocSecurity>
  <Lines>70</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23225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2015-11-02T09:31:00Z</dcterms:modified>
  <revision>11</revision>
</coreProperties>
</file>