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cd8e7e6a79d4ab0a427308cb9108916"/>
        <w:lock w:val="sdtLocked"/>
        <w:richText/>
      </w:sdtPr>
      <w:sdtContent>
        <w:p>
          <w:pPr>
            <w:jc w:val="both"/>
            <w:rPr>
              <w:rFonts w:ascii="Times New Roman" w:hAnsi="Times New Roman"/>
            </w:rPr>
          </w:pPr>
          <w:r>
            <w:rPr>
              <w:rFonts w:ascii="Times New Roman" w:hAnsi="Times New Roman"/>
              <w:b/>
              <w:i/>
            </w:rPr>
            <w:t>Suvestinė redakcija nuo 2020-12-02 iki 2023-12-06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9" o:title=""/>
              </v:shape>
              <w:control r:id="rId10"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0cd8e7e6a79d4ab0a427308cb9108916"/>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1"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2"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13"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14"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15"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16"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21ed1db95d0a440db6564571a0255db6"/>
        <w:lock w:val="sdtLocked"/>
        <w:richText/>
      </w:sdtPr>
      <w:sdtContent>
        <w:p>
          <w:pPr>
            <w:widowControl w:val="0"/>
            <w:ind w:left="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widowControl w:val="0"/>
            <w:ind w:left="5102"/>
          </w:pPr>
          <w:r>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21ed1db95d0a440db6564571a0255db6"/>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88e31f6e0499467c92c72aa4fe61414e"/>
            <w:lock w:val="sdtLocked"/>
            <w:richText/>
          </w:sdtPr>
          <w:sdtContent>
            <w:p>
              <w:pPr>
                <w:widowControl w:val="0"/>
                <w:jc w:val="center"/>
              </w:pPr>
              <w:sdt>
                <w:sdtPr>
                  <w:alias w:val="Numeris"/>
                  <w:tag w:val="nr_88e31f6e0499467c92c72aa4fe61414e"/>
                  <w:lock w:val="sdtLocked"/>
                  <w:richText/>
                </w:sdtPr>
                <w:sdtContent>
                  <w:r>
                    <w:rPr>
                      <w:b/>
                      <w:bCs/>
                    </w:rPr>
                    <w:t>I SKYRIUS</w:t>
                  </w:r>
                </w:sdtContent>
              </w:sdt>
            </w:p>
            <w:p>
              <w:pPr>
                <w:widowControl w:val="0"/>
                <w:jc w:val="center"/>
              </w:pPr>
              <w:sdt>
                <w:sdtPr>
                  <w:alias w:val="Pavadinimas"/>
                  <w:tag w:val="title_88e31f6e0499467c92c72aa4fe61414e"/>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2cf601225cd3488caf67c05ed1a39212"/>
                    <w:lock w:val="sdtLocked"/>
                    <w:richText/>
                  </w:sdtPr>
                  <w:sdtContent>
                    <w:p>
                      <w:pPr>
                        <w:ind w:firstLine="709"/>
                        <w:jc w:val="both"/>
                      </w:pPr>
                      <w:sdt>
                        <w:sdtPr>
                          <w:alias w:val="Numeris"/>
                          <w:tag w:val="nr_2cf601225cd3488caf67c05ed1a39212"/>
                          <w:lock w:val="sdtLocked"/>
                          <w:richText/>
                        </w:sdtPr>
                        <w:sdtContent>
                          <w:r>
                            <w:rPr>
                              <w:szCs w:val="24"/>
                            </w:rPr>
                            <w:t>2.1</w:t>
                          </w:r>
                        </w:sdtContent>
                      </w:sdt>
                      <w:r>
                        <w:rPr>
                          <w:szCs w:val="24"/>
                        </w:rPr>
                        <w:t xml:space="preserve">. </w:t>
                      </w:r>
                      <w:r>
                        <w:rPr>
                          <w:color w:val="000000"/>
                          <w:szCs w:val="24"/>
                        </w:rPr>
                        <w:t xml:space="preserve">narkotiniams vaistiniams preparatams (išskyrus kompensuojamuosius vaistinius preparatus ir atvejus, kai asmens sveikatos priežiūros įstaiga įsigyja vaistinį preparatą, įrašytą į asmens sveikatos priežiūros įstaigos vadovo patvirtintą Reikalingų vardinių vaistinių preparatų sąrašą (toliau – Sąrašas));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470bf04f8f11e9975f9c35aedfe438">
                        <w:r w:rsidRPr="00532B9F">
                          <w:rPr>
                            <w:rFonts w:ascii="Times New Roman" w:eastAsia="MS Mincho" w:hAnsi="Times New Roman"/>
                            <w:sz w:val="20"/>
                            <w:i/>
                            <w:iCs/>
                            <w:color w:val="0000FF" w:themeColor="hyperlink"/>
                            <w:u w:val="single"/>
                          </w:rPr>
                          <w:t>V-353</w:t>
                        </w:r>
                      </w:fldSimple>
                      <w:r>
                        <w:rPr>
                          <w:rFonts w:ascii="Times New Roman" w:eastAsia="MS Mincho" w:hAnsi="Times New Roman"/>
                          <w:sz w:val="20"/>
                          <w:i/>
                          <w:iCs/>
                        </w:rPr>
                        <w:t>,
2019-03-25,
paskelbta TAR 2019-03-26, i. k. 2019-04611            </w:t>
                      </w:r>
                    </w:p>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b469b2d1776646608f5722541b883244"/>
                <w:lock w:val="sdtLocked"/>
                <w:richText/>
              </w:sdtPr>
              <w:sdtContent>
                <w:p>
                  <w:pPr>
                    <w:ind w:firstLine="709"/>
                    <w:jc w:val="both"/>
                  </w:pPr>
                  <w:sdt>
                    <w:sdtPr>
                      <w:alias w:val="Numeris"/>
                      <w:tag w:val="nr_b469b2d1776646608f5722541b883244"/>
                      <w:lock w:val="sdtLocked"/>
                      <w:richText/>
                    </w:sdtPr>
                    <w:sdtContent>
                      <w:r>
                        <w:rPr>
                          <w:szCs w:val="24"/>
                        </w:rPr>
                        <w:t>4</w:t>
                      </w:r>
                    </w:sdtContent>
                  </w:sdt>
                  <w:r>
                    <w:rPr>
                      <w:szCs w:val="24"/>
                    </w:rPr>
                    <w:t>. Vardinis vaistinis preparatas turi būti registruotas bent vienoje kitoje EEE valstybėje arba gamintojo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1f4cd23d8d9c4055815ab556400ac84d"/>
                <w:lock w:val="sdtLocked"/>
                <w:richText/>
              </w:sdtPr>
              <w:sdtContent>
                <w:p>
                  <w:pPr>
                    <w:ind w:firstLine="709"/>
                    <w:jc w:val="both"/>
                    <w:rPr>
                      <w:szCs w:val="24"/>
                    </w:rPr>
                  </w:pPr>
                  <w:sdt>
                    <w:sdtPr>
                      <w:alias w:val="Numeris"/>
                      <w:tag w:val="nr_1f4cd23d8d9c4055815ab556400ac84d"/>
                      <w:lock w:val="sdtLocked"/>
                      <w:richText/>
                    </w:sdtPr>
                    <w:sdtContent>
                      <w:r>
                        <w:rPr>
                          <w:szCs w:val="24"/>
                        </w:rPr>
                        <w:t>8</w:t>
                      </w:r>
                    </w:sdtContent>
                  </w:sdt>
                  <w:r>
                    <w:rPr>
                      <w:szCs w:val="24"/>
                    </w:rPr>
                    <w:t>. Vadovaujantis šiomis Taisyklėmis taip pat gali būti skiriami šie vaistiniai preparatai:</w:t>
                  </w:r>
                </w:p>
                <w:sdt>
                  <w:sdtPr>
                    <w:alias w:val="8.1 pp."/>
                    <w:tag w:val="part_9a8360e0cf614eb08beee48e0cae75d0"/>
                    <w:lock w:val="sdtLocked"/>
                    <w:richText/>
                  </w:sdtPr>
                  <w:sdtContent>
                    <w:p>
                      <w:pPr>
                        <w:ind w:firstLine="709"/>
                        <w:jc w:val="both"/>
                        <w:rPr>
                          <w:szCs w:val="24"/>
                        </w:rPr>
                      </w:pPr>
                      <w:sdt>
                        <w:sdtPr>
                          <w:alias w:val="Numeris"/>
                          <w:tag w:val="nr_9a8360e0cf614eb08beee48e0cae75d0"/>
                          <w:lock w:val="sdtLocked"/>
                          <w:richText/>
                        </w:sdtPr>
                        <w:sdtContent>
                          <w:r>
                            <w:rPr>
                              <w:szCs w:val="24"/>
                            </w:rPr>
                            <w:t>8.1</w:t>
                          </w:r>
                        </w:sdtContent>
                      </w:sdt>
                      <w:r>
                        <w:rPr>
                          <w:szCs w:val="24"/>
                        </w:rPr>
                        <w:t xml:space="preserve">.  registruoti vaistiniai preparatai, kurių pakuotė ir (ar) pakuotės lapelis parengti ne lietuvių kalba (išskyrus teisės aktų nustatytus atvejus, kai pakuotė ir (ar) pakuotės lapelis gali būti parengtas tik užsienio kalba) (toliau – registracijos sąlygų neatitinkantis vaistinis preparatas), išskyrus kompensuojamuosius ir centralizuotai perkamus registruotus vaistinius preparatus;</w:t>
                      </w:r>
                    </w:p>
                  </w:sdtContent>
                </w:sdt>
                <w:sdt>
                  <w:sdtPr>
                    <w:alias w:val="8.2 pp."/>
                    <w:tag w:val="part_d87e5a8acfee47f296ed1fb0aecdedfa"/>
                    <w:lock w:val="sdtLocked"/>
                    <w:richText/>
                  </w:sdtPr>
                  <w:sdtContent>
                    <w:p>
                      <w:pPr>
                        <w:ind w:firstLine="709"/>
                        <w:jc w:val="both"/>
                      </w:pPr>
                      <w:sdt>
                        <w:sdtPr>
                          <w:alias w:val="Numeris"/>
                          <w:tag w:val="nr_d87e5a8acfee47f296ed1fb0aecdedfa"/>
                          <w:lock w:val="sdtLocked"/>
                          <w:richText/>
                        </w:sdtPr>
                        <w:sdtContent>
                          <w:r>
                            <w:rPr>
                              <w:szCs w:val="24"/>
                            </w:rPr>
                            <w:t>8.2</w:t>
                          </w:r>
                        </w:sdtContent>
                      </w:sdt>
                      <w:r>
                        <w:rPr>
                          <w:szCs w:val="24"/>
                        </w:rPr>
                        <w:t xml:space="preserve">. kompensuojamieji ir centralizuotai perkami neregistruoti vaistiniai preparatai.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1 p."/>
                <w:tag w:val="part_37f70017e5ce4a9aa145877e39371eff"/>
                <w:lock w:val="sdtLocked"/>
                <w:richText/>
              </w:sdtPr>
              <w:sdtContent>
                <w:p>
                  <w:pPr>
                    <w:ind w:firstLine="709"/>
                    <w:jc w:val="both"/>
                  </w:pPr>
                  <w:sdt>
                    <w:sdtPr>
                      <w:alias w:val="Numeris"/>
                      <w:tag w:val="nr_37f70017e5ce4a9aa145877e39371eff"/>
                      <w:lock w:val="sdtLocked"/>
                      <w:richText/>
                    </w:sdtPr>
                    <w:sdtContent>
                      <w:r>
                        <w:rPr>
                          <w:szCs w:val="24"/>
                        </w:rPr>
                        <w:t>8</w:t>
                      </w:r>
                      <w:r>
                        <w:rPr>
                          <w:szCs w:val="24"/>
                          <w:vertAlign w:val="superscript"/>
                        </w:rPr>
                        <w:t>1</w:t>
                      </w:r>
                    </w:sdtContent>
                  </w:sdt>
                  <w:r>
                    <w:rPr>
                      <w:szCs w:val="24"/>
                    </w:rPr>
                    <w:t xml:space="preserve">. Taisyklių 8.1 papunktyje nurodytas registracijos sąlygų neatitinkantis vaistinis preparatas, kuris įrašytas į Lietuvos Respublikos vaistinių preparatų registrą ar Lygiagrečiai importuojamų vaistinių preparatų sąrašą, pagal šias Taisykles gali būti tiekiamas ir skiriamas tik tiekimo sutrikimo laikotarpiu, kai Valstybinė vaistų kontrolės tarnyba prie Lietuvos Respublikos sveikatos apsaugos ministerijos (toliau – Tarnyba) savo interneto svetainėje skelbia informaciją apie vaistinio preparato laikiną arba visišką tiekimo rinkai nutraukimą ir nėra galimybės šį vaistinį preparatą pakeisti kitu registruotu vaistiniu preparatu, atitinkančiu registracijos sąlygas. Registracijos sąlygų neatitinkantis vaistinis preparatas, kuris įrašytas į Bendrijos vaistinių preparatų registrą, gali būti tiekiamas ir skiriamas vadovaujantis šiomis Taisyklėmis, jeigu nėra galimybės šį vaistinį preparatą pakeisti kitu registruotu vaistiniu preparatu, atitinkančiu registracijos sąlygas. Registracijos sąlygų neatitinkantys imuniniai ir (ar) kraujo vaistiniai preparatai gali būti tiekiami rinkai tik kai atitinka Lietuvos Respublikos farmacijos įstatymo 15 straipsnio 9 dalyje </w:t>
                  </w:r>
                  <w:r>
                    <w:rPr>
                      <w:bCs/>
                      <w:szCs w:val="24"/>
                    </w:rPr>
                    <w:t xml:space="preserve">ir 17 straipsnio 12 dalies 3 punkte nustatytus </w:t>
                  </w:r>
                  <w:r>
                    <w:rPr>
                      <w:szCs w:val="24"/>
                    </w:rPr>
                    <w:t>reikalavimus.</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2 p."/>
                <w:tag w:val="part_d7efe30effc243389713e77a2a1a5c64"/>
                <w:lock w:val="sdtLocked"/>
                <w:richText/>
              </w:sdtPr>
              <w:sdtContent>
                <w:p>
                  <w:pPr>
                    <w:ind w:firstLine="709"/>
                    <w:jc w:val="both"/>
                  </w:pPr>
                  <w:sdt>
                    <w:sdtPr>
                      <w:alias w:val="Numeris"/>
                      <w:tag w:val="nr_d7efe30effc243389713e77a2a1a5c64"/>
                      <w:lock w:val="sdtLocked"/>
                      <w:richText/>
                    </w:sdtPr>
                    <w:sdtContent>
                      <w:r>
                        <w:rPr>
                          <w:bCs/>
                          <w:color w:val="000000"/>
                          <w:szCs w:val="24"/>
                        </w:rPr>
                        <w:t>8</w:t>
                      </w:r>
                      <w:r>
                        <w:rPr>
                          <w:bCs/>
                          <w:color w:val="000000"/>
                          <w:szCs w:val="24"/>
                          <w:vertAlign w:val="superscript"/>
                        </w:rPr>
                        <w:t>2</w:t>
                      </w:r>
                    </w:sdtContent>
                  </w:sdt>
                  <w:r>
                    <w:rPr>
                      <w:bCs/>
                      <w:color w:val="000000"/>
                      <w:szCs w:val="24"/>
                    </w:rPr>
                    <w:t>.</w:t>
                  </w:r>
                  <w:r>
                    <w:rPr>
                      <w:bCs/>
                      <w:szCs w:val="24"/>
                    </w:rPr>
                    <w:t xml:space="preserve"> Registracijos sąlygų neatitinkantys kompensuojamieji ir centralizuotai perkami vaistiniai preparatai gali būti tiekiami Lietuvos rinkai pakuotėmis užsienio kalba ir su pakuotės lapeliais, parengtais užsienio kalba, tik gavus Tarnybos leidimą tiekti vaistinį preparatą pakuotėmis užsienio kalba su pakuotės lapeliais užsienio kalba pagal Lietuvos Respublikos farmacijos įstatymo 8 straipsnio 16 dalies nuostatas arba gali būti tiekiami vadovaujantis Lietuvos Respublikos farmacijos įstatymo 8 straipsnio 16</w:t>
                  </w:r>
                  <w:r>
                    <w:rPr>
                      <w:bCs/>
                      <w:szCs w:val="24"/>
                      <w:vertAlign w:val="superscript"/>
                    </w:rPr>
                    <w:t>1</w:t>
                  </w:r>
                  <w:r>
                    <w:rPr>
                      <w:bCs/>
                      <w:szCs w:val="24"/>
                    </w:rPr>
                    <w:t xml:space="preserve">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3 p."/>
                <w:tag w:val="part_80f82518b42c44df9e95a10b2afc2387"/>
                <w:lock w:val="sdtLocked"/>
                <w:richText/>
              </w:sdtPr>
              <w:sdtContent>
                <w:p>
                  <w:pPr>
                    <w:ind w:firstLine="709"/>
                    <w:jc w:val="both"/>
                  </w:pPr>
                  <w:sdt>
                    <w:sdtPr>
                      <w:alias w:val="Numeris"/>
                      <w:tag w:val="nr_80f82518b42c44df9e95a10b2afc2387"/>
                      <w:lock w:val="sdtLocked"/>
                      <w:richText/>
                    </w:sdtPr>
                    <w:sdtContent>
                      <w:r>
                        <w:rPr>
                          <w:bCs/>
                          <w:color w:val="000000"/>
                          <w:szCs w:val="24"/>
                        </w:rPr>
                        <w:t>8</w:t>
                      </w:r>
                      <w:r>
                        <w:rPr>
                          <w:bCs/>
                          <w:color w:val="000000"/>
                          <w:szCs w:val="24"/>
                          <w:vertAlign w:val="superscript"/>
                        </w:rPr>
                        <w:t>3</w:t>
                      </w:r>
                    </w:sdtContent>
                  </w:sdt>
                  <w:r>
                    <w:rPr>
                      <w:bCs/>
                      <w:color w:val="000000"/>
                      <w:szCs w:val="24"/>
                    </w:rPr>
                    <w:t>. Taisyklių 8.2 papunktyje nurodytas neregistruotas vaistinis preparatas gali būti įrašomas į Kompensuojamųjų vaistinių preparatų kainyną ar centralizuotai perkamas tik tais atvejais, kai nėra galimybių į Kompensuojamųjų vaistinių preparatų kainyną įrašyti ar centralizuotai nupirkti registruotą vaistinį preparatą lietuviškomis pakuotėmis ir su pakuotės lapeliais lietuvių kalba, o jei tokio nėra, – Taisyklių 8</w:t>
                  </w:r>
                  <w:r>
                    <w:rPr>
                      <w:bCs/>
                      <w:color w:val="000000"/>
                      <w:szCs w:val="24"/>
                      <w:vertAlign w:val="superscript"/>
                    </w:rPr>
                    <w:t>2</w:t>
                  </w:r>
                  <w:r>
                    <w:rPr>
                      <w:bCs/>
                      <w:color w:val="000000"/>
                      <w:szCs w:val="24"/>
                    </w:rPr>
                    <w:t xml:space="preserve"> punktą atitinkantį registruotą vaistinį preparatą užsienio kalba paženklintomis pakuotėmis ir su pakuotės lapeliais, parengtais užsienio kalba. Jeigu į Kompensuojamųjų vaistinių preparatų kainyną įrašomas ar centralizuotai perkamas neregistruotas vaistinis preparatas, jis turi būti registruotas bent vienoje kitoje EEE valstybėje, o jeigu nėra registruoto kitoje EEE valstybėje, jis turi būti registruotas trečiojoje šalyje, kurioje yra pagamintas. Neregistruoti vaistiniai preparatai negali būti įrašomi į Kompensuojamųjų vaistinių preparatų kainyną ar centralizuotai perkami remiantis vien tik finansiniais sumetimais.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8-4 p."/>
                <w:tag w:val="part_e2431ac5ea21493f92ecf2f962bf9214"/>
                <w:lock w:val="sdtLocked"/>
                <w:richText/>
              </w:sdtPr>
              <w:sdtContent>
                <w:p>
                  <w:pPr>
                    <w:spacing w:line="259" w:lineRule="auto"/>
                    <w:ind w:firstLine="709"/>
                    <w:jc w:val="both"/>
                  </w:pPr>
                  <w:sdt>
                    <w:sdtPr>
                      <w:alias w:val="Numeris"/>
                      <w:tag w:val="nr_e2431ac5ea21493f92ecf2f962bf9214"/>
                      <w:lock w:val="sdtLocked"/>
                      <w:richText/>
                    </w:sdtPr>
                    <w:sdtContent>
                      <w:r>
                        <w:rPr>
                          <w:szCs w:val="24"/>
                        </w:rPr>
                        <w:t>8</w:t>
                      </w:r>
                      <w:r>
                        <w:rPr>
                          <w:szCs w:val="24"/>
                          <w:vertAlign w:val="superscript"/>
                        </w:rPr>
                        <w:t>4</w:t>
                      </w:r>
                    </w:sdtContent>
                  </w:sdt>
                  <w:r>
                    <w:rPr>
                      <w:szCs w:val="24"/>
                    </w:rPr>
                    <w:t>. Kai vadovaujantis šiomis Taisyklėmis skiriami Taisyklių 8.2 papunktyje nurodyti kompensuojamieji ar centralizuotai perkami neregistruoti vaistiniai preparatai, jiems netaikomi Taisyklių 3, 10, 12 (išskyrus reikalavimą gydytojui pateikti informaciją apie skiriamą vaistinį preparatą), 14, 15.1–15.3, 16–22, 23, 25 punktų reikalavimai, o išrašant, tiekiant ir parduodant (išduodant) šiuos vaistinius preparatus vadovaujamasi Lietuvos Respublikos teisės aktais, reglamentuojančiais kompensuojamuosius ir centralizuotai perkamus vaistinius preparatus.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8-5 p."/>
                <w:tag w:val="part_4620ecd632894767bb1262f80778a14d"/>
                <w:lock w:val="sdtLocked"/>
                <w:richText/>
              </w:sdtPr>
              <w:sdtContent>
                <w:p>
                  <w:pPr>
                    <w:spacing w:line="259" w:lineRule="auto"/>
                    <w:ind w:firstLine="709"/>
                    <w:jc w:val="both"/>
                  </w:pPr>
                  <w:sdt>
                    <w:sdtPr>
                      <w:alias w:val="Numeris"/>
                      <w:tag w:val="nr_4620ecd632894767bb1262f80778a14d"/>
                      <w:lock w:val="sdtLocked"/>
                      <w:richText/>
                    </w:sdtPr>
                    <w:sdtContent>
                      <w:r>
                        <w:rPr>
                          <w:szCs w:val="24"/>
                        </w:rPr>
                        <w:t>8</w:t>
                      </w:r>
                      <w:r>
                        <w:rPr>
                          <w:szCs w:val="24"/>
                          <w:vertAlign w:val="superscript"/>
                        </w:rPr>
                        <w:t>5</w:t>
                      </w:r>
                    </w:sdtContent>
                  </w:sdt>
                  <w:r>
                    <w:rPr>
                      <w:szCs w:val="24"/>
                    </w:rPr>
                    <w:t xml:space="preserve">. </w:t>
                  </w:r>
                  <w:r>
                    <w:rPr>
                      <w:color w:val="000000"/>
                      <w:szCs w:val="24"/>
                    </w:rPr>
                    <w:t>Vadovaujantis šiomis Taisyklėmis gali būti įsigyjami, tiekiami, parduodami vaistiniai preparatai, kurių bendriniai pavadinimai įrašyti į laivų vaistinėlių sudėtį, patvirtintą Lietuvos Respublikos sveikatos apsaugos ministro 2011 m. spalio 17 d. įsakymu Nr. V-910 „Dėl Laivų vaistinėlių išdavimo ir kontrolės tvarkos aprašo patvirtinimo“ (toliau – į laivų vaistinėlių sudėtį įrašyti vaistiniai preparatai), kai jie yra neregistruoti Lietuvos Respublikoje arba kai jie yra registruoti, bet jų nėra Lietuvos rinkoje. Šie vaistiniai preparatai gali būti įsigyjami, tiekiami, parduodami tik laivų vaistinėlėms sukomplektuoti ar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8-6 p."/>
                <w:tag w:val="part_2e758be3def643448e939ca514391688"/>
                <w:lock w:val="sdtLocked"/>
                <w:richText/>
              </w:sdtPr>
              <w:sdtContent>
                <w:p>
                  <w:pPr>
                    <w:spacing w:line="259" w:lineRule="auto"/>
                    <w:ind w:firstLine="709"/>
                    <w:jc w:val="both"/>
                  </w:pPr>
                  <w:sdt>
                    <w:sdtPr>
                      <w:alias w:val="Numeris"/>
                      <w:tag w:val="nr_2e758be3def643448e939ca514391688"/>
                      <w:lock w:val="sdtLocked"/>
                      <w:richText/>
                    </w:sdtPr>
                    <w:sdtContent>
                      <w:r>
                        <w:rPr>
                          <w:bCs/>
                          <w:color w:val="000000"/>
                          <w:szCs w:val="24"/>
                        </w:rPr>
                        <w:t>8</w:t>
                      </w:r>
                      <w:r>
                        <w:rPr>
                          <w:bCs/>
                          <w:color w:val="000000"/>
                          <w:szCs w:val="24"/>
                          <w:vertAlign w:val="superscript"/>
                        </w:rPr>
                        <w:t>6</w:t>
                      </w:r>
                    </w:sdtContent>
                  </w:sdt>
                  <w:r>
                    <w:rPr>
                      <w:bCs/>
                      <w:color w:val="000000"/>
                      <w:szCs w:val="24"/>
                    </w:rPr>
                    <w:t>. Kai įsigyjami, tiekiami, parduodami į laivų vaistinėlių sudėtį įrašyti vaistiniai preparatai, jiems taikomi tik Taisyklių 8</w:t>
                  </w:r>
                  <w:r>
                    <w:rPr>
                      <w:bCs/>
                      <w:color w:val="000000"/>
                      <w:szCs w:val="24"/>
                      <w:vertAlign w:val="superscript"/>
                    </w:rPr>
                    <w:t>5</w:t>
                  </w:r>
                  <w:r>
                    <w:rPr>
                      <w:bCs/>
                      <w:color w:val="000000"/>
                      <w:szCs w:val="24"/>
                    </w:rPr>
                    <w:t>, 21</w:t>
                  </w:r>
                  <w:r>
                    <w:rPr>
                      <w:bCs/>
                      <w:color w:val="000000"/>
                      <w:szCs w:val="24"/>
                      <w:vertAlign w:val="superscript"/>
                    </w:rPr>
                    <w:t>2</w:t>
                  </w:r>
                  <w:r>
                    <w:rPr>
                      <w:bCs/>
                      <w:color w:val="000000"/>
                      <w:szCs w:val="24"/>
                    </w:rPr>
                    <w:t>, 21</w:t>
                  </w:r>
                  <w:r>
                    <w:rPr>
                      <w:bCs/>
                      <w:color w:val="000000"/>
                      <w:szCs w:val="24"/>
                      <w:vertAlign w:val="superscript"/>
                    </w:rPr>
                    <w:t>3</w:t>
                  </w:r>
                  <w:r>
                    <w:rPr>
                      <w:bCs/>
                      <w:color w:val="000000"/>
                      <w:szCs w:val="24"/>
                    </w:rPr>
                    <w:t xml:space="preserve"> ir 24 punktų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15e3d59b931d46dfa665d831e5491db5"/>
                    <w:lock w:val="sdtLocked"/>
                    <w:richText/>
                  </w:sdtPr>
                  <w:sdtContent>
                    <w:p>
                      <w:pPr>
                        <w:ind w:firstLine="709"/>
                        <w:jc w:val="both"/>
                        <w:rPr>
                          <w:szCs w:val="24"/>
                        </w:rPr>
                      </w:pPr>
                      <w:sdt>
                        <w:sdtPr>
                          <w:alias w:val="Numeris"/>
                          <w:tag w:val="nr_15e3d59b931d46dfa665d831e5491db5"/>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Privalomojo sveikatos draudimo fondo biudžeto lėšomis pagal sveikatos apsaugos ministro patvirtintą Centralizuotai apmokamų vaistinių preparatų ir medicinos pagalbos priemonių sąrašą, pagal </w:t>
                      </w:r>
                      <w:r>
                        <w:rPr>
                          <w:bCs/>
                          <w:szCs w:val="24"/>
                        </w:rPr>
                        <w:t xml:space="preserve">valstybines ir </w:t>
                      </w:r>
                      <w:r>
                        <w:rPr>
                          <w:szCs w:val="24"/>
                        </w:rPr>
                        <w:t>savivaldybių</w:t>
                      </w:r>
                      <w:r>
                        <w:rPr>
                          <w:bCs/>
                          <w:szCs w:val="24"/>
                        </w:rPr>
                        <w:t xml:space="preserve"> sveikatos programas</w:t>
                      </w:r>
                      <w:r>
                        <w:rPr>
                          <w:b/>
                          <w:bCs/>
                          <w:szCs w:val="24"/>
                        </w:rPr>
                        <w:t xml:space="preserve"> </w:t>
                      </w:r>
                      <w:r>
                        <w:rPr>
                          <w:bCs/>
                          <w:szCs w:val="24"/>
                        </w:rPr>
                        <w:t>ar sveikatos apsaugos ministro įsakymus dėl asmens sveikatos priežiūros įstaigų aprūpinimo vaistiniais preparatais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8d9d07d7f11e5b7eba10a9b5a9c5f">
                        <w:r w:rsidRPr="00532B9F">
                          <w:rPr>
                            <w:rFonts w:ascii="Times New Roman" w:eastAsia="MS Mincho" w:hAnsi="Times New Roman"/>
                            <w:sz w:val="20"/>
                            <w:i/>
                            <w:iCs/>
                            <w:color w:val="0000FF" w:themeColor="hyperlink"/>
                            <w:u w:val="single"/>
                          </w:rPr>
                          <w:t>V-1197</w:t>
                        </w:r>
                      </w:fldSimple>
                      <w:r>
                        <w:rPr>
                          <w:rFonts w:ascii="Times New Roman" w:eastAsia="MS Mincho" w:hAnsi="Times New Roman"/>
                          <w:sz w:val="20"/>
                          <w:i/>
                          <w:iCs/>
                        </w:rPr>
                        <w:t>,
2015-10-27,
paskelbta TAR 2015-10-28, i. k. 2015-17034            </w:t>
                      </w:r>
                    </w:p>
                    <w:p/>
                  </w:sdtContent>
                </w:sdt>
                <w:sdt>
                  <w:sdtPr>
                    <w:alias w:val="9.2 p."/>
                    <w:tag w:val="part_74e9176bd22f4c759973bd80de0bf377"/>
                    <w:lock w:val="sdtLocked"/>
                    <w:richText/>
                  </w:sdtPr>
                  <w:sdtContent>
                    <w:p>
                      <w:pPr>
                        <w:ind w:firstLine="709"/>
                        <w:jc w:val="both"/>
                        <w:rPr>
                          <w:szCs w:val="24"/>
                        </w:rPr>
                      </w:pPr>
                      <w:sdt>
                        <w:sdtPr>
                          <w:alias w:val="Numeris"/>
                          <w:tag w:val="nr_74e9176bd22f4c759973bd80de0bf377"/>
                          <w:lock w:val="sdtLocked"/>
                          <w:richText/>
                        </w:sdtPr>
                        <w:sdtContent>
                          <w:r>
                            <w:rPr>
                              <w:szCs w:val="24"/>
                            </w:rPr>
                            <w:t>9.2</w:t>
                          </w:r>
                        </w:sdtContent>
                      </w:sdt>
                      <w:r>
                        <w:rPr>
                          <w:szCs w:val="24"/>
                        </w:rPr>
                        <w:t xml:space="preserve">. </w:t>
                      </w:r>
                      <w:r>
                        <w:rPr>
                          <w:b/>
                          <w:bCs/>
                          <w:szCs w:val="24"/>
                        </w:rPr>
                        <w:t>Neregistruoti vaistiniai preparatai</w:t>
                      </w:r>
                      <w:r>
                        <w:rPr>
                          <w:szCs w:val="24"/>
                        </w:rPr>
                        <w:t xml:space="preserve"> – vaistiniai preparatai, neįrašyti į Lietuvos Respublikos ar Bendrijos vaistinių preparatų registrą </w:t>
                      </w:r>
                      <w:r>
                        <w:rPr>
                          <w:bCs/>
                          <w:szCs w:val="24"/>
                        </w:rPr>
                        <w:t>arba Lygiagrečiai importuojamų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9.3 p."/>
                    <w:tag w:val="part_015128ac6938491ba9d9309da7487e66"/>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2019-03-06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d72d4a7c8ca94a01b7f22ec2c3d995ac"/>
            <w:lock w:val="sdtLocked"/>
            <w:richText/>
          </w:sdtPr>
          <w:sdtContent>
            <w:p>
              <w:pPr>
                <w:widowControl w:val="0"/>
                <w:jc w:val="center"/>
              </w:pPr>
              <w:sdt>
                <w:sdtPr>
                  <w:alias w:val="Numeris"/>
                  <w:tag w:val="nr_d72d4a7c8ca94a01b7f22ec2c3d995ac"/>
                  <w:lock w:val="sdtLocked"/>
                  <w:richText/>
                </w:sdtPr>
                <w:sdtContent>
                  <w:r>
                    <w:rPr>
                      <w:b/>
                      <w:bCs/>
                    </w:rPr>
                    <w:t>II SKYRIUS</w:t>
                  </w:r>
                </w:sdtContent>
              </w:sdt>
            </w:p>
            <w:p>
              <w:pPr>
                <w:widowControl w:val="0"/>
                <w:jc w:val="center"/>
              </w:pPr>
              <w:sdt>
                <w:sdtPr>
                  <w:alias w:val="Pavadinimas"/>
                  <w:tag w:val="title_d72d4a7c8ca94a01b7f22ec2c3d995ac"/>
                  <w:lock w:val="sdtLocked"/>
                  <w:richText/>
                </w:sdtPr>
                <w:sdtContent>
                  <w:r>
                    <w:rPr>
                      <w:b/>
                      <w:bCs/>
                    </w:rPr>
                    <w:t xml:space="preserve">VARDINIO VAISTINIO PREPARATO SKYRIMAS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db33a5dfe2c845de8509d780061d6491"/>
                <w:lock w:val="sdtLocked"/>
                <w:richText/>
              </w:sdtPr>
              <w:sdtContent>
                <w:p>
                  <w:pPr>
                    <w:ind w:firstLine="709"/>
                    <w:jc w:val="both"/>
                  </w:pPr>
                  <w:sdt>
                    <w:sdtPr>
                      <w:alias w:val="Numeris"/>
                      <w:tag w:val="nr_db33a5dfe2c845de8509d780061d6491"/>
                      <w:lock w:val="sdtLocked"/>
                      <w:richText/>
                    </w:sdtPr>
                    <w:sdtContent>
                      <w:r>
                        <w:rPr>
                          <w:szCs w:val="24"/>
                        </w:rPr>
                        <w:t>12</w:t>
                      </w:r>
                    </w:sdtContent>
                  </w:sdt>
                  <w:r>
                    <w:rPr>
                      <w:szCs w:val="24"/>
                    </w:rPr>
                    <w:t xml:space="preserve">. </w:t>
                  </w:r>
                  <w:r>
                    <w:rPr>
                      <w:color w:val="000000"/>
                      <w:szCs w:val="24"/>
                    </w:rPr>
                    <w:t>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 (ar) paciento medicinos dokumente pažymint „Sprendimas priimtas be sutikimo“.</w:t>
                  </w:r>
                  <w:r>
                    <w:rPr>
                      <w:szCs w:val="24"/>
                    </w:rPr>
                    <w:t xml:space="preserve"> Skiriant vardinį vaistinį preparatą, įrašytą į Sąrašą, rašytinio paciento (jo atstovo) sutikimo gauti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d102c35c60b04b88868240c1a065c460"/>
                    <w:lock w:val="sdtLocked"/>
                    <w:richText/>
                  </w:sdtPr>
                  <w:sdtContent>
                    <w:p>
                      <w:pPr>
                        <w:ind w:firstLine="709"/>
                        <w:jc w:val="both"/>
                      </w:pPr>
                      <w:sdt>
                        <w:sdtPr>
                          <w:alias w:val="Numeris"/>
                          <w:tag w:val="nr_d102c35c60b04b88868240c1a065c46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w:t>
                      </w:r>
                      <w:r>
                        <w:rPr>
                          <w:color w:val="000000"/>
                          <w:szCs w:val="24"/>
                        </w:rPr>
                        <w:t>;</w:t>
                      </w:r>
                      <w:r>
                        <w:rPr>
                          <w:rFonts w:ascii="Tahoma" w:hAnsi="Tahoma" w:cs="Tahoma"/>
                          <w:bCs/>
                          <w:color w:val="333333"/>
                          <w:sz w:val="27"/>
                          <w:szCs w:val="27"/>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4 p."/>
                    <w:tag w:val="part_2374c7526ca44801a5c951337e002123"/>
                    <w:lock w:val="sdtLocked"/>
                    <w:richText/>
                  </w:sdtPr>
                  <w:sdtContent>
                    <w:p>
                      <w:pPr>
                        <w:ind w:firstLine="709"/>
                        <w:jc w:val="both"/>
                      </w:pPr>
                      <w:sdt>
                        <w:sdtPr>
                          <w:alias w:val="Numeris"/>
                          <w:tag w:val="nr_2374c7526ca44801a5c951337e002123"/>
                          <w:lock w:val="sdtLocked"/>
                          <w:richText/>
                        </w:sdtPr>
                        <w:sdtContent>
                          <w:r>
                            <w:rPr>
                              <w:szCs w:val="24"/>
                            </w:rPr>
                            <w:t>14.4</w:t>
                          </w:r>
                        </w:sdtContent>
                      </w:sdt>
                      <w:r>
                        <w:rPr>
                          <w:szCs w:val="24"/>
                        </w:rPr>
                        <w:t xml:space="preserve">. gydytojo užpildytas ir pasirašytas kitas pareiškimo egzempliorius ir, jei išrašomas popierinis receptas, kartu su išrašytu vardinio vaistinio preparato popieriniu receptu pateikiamas pacientui (jo atstovui), kuris turi juos pristatyti į bet kurią visuomenės vaistinę, gamybinę visuomenės vaistinę ar universiteto vaistinę (toliau – visuomenės vaistinė);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3cb4d9ccc1747a4bfd1118c995ce498"/>
                <w:lock w:val="sdtLocked"/>
                <w:richText/>
              </w:sdtPr>
              <w:sdtContent>
                <w:p>
                  <w:pPr>
                    <w:widowControl w:val="0"/>
                    <w:ind w:firstLine="709"/>
                    <w:jc w:val="both"/>
                  </w:pPr>
                  <w:sdt>
                    <w:sdtPr>
                      <w:alias w:val="Numeris"/>
                      <w:tag w:val="nr_73cb4d9ccc1747a4bfd1118c995ce498"/>
                      <w:lock w:val="sdtLocked"/>
                      <w:richText/>
                    </w:sdtPr>
                    <w:sdtContent>
                      <w:r>
                        <w:rPr>
                          <w:szCs w:val="24"/>
                        </w:rPr>
                        <w:t>15</w:t>
                      </w:r>
                    </w:sdtContent>
                  </w:sdt>
                  <w:r>
                    <w:rPr>
                      <w:szCs w:val="24"/>
                    </w:rPr>
                    <w:t>. Vardinį vaistinį preparatą skiriant pacientui, besigydančiam stacionarinėje asmens sveikatos priežiūros įstaigoje ar ambulatorinėje asmens sveikatos priežiūros įstaigoje, kai vardinis vaistinis preparatas suvartojamas įstaigos atitinkamame padalinyje (pvz., skiepų, procedūrų kabinete):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d61ec7d176f7423daa33b9c8a97ecee6"/>
                        <w:lock w:val="sdtLocked"/>
                        <w:richText/>
                      </w:sdtPr>
                      <w:sdtContent>
                        <w:p>
                          <w:pPr>
                            <w:ind w:firstLine="709"/>
                            <w:jc w:val="both"/>
                          </w:pPr>
                          <w:sdt>
                            <w:sdtPr>
                              <w:alias w:val="Numeris"/>
                              <w:tag w:val="nr_d61ec7d176f7423daa33b9c8a97ecee6"/>
                              <w:lock w:val="sdtLocked"/>
                              <w:richText/>
                            </w:sdtPr>
                            <w:sdtContent>
                              <w:r>
                                <w:rPr>
                                  <w:color w:val="000000"/>
                                  <w:szCs w:val="24"/>
                                </w:rPr>
                                <w:t>15.1.2</w:t>
                              </w:r>
                            </w:sdtContent>
                          </w:sdt>
                          <w:r>
                            <w:rPr>
                              <w:color w:val="000000"/>
                              <w:szCs w:val="24"/>
                            </w:rPr>
                            <w:t>. „Esu susipažinęs (-usi) su moksliškai pagrįsta informacija apie šio vaistinio preparato klinikines, farmakologines ir farmacines savybes ir pacientui (jo atstovui) pateikiau išsamią informaciją apie šį vaistinį preparatą;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15.2 p."/>
                    <w:tag w:val="part_78a0a4ff10824208b49977313ca1c60a"/>
                    <w:lock w:val="sdtLocked"/>
                    <w:richText/>
                  </w:sdtPr>
                  <w:sdtContent>
                    <w:p>
                      <w:pPr>
                        <w:ind w:firstLine="709"/>
                        <w:jc w:val="both"/>
                      </w:pPr>
                      <w:sdt>
                        <w:sdtPr>
                          <w:alias w:val="Numeris"/>
                          <w:tag w:val="nr_78a0a4ff10824208b49977313ca1c60a"/>
                          <w:lock w:val="sdtLocked"/>
                          <w:richText/>
                        </w:sdtPr>
                        <w:sdtContent>
                          <w:r>
                            <w:rPr>
                              <w:szCs w:val="24"/>
                            </w:rPr>
                            <w:t>15.2</w:t>
                          </w:r>
                        </w:sdtContent>
                      </w:sdt>
                      <w:r>
                        <w:rPr>
                          <w:szCs w:val="24"/>
                        </w:rPr>
                        <w:t xml:space="preserve">. </w:t>
                      </w:r>
                      <w:r>
                        <w:rPr>
                          <w:color w:val="000000"/>
                          <w:szCs w:val="24"/>
                        </w:rPr>
                        <w:t xml:space="preserve">informuotas pacientas (jo atstovas) sutikimą vartoti vardinį vaistinį preparatą patvirtina parašu medicinos dokumente (kai toks sutikimas turi būti gautas pagal šių Taisyklių 12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b4daeb50aa214a0c8cce8006a21e211c"/>
                <w:lock w:val="sdtLocked"/>
                <w:richText/>
              </w:sdtPr>
              <w:sdtContent>
                <w:p>
                  <w:pPr>
                    <w:ind w:firstLine="567"/>
                    <w:jc w:val="both"/>
                    <w:rPr>
                      <w:color w:val="000000"/>
                      <w:szCs w:val="24"/>
                    </w:rPr>
                  </w:pPr>
                  <w:sdt>
                    <w:sdtPr>
                      <w:alias w:val="Numeris"/>
                      <w:tag w:val="nr_b4daeb50aa214a0c8cce8006a21e211c"/>
                      <w:lock w:val="sdtLocked"/>
                      <w:richText/>
                    </w:sdtPr>
                    <w:sdtContent>
                      <w:r>
                        <w:rPr>
                          <w:color w:val="000000"/>
                          <w:szCs w:val="24"/>
                        </w:rPr>
                        <w:t>16</w:t>
                      </w:r>
                    </w:sdtContent>
                  </w:sdt>
                  <w:r>
                    <w:rPr>
                      <w:color w:val="000000"/>
                      <w:szCs w:val="24"/>
                    </w:rPr>
                    <w:t>. Asmens sveikatos priežiūros įstaiga, vadovaudamasi šiomis Taisyklėmis, gali įsigyti vardinių vaistinių preparatų pagal Sąrašą. Sąrašo preparatai:</w:t>
                  </w:r>
                </w:p>
                <w:sdt>
                  <w:sdtPr>
                    <w:alias w:val="16.1 pp."/>
                    <w:tag w:val="part_cbeb64f13b804014a5c81c6b6de20a1c"/>
                    <w:lock w:val="sdtLocked"/>
                    <w:richText/>
                  </w:sdtPr>
                  <w:sdtContent>
                    <w:p>
                      <w:pPr>
                        <w:ind w:firstLine="567"/>
                        <w:jc w:val="both"/>
                        <w:rPr>
                          <w:color w:val="000000"/>
                          <w:szCs w:val="24"/>
                        </w:rPr>
                      </w:pPr>
                      <w:sdt>
                        <w:sdtPr>
                          <w:alias w:val="Numeris"/>
                          <w:tag w:val="nr_cbeb64f13b804014a5c81c6b6de20a1c"/>
                          <w:lock w:val="sdtLocked"/>
                          <w:richText/>
                        </w:sdtPr>
                        <w:sdtContent>
                          <w:r>
                            <w:rPr>
                              <w:color w:val="000000"/>
                              <w:szCs w:val="24"/>
                            </w:rPr>
                            <w:t>16.1</w:t>
                          </w:r>
                        </w:sdtContent>
                      </w:sdt>
                      <w:r>
                        <w:rPr>
                          <w:color w:val="000000"/>
                          <w:szCs w:val="24"/>
                        </w:rPr>
                        <w:t>. įsigyjami pateikus platinimo įmonei užsakymą, kuriame įrašomi šių Taisyklių 18 punkte nurodyti duomenys;</w:t>
                      </w:r>
                    </w:p>
                  </w:sdtContent>
                </w:sdt>
                <w:sdt>
                  <w:sdtPr>
                    <w:alias w:val="16.2 pp."/>
                    <w:tag w:val="part_388b860137ad4fa4b3b1c60572f57c97"/>
                    <w:lock w:val="sdtLocked"/>
                    <w:richText/>
                  </w:sdtPr>
                  <w:sdtContent>
                    <w:p>
                      <w:pPr>
                        <w:ind w:firstLine="567"/>
                        <w:jc w:val="both"/>
                      </w:pPr>
                      <w:sdt>
                        <w:sdtPr>
                          <w:alias w:val="Numeris"/>
                          <w:tag w:val="nr_388b860137ad4fa4b3b1c60572f57c97"/>
                          <w:lock w:val="sdtLocked"/>
                          <w:richText/>
                        </w:sdtPr>
                        <w:sdtContent>
                          <w:r>
                            <w:rPr>
                              <w:color w:val="000000"/>
                              <w:szCs w:val="24"/>
                            </w:rPr>
                            <w:t>16.2</w:t>
                          </w:r>
                        </w:sdtContent>
                      </w:sdt>
                      <w:r>
                        <w:rPr>
                          <w:color w:val="000000"/>
                          <w:szCs w:val="24"/>
                        </w:rPr>
                        <w:t>. pacientui skiriami jo medicinos dokumente įrašant Taisyklių 15.1 papunktyje nurodytus duomenis. Jei Sąrašo vaistinis preparatas skiriamas ambulatorinėje sveikatos priežiūros įstaigoje, jis turi būti suvartojamas įstaigos atitinkamame padalinyje (pvz., skiepų, procedūrų kabinete).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edc239f0d3414cf3ba232debec51a6cc"/>
            <w:lock w:val="sdtLocked"/>
            <w:richText/>
          </w:sdtPr>
          <w:sdtContent>
            <w:p>
              <w:pPr>
                <w:widowControl w:val="0"/>
                <w:jc w:val="center"/>
              </w:pPr>
              <w:sdt>
                <w:sdtPr>
                  <w:alias w:val="Numeris"/>
                  <w:tag w:val="nr_edc239f0d3414cf3ba232debec51a6cc"/>
                  <w:lock w:val="sdtLocked"/>
                  <w:richText/>
                </w:sdtPr>
                <w:sdtContent>
                  <w:r>
                    <w:rPr>
                      <w:b/>
                      <w:bCs/>
                    </w:rPr>
                    <w:t>III SKYRIUS</w:t>
                  </w:r>
                </w:sdtContent>
              </w:sdt>
            </w:p>
            <w:p>
              <w:pPr>
                <w:widowControl w:val="0"/>
                <w:jc w:val="center"/>
              </w:pPr>
              <w:sdt>
                <w:sdtPr>
                  <w:alias w:val="Pavadinimas"/>
                  <w:tag w:val="title_edc239f0d3414cf3ba232debec51a6cc"/>
                  <w:lock w:val="sdtLocked"/>
                  <w:richText/>
                </w:sdtPr>
                <w:sdtContent>
                  <w:r>
                    <w:rPr>
                      <w:b/>
                      <w:bCs/>
                    </w:rPr>
                    <w:t xml:space="preserve">VARDINIŲ VAISTINIŲ PREPARATŲ TIEKIMAS IR PARDAVIMAS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c72f900dedd24b8b85c640ada5b122f4"/>
                <w:lock w:val="sdtLocked"/>
                <w:richText/>
              </w:sdtPr>
              <w:sdtContent>
                <w:p>
                  <w:pPr>
                    <w:ind w:firstLine="709"/>
                    <w:jc w:val="both"/>
                  </w:pPr>
                  <w:sdt>
                    <w:sdtPr>
                      <w:alias w:val="Numeris"/>
                      <w:tag w:val="nr_c72f900dedd24b8b85c640ada5b122f4"/>
                      <w:lock w:val="sdtLocked"/>
                      <w:richText/>
                    </w:sdtPr>
                    <w:sdtContent>
                      <w:r>
                        <w:rPr>
                          <w:szCs w:val="24"/>
                        </w:rPr>
                        <w:t>20</w:t>
                      </w:r>
                    </w:sdtContent>
                  </w:sdt>
                  <w:r>
                    <w:rPr>
                      <w:szCs w:val="24"/>
                    </w:rPr>
                    <w:t xml:space="preserve">. Platinimo įmonė, gavusi vardinio vaistinio preparato užsakymo patvirtinimą, turi jį kuo skubiau įvežti / importuoti bei pateikti užsakiusiai vaistinei ar asmens sveikatos priežiūros įstaigai. Vaistiniai preparatai turi atitikti Taisyklių 4 punkto </w:t>
                  </w:r>
                  <w:r>
                    <w:rPr>
                      <w:bCs/>
                      <w:szCs w:val="24"/>
                    </w:rPr>
                    <w:t>ir III</w:t>
                  </w:r>
                  <w:r>
                    <w:rPr>
                      <w:bCs/>
                      <w:szCs w:val="24"/>
                      <w:vertAlign w:val="superscript"/>
                    </w:rPr>
                    <w:t>1</w:t>
                  </w:r>
                  <w:r>
                    <w:rPr>
                      <w:bCs/>
                      <w:szCs w:val="24"/>
                    </w:rPr>
                    <w:t xml:space="preserve"> skyriaus</w:t>
                  </w:r>
                  <w:r>
                    <w:rPr>
                      <w:szCs w:val="24"/>
                    </w:rPr>
                    <w:t xml:space="preserve"> reikalavimus, juos galima įvežti / importuoti tik iš juridinių asmenų, turinčių teisę gaminti ar platinti vaistinius preparatus pagal šalies, kurioje jie vykdo savo veiklą,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2b95a7d581d4089907faa8d0db3059c"/>
                    <w:lock w:val="sdtLocked"/>
                    <w:richText/>
                  </w:sdtPr>
                  <w:sdtContent>
                    <w:p>
                      <w:pPr>
                        <w:ind w:firstLine="709"/>
                        <w:jc w:val="both"/>
                      </w:pPr>
                      <w:sdt>
                        <w:sdtPr>
                          <w:alias w:val="Numeris"/>
                          <w:tag w:val="nr_f2b95a7d581d4089907faa8d0db3059c"/>
                          <w:lock w:val="sdtLocked"/>
                          <w:richText/>
                        </w:sdtPr>
                        <w:sdtContent>
                          <w:r>
                            <w:rPr>
                              <w:color w:val="000000"/>
                              <w:szCs w:val="24"/>
                            </w:rPr>
                            <w:t>21.6</w:t>
                          </w:r>
                        </w:sdtContent>
                      </w:sdt>
                      <w:r>
                        <w:rPr>
                          <w:color w:val="000000"/>
                          <w:szCs w:val="24"/>
                        </w:rPr>
                        <w:t>. kai pacientas (jo atstovas) vaistinėje pakartotinai įsigyja vardinį vaistinį preparatą pagal receptą pareiškimo galiojimo metu, vaistininkas registruoja receptą bei, jeigu pateikiamas popierinis receptas, jį saugo kartu su jau turimais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1 p."/>
                    <w:tag w:val="part_8c87193b7147448ab5a933060b90c0e8"/>
                    <w:lock w:val="sdtLocked"/>
                    <w:richText/>
                  </w:sdtPr>
                  <w:sdtContent>
                    <w:p>
                      <w:pPr>
                        <w:ind w:firstLine="709"/>
                        <w:jc w:val="both"/>
                      </w:pPr>
                      <w:sdt>
                        <w:sdtPr>
                          <w:alias w:val="Numeris"/>
                          <w:tag w:val="nr_8c87193b7147448ab5a933060b90c0e8"/>
                          <w:lock w:val="sdtLocked"/>
                          <w:richText/>
                        </w:sdtPr>
                        <w:sdtContent>
                          <w:r>
                            <w:rPr>
                              <w:color w:val="000000"/>
                              <w:szCs w:val="24"/>
                            </w:rPr>
                            <w:t>21</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
                  <w:sdtPr>
                    <w:alias w:val="21-2 p."/>
                    <w:tag w:val="part_d4a77098de4f46c28deadc7f5cef0c92"/>
                    <w:lock w:val="sdtLocked"/>
                    <w:richText/>
                  </w:sdtPr>
                  <w:sdtContent>
                    <w:p>
                      <w:pPr>
                        <w:spacing w:line="259" w:lineRule="auto"/>
                        <w:ind w:firstLine="709"/>
                        <w:jc w:val="both"/>
                      </w:pPr>
                      <w:sdt>
                        <w:sdtPr>
                          <w:alias w:val="Numeris"/>
                          <w:tag w:val="nr_d4a77098de4f46c28deadc7f5cef0c92"/>
                          <w:lock w:val="sdtLocked"/>
                          <w:richText/>
                        </w:sdtPr>
                        <w:sdtContent>
                          <w:r>
                            <w:rPr>
                              <w:szCs w:val="24"/>
                            </w:rPr>
                            <w:t>21</w:t>
                          </w:r>
                          <w:r>
                            <w:rPr>
                              <w:szCs w:val="24"/>
                              <w:vertAlign w:val="superscript"/>
                            </w:rPr>
                            <w:t>2</w:t>
                          </w:r>
                        </w:sdtContent>
                      </w:sdt>
                      <w:r>
                        <w:rPr>
                          <w:szCs w:val="24"/>
                        </w:rPr>
                        <w:t>. Visuomenės vaistinė, įsigydama pagal Taisyklių 8</w:t>
                      </w:r>
                      <w:r>
                        <w:rPr>
                          <w:szCs w:val="24"/>
                          <w:vertAlign w:val="superscript"/>
                        </w:rPr>
                        <w:t>5</w:t>
                      </w:r>
                      <w:r>
                        <w:rPr>
                          <w:szCs w:val="24"/>
                        </w:rPr>
                        <w:t xml:space="preserve"> punktą į laivų vaistinėlių sudėtį įrašytą vaistinį preparatą, didmeninio platinimo įmonei turi pateikti atskirą vardinio vaistinio preparato užsakymą, kurio viršuje pažymi „vardinis vaistinis preparatas laivų vaistinėlėms“, ir papildomai nurodo vaistinio preparato pavadinimą arba bendrinį pavadinimą, stiprumą, farmacinę formą, veikliųjų medžiagų pavadinimus ir kiekius, pakuotės dydį, užsakomų pakuočių kiekį ir, jei turi duomenų, vaistinio preparato registruotoją.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21-3 p."/>
                    <w:tag w:val="part_c43821a3271742d5b0348a76627164b3"/>
                    <w:lock w:val="sdtLocked"/>
                    <w:richText/>
                  </w:sdtPr>
                  <w:sdtContent>
                    <w:p>
                      <w:pPr>
                        <w:spacing w:line="259" w:lineRule="auto"/>
                        <w:ind w:firstLine="709"/>
                        <w:jc w:val="both"/>
                      </w:pPr>
                      <w:sdt>
                        <w:sdtPr>
                          <w:alias w:val="Numeris"/>
                          <w:tag w:val="nr_c43821a3271742d5b0348a76627164b3"/>
                          <w:lock w:val="sdtLocked"/>
                          <w:richText/>
                        </w:sdtPr>
                        <w:sdtContent>
                          <w:r>
                            <w:rPr>
                              <w:bCs/>
                              <w:szCs w:val="24"/>
                            </w:rPr>
                            <w:t>21</w:t>
                          </w:r>
                          <w:r>
                            <w:rPr>
                              <w:bCs/>
                              <w:szCs w:val="24"/>
                              <w:vertAlign w:val="superscript"/>
                            </w:rPr>
                            <w:t>3</w:t>
                          </w:r>
                        </w:sdtContent>
                      </w:sdt>
                      <w:r>
                        <w:rPr>
                          <w:bCs/>
                          <w:szCs w:val="24"/>
                        </w:rPr>
                        <w:t>. Platinimo įmonė, gavusi vardinio vaistinio preparato užsakymą į laivų vaistinėlių sudėtį įrašytam vaistiniam preparatui, turi išsiaiškinti jo tiekimo sąlygas ir apie tai informuoti vaistinę. Gavusi užsakymo patvirtinimą iš vaistinės, platinimo įmonė turi įvežti / importuoti bei patiekti vardinį vaistinį preparatą užsakiusiai vaistinei. Platinimo įmonė gali užsakyti ir laikyti vardinio vaistinio preparato kiekį, didesnį už nurodytąjį vaistinės vardinio vaistinio preparato laivų vaistinėlėms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Content>
            </w:sdt>
            <w:sdt>
              <w:sdtPr>
                <w:alias w:val="22 p."/>
                <w:tag w:val="part_c489d1de9ff04a99978719581279eb2c"/>
                <w:lock w:val="sdtLocked"/>
                <w:richText/>
              </w:sdtPr>
              <w:sdtContent>
                <w:p>
                  <w:pPr>
                    <w:ind w:firstLine="709"/>
                    <w:jc w:val="both"/>
                    <w:rPr>
                      <w:color w:val="000000"/>
                      <w:szCs w:val="24"/>
                    </w:rPr>
                  </w:pPr>
                  <w:sdt>
                    <w:sdtPr>
                      <w:alias w:val="Numeris"/>
                      <w:tag w:val="nr_c489d1de9ff04a99978719581279eb2c"/>
                      <w:lock w:val="sdtLocked"/>
                      <w:richText/>
                    </w:sdtPr>
                    <w:sdtContent>
                      <w:r>
                        <w:rPr>
                          <w:color w:val="000000"/>
                          <w:szCs w:val="24"/>
                        </w:rPr>
                        <w:t>22</w:t>
                      </w:r>
                    </w:sdtContent>
                  </w:sdt>
                  <w:r>
                    <w:rPr>
                      <w:color w:val="000000"/>
                      <w:szCs w:val="24"/>
                    </w:rPr>
                    <w:t>. Asmens sveikatos priežiūros įstaigoje vykdomas vardinių vaistinių preparatų išdavimas:</w:t>
                  </w:r>
                </w:p>
                <w:sdt>
                  <w:sdtPr>
                    <w:alias w:val="22.1 pp."/>
                    <w:tag w:val="part_f0c94804852e4f688af3a1336bc658eb"/>
                    <w:lock w:val="sdtLocked"/>
                    <w:richText/>
                  </w:sdtPr>
                  <w:sdtContent>
                    <w:p>
                      <w:pPr>
                        <w:ind w:firstLine="709"/>
                        <w:jc w:val="both"/>
                        <w:rPr>
                          <w:color w:val="000000"/>
                          <w:szCs w:val="24"/>
                        </w:rPr>
                      </w:pPr>
                      <w:sdt>
                        <w:sdtPr>
                          <w:alias w:val="Numeris"/>
                          <w:tag w:val="nr_f0c94804852e4f688af3a1336bc658eb"/>
                          <w:lock w:val="sdtLocked"/>
                          <w:richText/>
                        </w:sdtPr>
                        <w:sdtContent>
                          <w:r>
                            <w:rPr>
                              <w:color w:val="000000"/>
                              <w:szCs w:val="24"/>
                            </w:rPr>
                            <w:t>22.1</w:t>
                          </w:r>
                        </w:sdtContent>
                      </w:sdt>
                      <w:r>
                        <w:rPr>
                          <w:color w:val="000000"/>
                          <w:szCs w:val="24"/>
                        </w:rPr>
                        <w:t>. vaistininkas, gavęs platinimo įmonės informaciją apie tiekimo sąlygas, turi apie jas informuoti vardinį vaistinį preparatą paskyrusį gydytoją ir, tik jam pritarus, patvirtinti platinimo įmonei vardinio vaistinio preparato užsakymą, išskyrus, kai perkami vardiniai vaistiniai preparatai, įrašyti į Sąrašą;</w:t>
                      </w:r>
                    </w:p>
                  </w:sdtContent>
                </w:sdt>
                <w:sdt>
                  <w:sdtPr>
                    <w:alias w:val="22.2 pp."/>
                    <w:tag w:val="part_26f4875a3c6b493ba84c95e3eab4d60b"/>
                    <w:lock w:val="sdtLocked"/>
                    <w:richText/>
                  </w:sdtPr>
                  <w:sdtContent>
                    <w:p>
                      <w:pPr>
                        <w:ind w:firstLine="709"/>
                        <w:jc w:val="both"/>
                      </w:pPr>
                      <w:sdt>
                        <w:sdtPr>
                          <w:alias w:val="Numeris"/>
                          <w:tag w:val="nr_26f4875a3c6b493ba84c95e3eab4d60b"/>
                          <w:lock w:val="sdtLocked"/>
                          <w:richText/>
                        </w:sdtPr>
                        <w:sdtContent>
                          <w:r>
                            <w:rPr>
                              <w:color w:val="000000"/>
                              <w:szCs w:val="24"/>
                            </w:rPr>
                            <w:t>22.2</w:t>
                          </w:r>
                        </w:sdtContent>
                      </w:sdt>
                      <w:r>
                        <w:rPr>
                          <w:color w:val="000000"/>
                          <w:szCs w:val="24"/>
                        </w:rPr>
                        <w:t>. vardiniai vaistiniai preparatai, neįrašyti į Sąrašą, išduodami asmens sveikatos priežiūros įstaigos padaliniui, šių Taisyklių 15.3 papunktyje nustatyta tvarka pateikusiam reikalavimą vardiniam vaistiniam preparatui gauti. Vardiniai vaistiniai preparatai, įrašyti į Sąrašą, išduodami asmens sveikatos priežiūros įstaigos padaliniui, pateikusiam reikalavimą vardiniam vaistiniam preparatui, kuriame papildomai nurodoma vardinio vaistinio preparato pavadinimas, stiprumas, farmacinė forma, veikliosios (-iųjų) medžiagos (-ų) pavadinimas (-ai) ir kiekis (-iai), reikalavimo viršuje pažymint „vardinio vaistinio preparato“ (viename reikalavime gali būti nurodomas daugiau negu vienas vardinis vaistinis preparatas).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Content>
            </w:sdt>
          </w:sdtContent>
        </w:sdt>
        <w:sdt>
          <w:sdtPr>
            <w:alias w:val="skyrius"/>
            <w:tag w:val="part_cbea9046287a473293f6229d5dd11e29"/>
            <w:lock w:val="sdtLocked"/>
            <w:richText/>
          </w:sdtPr>
          <w:sdtContent>
            <w:p>
              <w:pPr>
                <w:jc w:val="center"/>
                <w:rPr>
                  <w:b/>
                  <w:szCs w:val="24"/>
                </w:rPr>
              </w:pPr>
              <w:sdt>
                <w:sdtPr>
                  <w:alias w:val="Numeris"/>
                  <w:tag w:val="nr_cbea9046287a473293f6229d5dd11e29"/>
                  <w:lock w:val="sdtLocked"/>
                  <w:richText/>
                </w:sdtPr>
                <w:sdtContent>
                  <w:r>
                    <w:rPr>
                      <w:b/>
                      <w:szCs w:val="24"/>
                    </w:rPr>
                    <w:t>III</w:t>
                  </w:r>
                  <w:r>
                    <w:rPr>
                      <w:b/>
                      <w:szCs w:val="24"/>
                      <w:vertAlign w:val="superscript"/>
                    </w:rPr>
                    <w:t>1</w:t>
                  </w:r>
                </w:sdtContent>
              </w:sdt>
              <w:r>
                <w:rPr>
                  <w:b/>
                  <w:szCs w:val="24"/>
                </w:rPr>
                <w:t xml:space="preserve"> SKYRIUS</w:t>
              </w:r>
            </w:p>
            <w:p>
              <w:pPr>
                <w:ind w:left="1276"/>
                <w:jc w:val="center"/>
                <w:rPr>
                  <w:b/>
                  <w:szCs w:val="24"/>
                </w:rPr>
              </w:pPr>
              <w:sdt>
                <w:sdtPr>
                  <w:alias w:val="Pavadinimas"/>
                  <w:tag w:val="title_cbea9046287a473293f6229d5dd11e29"/>
                  <w:lock w:val="sdtLocked"/>
                  <w:richText/>
                </w:sdtPr>
                <w:sdtContent>
                  <w:r>
                    <w:rPr>
                      <w:b/>
                      <w:szCs w:val="24"/>
                    </w:rPr>
                    <w:t>SPECIALIEJI NEREGISTRUOTŲ IMUNINIŲ IR KRAUJO VAISTINIŲ PREPARATŲ TIEKIMO REIKALAVIMAI</w:t>
                  </w:r>
                </w:sdtContent>
              </w:sdt>
            </w:p>
            <w:p>
              <w:pPr>
                <w:ind w:left="1276"/>
                <w:jc w:val="center"/>
                <w:rPr>
                  <w:b/>
                  <w:szCs w:val="24"/>
                </w:rPr>
              </w:pPr>
            </w:p>
            <w:sdt>
              <w:sdtPr>
                <w:alias w:val="22-1 p."/>
                <w:tag w:val="part_5b7d5d69428741f7b9f949f0662819e6"/>
                <w:lock w:val="sdtLocked"/>
                <w:richText/>
              </w:sdtPr>
              <w:sdtContent>
                <w:p>
                  <w:pPr>
                    <w:ind w:firstLine="851"/>
                    <w:jc w:val="both"/>
                    <w:rPr>
                      <w:bCs/>
                      <w:szCs w:val="24"/>
                    </w:rPr>
                  </w:pPr>
                  <w:sdt>
                    <w:sdtPr>
                      <w:alias w:val="Numeris"/>
                      <w:tag w:val="nr_5b7d5d69428741f7b9f949f0662819e6"/>
                      <w:lock w:val="sdtLocked"/>
                      <w:richText/>
                    </w:sdtPr>
                    <w:sdtContent>
                      <w:r>
                        <w:rPr>
                          <w:bCs/>
                          <w:szCs w:val="24"/>
                        </w:rPr>
                        <w:t>22</w:t>
                      </w:r>
                      <w:r>
                        <w:rPr>
                          <w:bCs/>
                          <w:szCs w:val="24"/>
                          <w:vertAlign w:val="superscript"/>
                        </w:rPr>
                        <w:t>1</w:t>
                      </w:r>
                    </w:sdtContent>
                  </w:sdt>
                  <w:r>
                    <w:rPr>
                      <w:bCs/>
                      <w:szCs w:val="24"/>
                    </w:rPr>
                    <w:t xml:space="preserve">. Platinimo įmonė turi teisę tiekti neregistruotus imuninius ir (ar) kraujo vaistinius preparatus (jų serijas ar serijos dalį) vaistinėms ir asmens sveikatos priežiūros įstaigoms, jeigu numatomai tiekti imuninio ir (ar) kraujo vaistinio preparato serijai yra išduotas </w:t>
                  </w:r>
                  <w:r>
                    <w:rPr>
                      <w:bCs/>
                      <w:color w:val="000000"/>
                      <w:szCs w:val="24"/>
                    </w:rPr>
                    <w:t xml:space="preserve">EEE valstybės </w:t>
                  </w:r>
                  <w:r>
                    <w:rPr>
                      <w:bCs/>
                      <w:szCs w:val="24"/>
                    </w:rPr>
                    <w:t>arba valstybės, su kuria Europos Sąjunga yra pasirašiusi susitarimą dėl oficialaus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(toliau – EEE serijos išleidimo pažymėjimas). Išimtiniais atvejais, kai nėra galimybės patiekti imuninio vaistinio preparato, kurio serijai yra išduotas EEE serijos išleidimo pažymėjimas, gali būti tiekiamas neregistruotas imuninis vaistinis preparatas, kurio serijai yra išduotas trečiosios šalies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22-2 p."/>
                <w:tag w:val="part_0f9fd3b9c7264d2eae8a11432f38b5fc"/>
                <w:lock w:val="sdtLocked"/>
                <w:richText/>
              </w:sdtPr>
              <w:sdtContent>
                <w:p>
                  <w:pPr>
                    <w:ind w:firstLine="851"/>
                    <w:jc w:val="both"/>
                    <w:rPr>
                      <w:bCs/>
                      <w:strike/>
                      <w:color w:val="000000"/>
                      <w:szCs w:val="24"/>
                    </w:rPr>
                  </w:pPr>
                  <w:sdt>
                    <w:sdtPr>
                      <w:alias w:val="Numeris"/>
                      <w:tag w:val="nr_0f9fd3b9c7264d2eae8a11432f38b5fc"/>
                      <w:lock w:val="sdtLocked"/>
                      <w:richText/>
                    </w:sdtPr>
                    <w:sdtContent>
                      <w:r>
                        <w:rPr>
                          <w:bCs/>
                          <w:szCs w:val="24"/>
                        </w:rPr>
                        <w:t>22</w:t>
                      </w:r>
                      <w:r>
                        <w:rPr>
                          <w:bCs/>
                          <w:szCs w:val="24"/>
                          <w:vertAlign w:val="superscript"/>
                        </w:rPr>
                        <w:t>2</w:t>
                      </w:r>
                    </w:sdtContent>
                  </w:sdt>
                  <w:r>
                    <w:rPr>
                      <w:bCs/>
                      <w:szCs w:val="24"/>
                    </w:rPr>
                    <w:t xml:space="preserve">. </w:t>
                  </w:r>
                  <w:r>
                    <w:rPr>
                      <w:bCs/>
                      <w:color w:val="000000"/>
                      <w:szCs w:val="24"/>
                    </w:rPr>
                    <w:t>EEE serijos išleidimo pažymėjimas ar PSO serijos išleidimo pažymėjimas turi būti išduotas būtent to pavadinimo neregistruotam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EDQM duomenų bazė) pagal imuninio ir (ar) kraujo vaistinio preparato pavadinimą, veikliosios (-iujų) medžiagos (-ų) pavadinimą (-us) ir serijos numerį bei </w:t>
                  </w:r>
                  <w:r>
                    <w:rPr>
                      <w:bCs/>
                      <w:szCs w:val="24"/>
                    </w:rPr>
                    <w:t>gamintojo, atsakingo už imuninio ir (ar) kraujo vaistinio preparato serijos išleidimą, pavadinimą.</w:t>
                  </w:r>
                  <w:r>
                    <w:rPr>
                      <w:bCs/>
                      <w:color w:val="000000"/>
                      <w:szCs w:val="24"/>
                    </w:rPr>
                    <w:t xml:space="preserve"> </w:t>
                  </w:r>
                </w:p>
              </w:sdtContent>
            </w:sdt>
            <w:sdt>
              <w:sdtPr>
                <w:alias w:val="22-3 p."/>
                <w:tag w:val="part_37e2039c854d43859cad4427713c6b35"/>
                <w:lock w:val="sdtLocked"/>
                <w:richText/>
              </w:sdtPr>
              <w:sdtContent>
                <w:p>
                  <w:pPr>
                    <w:ind w:firstLine="851"/>
                    <w:jc w:val="both"/>
                    <w:rPr>
                      <w:bCs/>
                      <w:szCs w:val="24"/>
                    </w:rPr>
                  </w:pPr>
                  <w:sdt>
                    <w:sdtPr>
                      <w:alias w:val="Numeris"/>
                      <w:tag w:val="nr_37e2039c854d43859cad4427713c6b35"/>
                      <w:lock w:val="sdtLocked"/>
                      <w:richText/>
                    </w:sdtPr>
                    <w:sdtContent>
                      <w:r>
                        <w:rPr>
                          <w:bCs/>
                          <w:szCs w:val="24"/>
                        </w:rPr>
                        <w:t>22</w:t>
                      </w:r>
                      <w:r>
                        <w:rPr>
                          <w:bCs/>
                          <w:szCs w:val="24"/>
                          <w:vertAlign w:val="superscript"/>
                        </w:rPr>
                        <w:t>3</w:t>
                      </w:r>
                    </w:sdtContent>
                  </w:sdt>
                  <w:r>
                    <w:rPr>
                      <w:bCs/>
                      <w:szCs w:val="24"/>
                    </w:rPr>
                    <w:t xml:space="preserve">. Platinimo įmonė, prieš įveždama į Lietuvos Respubliką neregistruotą imuninį ir (ar) kraujo vaistinį preparatą (jo seriją ar serijos dalį), turi gauti Tarnybos patvirtinimą, kad numatomai tiekti imuninio ir (ar) kraujo vaistinio preparato serijai yra išduotas </w:t>
                  </w:r>
                  <w:r>
                    <w:rPr>
                      <w:bCs/>
                      <w:color w:val="000000"/>
                      <w:szCs w:val="24"/>
                    </w:rPr>
                    <w:t>EEE serijos išleidimo pažymėjimas arba išimtiniu atveju, nurodytu Taisyklių 22</w:t>
                  </w:r>
                  <w:r>
                    <w:rPr>
                      <w:bCs/>
                      <w:color w:val="000000"/>
                      <w:szCs w:val="24"/>
                      <w:vertAlign w:val="superscript"/>
                    </w:rPr>
                    <w:t>1</w:t>
                  </w:r>
                  <w:r>
                    <w:rPr>
                      <w:bCs/>
                      <w:color w:val="000000"/>
                      <w:szCs w:val="24"/>
                    </w:rPr>
                    <w:t xml:space="preserve"> punkte, imuninio vaistinio preparato serijai yra išduotas PSO serijos išleidimo pažymėjimas ir yra imuninio vaistinio preparato gamintojo parengtas planuojamos įvežti serijos suvestinis gamybos ir kontrolės protokolas </w:t>
                  </w:r>
                  <w:r>
                    <w:rPr>
                      <w:bCs/>
                      <w:szCs w:val="24"/>
                    </w:rPr>
                    <w:t xml:space="preserve">(toliau – patvirtinimas). </w:t>
                  </w:r>
                </w:p>
              </w:sdtContent>
            </w:sdt>
            <w:sdt>
              <w:sdtPr>
                <w:alias w:val="22-4 p."/>
                <w:tag w:val="part_ff4540e2a0e248feae1d1d120a95462b"/>
                <w:lock w:val="sdtLocked"/>
                <w:richText/>
              </w:sdtPr>
              <w:sdtContent>
                <w:p>
                  <w:pPr>
                    <w:ind w:firstLine="851"/>
                    <w:jc w:val="both"/>
                    <w:rPr>
                      <w:bCs/>
                      <w:color w:val="000000"/>
                      <w:szCs w:val="24"/>
                    </w:rPr>
                  </w:pPr>
                  <w:sdt>
                    <w:sdtPr>
                      <w:alias w:val="Numeris"/>
                      <w:tag w:val="nr_ff4540e2a0e248feae1d1d120a95462b"/>
                      <w:lock w:val="sdtLocked"/>
                      <w:richText/>
                    </w:sdtPr>
                    <w:sdtContent>
                      <w:r>
                        <w:rPr>
                          <w:bCs/>
                          <w:szCs w:val="24"/>
                        </w:rPr>
                        <w:t>22</w:t>
                      </w:r>
                      <w:r>
                        <w:rPr>
                          <w:bCs/>
                          <w:szCs w:val="24"/>
                          <w:vertAlign w:val="superscript"/>
                        </w:rPr>
                        <w:t>4</w:t>
                      </w:r>
                    </w:sdtContent>
                  </w:sdt>
                  <w:r>
                    <w:rPr>
                      <w:bCs/>
                      <w:szCs w:val="24"/>
                    </w:rPr>
                    <w:t>. Platinimo įmonė, norėdama gauti patvirtinimą, Tarnybai turi pateikti prašymą, kuriame nurodomas planuojamo įvežti imuninio ir (ar) kraujo vaistinio preparato pavadinimas, stiprumas, farmacinė forma, veikliosios (-iųjų) medžiagos (-ų) pavadinimas (-ai), serijos numeris, planuojamas įvežti pakuočių kiekis ir planuojamo įvežimo į Lietuvos Respubliką data. Jei imuninio ir (ar) k</w:t>
                  </w:r>
                  <w:r>
                    <w:rPr>
                      <w:bCs/>
                      <w:color w:val="000000"/>
                      <w:szCs w:val="24"/>
                    </w:rPr>
                    <w:t>raujo</w:t>
                  </w:r>
                  <w:r>
                    <w:rPr>
                      <w:bCs/>
                      <w:szCs w:val="24"/>
                    </w:rPr>
                    <w:t xml:space="preserve"> vaistinio preparato serijai yra </w:t>
                  </w:r>
                  <w:r>
                    <w:rPr>
                      <w:bCs/>
                      <w:color w:val="000000"/>
                      <w:szCs w:val="24"/>
                    </w:rPr>
                    <w:t xml:space="preserve">išduotas EEE serijos išleidimo pažymėjimas, papildomai </w:t>
                  </w:r>
                  <w:r>
                    <w:rPr>
                      <w:bCs/>
                      <w:szCs w:val="24"/>
                    </w:rPr>
                    <w:t xml:space="preserve">nurodomas gamintojo, atsakingo už imuninio ir (ar) kraujo vaistinio preparato serijos išleidimą, pavadinimas ir adresas. Jei </w:t>
                  </w:r>
                  <w:r>
                    <w:rPr>
                      <w:bCs/>
                      <w:color w:val="000000"/>
                      <w:szCs w:val="24"/>
                    </w:rPr>
                    <w:t xml:space="preserve">imuninio vaistinio preparato serijai yra išduotas PSO serijos išleidimo pažymėjimas, papildomai pridedama imuninio vaistinio preparato PSO serijos išleidimo pažymėjimo kopija bei gamintojo parengto planuojamos įvežti serijos suvestinio gamybos ir kontrolės protokolo kopija. </w:t>
                  </w:r>
                </w:p>
              </w:sdtContent>
            </w:sdt>
            <w:sdt>
              <w:sdtPr>
                <w:alias w:val="22-5 p."/>
                <w:tag w:val="part_0ac5bc359c4d45b59baf545f0e0ad436"/>
                <w:lock w:val="sdtLocked"/>
                <w:richText/>
              </w:sdtPr>
              <w:sdtContent>
                <w:p>
                  <w:pPr>
                    <w:ind w:firstLine="851"/>
                    <w:jc w:val="both"/>
                    <w:rPr>
                      <w:bCs/>
                      <w:color w:val="000000"/>
                      <w:szCs w:val="24"/>
                    </w:rPr>
                  </w:pPr>
                  <w:sdt>
                    <w:sdtPr>
                      <w:alias w:val="Numeris"/>
                      <w:tag w:val="nr_0ac5bc359c4d45b59baf545f0e0ad436"/>
                      <w:lock w:val="sdtLocked"/>
                      <w:richText/>
                    </w:sdtPr>
                    <w:sdtContent>
                      <w:r>
                        <w:rPr>
                          <w:bCs/>
                          <w:color w:val="000000"/>
                          <w:szCs w:val="24"/>
                        </w:rPr>
                        <w:t>22</w:t>
                      </w:r>
                      <w:r>
                        <w:rPr>
                          <w:bCs/>
                          <w:color w:val="000000"/>
                          <w:szCs w:val="24"/>
                          <w:vertAlign w:val="superscript"/>
                        </w:rPr>
                        <w:t>5</w:t>
                      </w:r>
                    </w:sdtContent>
                  </w:sdt>
                  <w:r>
                    <w:rPr>
                      <w:bCs/>
                      <w:color w:val="000000"/>
                      <w:szCs w:val="24"/>
                    </w:rPr>
                    <w:t>. Platinimo įmonė, teikdama prašymą gauti patvirtinimą, be dokumentų (informacijos), nurodytų Taisyklių 22</w:t>
                  </w:r>
                  <w:r>
                    <w:rPr>
                      <w:bCs/>
                      <w:color w:val="000000"/>
                      <w:szCs w:val="24"/>
                      <w:vertAlign w:val="superscript"/>
                    </w:rPr>
                    <w:t>4</w:t>
                  </w:r>
                  <w:r>
                    <w:rPr>
                      <w:bCs/>
                      <w:color w:val="000000"/>
                      <w:szCs w:val="24"/>
                    </w:rPr>
                    <w:t xml:space="preserve"> punkte, pateikia ir dokumento kopiją, patvirtinančią, kad imuninis ir (ar) kraujo vaistinis preparatas registruotas EEE valstybėje ar gamintojo šalyje, arba valstybės, kurioje jis registruotas, įgaliotos institucijos interneto svetainės adresą, kuriame pateikta informacija, patvirtinanti imuninio ir (ar) kraujo vaistinio preparato registraciją.</w:t>
                  </w:r>
                </w:p>
              </w:sdtContent>
            </w:sdt>
            <w:sdt>
              <w:sdtPr>
                <w:alias w:val="22-6 p."/>
                <w:tag w:val="part_a77f009e0c714343bef48efbfed3f313"/>
                <w:lock w:val="sdtLocked"/>
                <w:richText/>
              </w:sdtPr>
              <w:sdtContent>
                <w:p>
                  <w:pPr>
                    <w:ind w:firstLine="851"/>
                    <w:jc w:val="both"/>
                    <w:rPr>
                      <w:bCs/>
                      <w:color w:val="000000"/>
                      <w:szCs w:val="24"/>
                    </w:rPr>
                  </w:pPr>
                  <w:sdt>
                    <w:sdtPr>
                      <w:alias w:val="Numeris"/>
                      <w:tag w:val="nr_a77f009e0c714343bef48efbfed3f313"/>
                      <w:lock w:val="sdtLocked"/>
                      <w:richText/>
                    </w:sdtPr>
                    <w:sdtContent>
                      <w:r>
                        <w:rPr>
                          <w:bCs/>
                          <w:sz w:val="22"/>
                          <w:szCs w:val="24"/>
                        </w:rPr>
                        <w:t>22</w:t>
                      </w:r>
                      <w:r>
                        <w:rPr>
                          <w:bCs/>
                          <w:sz w:val="22"/>
                          <w:szCs w:val="24"/>
                          <w:vertAlign w:val="superscript"/>
                        </w:rPr>
                        <w:t>6</w:t>
                      </w:r>
                    </w:sdtContent>
                  </w:sdt>
                  <w:r>
                    <w:rPr>
                      <w:bCs/>
                      <w:szCs w:val="24"/>
                    </w:rPr>
                    <w:t xml:space="preserve">. Tarnyba, gavusi prašymą ir nustačiusi, kad </w:t>
                  </w:r>
                  <w:r>
                    <w:rPr>
                      <w:bCs/>
                      <w:color w:val="000000"/>
                      <w:szCs w:val="24"/>
                    </w:rPr>
                    <w:t>pateikti ne visi dokumentai ir (ar) duomenys, nurodyti Taisyklių 22</w:t>
                  </w:r>
                  <w:r>
                    <w:rPr>
                      <w:bCs/>
                      <w:color w:val="000000"/>
                      <w:szCs w:val="24"/>
                      <w:vertAlign w:val="superscript"/>
                    </w:rPr>
                    <w:t>4</w:t>
                  </w:r>
                  <w:r>
                    <w:rPr>
                      <w:bCs/>
                      <w:color w:val="000000"/>
                      <w:szCs w:val="24"/>
                    </w:rPr>
                    <w:t xml:space="preserve"> ir 22</w:t>
                  </w:r>
                  <w:r>
                    <w:rPr>
                      <w:bCs/>
                      <w:color w:val="000000"/>
                      <w:szCs w:val="24"/>
                      <w:vertAlign w:val="superscript"/>
                    </w:rPr>
                    <w:t xml:space="preserve">5 </w:t>
                  </w:r>
                  <w:r>
                    <w:rPr>
                      <w:bCs/>
                      <w:color w:val="000000"/>
                      <w:szCs w:val="24"/>
                    </w:rPr>
                    <w:t>punktuose, ir (ar) jie neatitinka Taisyklių 22</w:t>
                  </w:r>
                  <w:r>
                    <w:rPr>
                      <w:bCs/>
                      <w:color w:val="000000"/>
                      <w:szCs w:val="24"/>
                      <w:vertAlign w:val="superscript"/>
                    </w:rPr>
                    <w:t>2</w:t>
                  </w:r>
                  <w:r>
                    <w:rPr>
                      <w:bCs/>
                      <w:color w:val="000000"/>
                      <w:szCs w:val="24"/>
                    </w:rPr>
                    <w:t xml:space="preserve"> punkto reikalavimų, per 3 darbo dienas nuo prašymo gavimo dienos turi elektroniniu paštu pranešti platinimo įmonei apie nustatytus trūkumus nurodydama juos pašalinti ir apie tai pranešti Tarnybai Taisyklių 22</w:t>
                  </w:r>
                  <w:r>
                    <w:rPr>
                      <w:bCs/>
                      <w:color w:val="000000"/>
                      <w:szCs w:val="24"/>
                      <w:vertAlign w:val="superscript"/>
                    </w:rPr>
                    <w:t xml:space="preserve">7 </w:t>
                  </w:r>
                  <w:r>
                    <w:rPr>
                      <w:bCs/>
                      <w:color w:val="000000"/>
                      <w:szCs w:val="24"/>
                    </w:rPr>
                    <w:t xml:space="preserve">punkte nustatytu terminu.  </w:t>
                  </w:r>
                </w:p>
              </w:sdtContent>
            </w:sdt>
            <w:sdt>
              <w:sdtPr>
                <w:alias w:val="22-7 p."/>
                <w:tag w:val="part_3eed4e9d280b41838ae74f95ddfc1d08"/>
                <w:lock w:val="sdtLocked"/>
                <w:richText/>
              </w:sdtPr>
              <w:sdtContent>
                <w:p>
                  <w:pPr>
                    <w:ind w:firstLine="851"/>
                    <w:jc w:val="both"/>
                    <w:rPr>
                      <w:bCs/>
                      <w:color w:val="000000"/>
                      <w:szCs w:val="24"/>
                    </w:rPr>
                  </w:pPr>
                  <w:sdt>
                    <w:sdtPr>
                      <w:alias w:val="Numeris"/>
                      <w:tag w:val="nr_3eed4e9d280b41838ae74f95ddfc1d08"/>
                      <w:lock w:val="sdtLocked"/>
                      <w:richText/>
                    </w:sdtPr>
                    <w:sdtContent>
                      <w:r>
                        <w:rPr>
                          <w:bCs/>
                          <w:szCs w:val="24"/>
                        </w:rPr>
                        <w:t>22</w:t>
                      </w:r>
                      <w:r>
                        <w:rPr>
                          <w:bCs/>
                          <w:szCs w:val="24"/>
                          <w:vertAlign w:val="superscript"/>
                        </w:rPr>
                        <w:t>7</w:t>
                      </w:r>
                    </w:sdtContent>
                  </w:sdt>
                  <w:r>
                    <w:rPr>
                      <w:bCs/>
                      <w:szCs w:val="24"/>
                    </w:rPr>
                    <w:t xml:space="preserve">. </w:t>
                  </w:r>
                  <w:r>
                    <w:rPr>
                      <w:bCs/>
                      <w:color w:val="000000"/>
                      <w:szCs w:val="24"/>
                    </w:rPr>
                    <w:t>Platinimo įmonė nustatytus trūkumus turi pašalinti ir apie tai pranešti Tarnybai ne vėliau kaip per 20 darbo dienų nuo Tarnybos pranešimo elektroniniu paštu išsiuntimo dienos.</w:t>
                  </w:r>
                  <w:r>
                    <w:rPr>
                      <w:bCs/>
                      <w:szCs w:val="24"/>
                    </w:rPr>
                    <w:t xml:space="preserve"> </w:t>
                  </w:r>
                </w:p>
              </w:sdtContent>
            </w:sdt>
            <w:sdt>
              <w:sdtPr>
                <w:alias w:val="22-8 p."/>
                <w:tag w:val="part_4dd089fd6f72438d9f8ff16c4df4d9dd"/>
                <w:lock w:val="sdtLocked"/>
                <w:richText/>
              </w:sdtPr>
              <w:sdtContent>
                <w:p>
                  <w:pPr>
                    <w:ind w:firstLine="851"/>
                    <w:jc w:val="both"/>
                    <w:rPr>
                      <w:bCs/>
                      <w:color w:val="000000"/>
                      <w:szCs w:val="24"/>
                    </w:rPr>
                  </w:pPr>
                  <w:sdt>
                    <w:sdtPr>
                      <w:alias w:val="Numeris"/>
                      <w:tag w:val="nr_4dd089fd6f72438d9f8ff16c4df4d9dd"/>
                      <w:lock w:val="sdtLocked"/>
                      <w:richText/>
                    </w:sdtPr>
                    <w:sdtContent>
                      <w:r>
                        <w:rPr>
                          <w:bCs/>
                          <w:szCs w:val="24"/>
                        </w:rPr>
                        <w:t>22</w:t>
                      </w:r>
                      <w:r>
                        <w:rPr>
                          <w:bCs/>
                          <w:szCs w:val="24"/>
                          <w:vertAlign w:val="superscript"/>
                        </w:rPr>
                        <w:t>8</w:t>
                      </w:r>
                    </w:sdtContent>
                  </w:sdt>
                  <w:r>
                    <w:rPr>
                      <w:bCs/>
                      <w:szCs w:val="24"/>
                    </w:rPr>
                    <w:t xml:space="preserve">. </w:t>
                  </w:r>
                  <w:r>
                    <w:rPr>
                      <w:bCs/>
                      <w:color w:val="000000"/>
                      <w:szCs w:val="24"/>
                    </w:rPr>
                    <w:t xml:space="preserve">Tarnyba, gavusi visus Taisyklių </w:t>
                  </w:r>
                  <w:r>
                    <w:rPr>
                      <w:bCs/>
                      <w:szCs w:val="24"/>
                    </w:rPr>
                    <w:t>22</w:t>
                  </w:r>
                  <w:r>
                    <w:rPr>
                      <w:bCs/>
                      <w:szCs w:val="24"/>
                      <w:vertAlign w:val="superscript"/>
                    </w:rPr>
                    <w:t>4</w:t>
                  </w:r>
                  <w:r>
                    <w:rPr>
                      <w:bCs/>
                      <w:color w:val="000000"/>
                      <w:szCs w:val="24"/>
                    </w:rPr>
                    <w:t xml:space="preserve">  ir 22</w:t>
                  </w:r>
                  <w:r>
                    <w:rPr>
                      <w:bCs/>
                      <w:color w:val="000000"/>
                      <w:szCs w:val="24"/>
                      <w:vertAlign w:val="superscript"/>
                    </w:rPr>
                    <w:t>5</w:t>
                  </w:r>
                  <w:r>
                    <w:rPr>
                      <w:bCs/>
                      <w:color w:val="000000"/>
                      <w:szCs w:val="24"/>
                    </w:rPr>
                    <w:t xml:space="preserve"> punktuose nurodytus dokumentus ir duomenis, atitinkančius Taisyklių 22</w:t>
                  </w:r>
                  <w:r>
                    <w:rPr>
                      <w:bCs/>
                      <w:color w:val="000000"/>
                      <w:szCs w:val="24"/>
                      <w:vertAlign w:val="superscript"/>
                    </w:rPr>
                    <w:t>2</w:t>
                  </w:r>
                  <w:r>
                    <w:rPr>
                      <w:bCs/>
                      <w:color w:val="000000"/>
                      <w:szCs w:val="24"/>
                    </w:rPr>
                    <w:t xml:space="preserve"> punkto reikalavimus, per 7 darbo dienas nuo jų gavimo dienos pateikia patvirtinimą. Jeigu Tarnyba nustato, kad platinimo įmonė per Taisyklių 22</w:t>
                  </w:r>
                  <w:r>
                    <w:rPr>
                      <w:bCs/>
                      <w:color w:val="000000"/>
                      <w:szCs w:val="24"/>
                      <w:vertAlign w:val="superscript"/>
                    </w:rPr>
                    <w:t>7</w:t>
                  </w:r>
                  <w:r>
                    <w:rPr>
                      <w:bCs/>
                      <w:color w:val="000000"/>
                      <w:szCs w:val="24"/>
                    </w:rPr>
                    <w:t xml:space="preserve"> punkte nustatytą terminą trūkumų nepašalino ir (ar) nepateikė trūkumų pašalinimą įrodančių dokumentų, per 7 darbo dienas nuo šio termino pabaigos dienos pateikia platinimo įmonei motyvuotą atsisakymą pateikti patvirtinimą. </w:t>
                  </w:r>
                </w:p>
              </w:sdtContent>
            </w:sdt>
            <w:sdt>
              <w:sdtPr>
                <w:alias w:val="22-9 p."/>
                <w:tag w:val="part_7bc043d2861b446a96f08104dbdcdef5"/>
                <w:lock w:val="sdtLocked"/>
                <w:richText/>
              </w:sdtPr>
              <w:sdtContent>
                <w:p>
                  <w:pPr>
                    <w:ind w:firstLine="851"/>
                    <w:jc w:val="both"/>
                    <w:rPr>
                      <w:bCs/>
                      <w:color w:val="000000"/>
                      <w:szCs w:val="24"/>
                      <w:lang w:eastAsia="lt-LT"/>
                    </w:rPr>
                  </w:pPr>
                  <w:sdt>
                    <w:sdtPr>
                      <w:alias w:val="Numeris"/>
                      <w:tag w:val="nr_7bc043d2861b446a96f08104dbdcdef5"/>
                      <w:lock w:val="sdtLocked"/>
                      <w:richText/>
                    </w:sdtPr>
                    <w:sdtContent>
                      <w:r>
                        <w:rPr>
                          <w:bCs/>
                          <w:szCs w:val="24"/>
                        </w:rPr>
                        <w:t>22</w:t>
                      </w:r>
                      <w:r>
                        <w:rPr>
                          <w:bCs/>
                          <w:szCs w:val="24"/>
                          <w:vertAlign w:val="superscript"/>
                        </w:rPr>
                        <w:t>9</w:t>
                      </w:r>
                    </w:sdtContent>
                  </w:sdt>
                  <w:r>
                    <w:rPr>
                      <w:bCs/>
                      <w:szCs w:val="24"/>
                    </w:rPr>
                    <w:t xml:space="preserve">. Patvirtinimą gavusi platinimo įmonė, </w:t>
                  </w:r>
                  <w:r>
                    <w:rPr>
                      <w:bCs/>
                      <w:color w:val="000000"/>
                      <w:szCs w:val="24"/>
                      <w:lang w:eastAsia="lt-LT"/>
                    </w:rPr>
                    <w:t xml:space="preserve">tiekdama </w:t>
                  </w:r>
                  <w:r>
                    <w:rPr>
                      <w:bCs/>
                      <w:szCs w:val="24"/>
                    </w:rPr>
                    <w:t>centralizuotai perkamus neregistruotus imuninius ir (ar) kraujo vaistinius preparatus į</w:t>
                  </w:r>
                  <w:r>
                    <w:rPr>
                      <w:bCs/>
                      <w:color w:val="000000"/>
                      <w:szCs w:val="24"/>
                      <w:lang w:eastAsia="lt-LT"/>
                    </w:rPr>
                    <w:t xml:space="preserve"> asmens sveikatos priežiūros įstaigas, turi taikyti šias būtinas visuomenės sveikatai apsaugoti priemones:</w:t>
                  </w:r>
                </w:p>
                <w:sdt>
                  <w:sdtPr>
                    <w:alias w:val="22-9.1 pp."/>
                    <w:tag w:val="part_3762bd624451414abe5a41d2ec9815a7"/>
                    <w:lock w:val="sdtLocked"/>
                    <w:richText/>
                  </w:sdtPr>
                  <w:sdtContent>
                    <w:p>
                      <w:pPr>
                        <w:ind w:firstLine="851"/>
                        <w:jc w:val="both"/>
                        <w:rPr>
                          <w:bCs/>
                          <w:color w:val="000000"/>
                          <w:szCs w:val="24"/>
                          <w:lang w:eastAsia="lt-LT"/>
                        </w:rPr>
                      </w:pPr>
                      <w:sdt>
                        <w:sdtPr>
                          <w:alias w:val="Numeris"/>
                          <w:tag w:val="nr_3762bd624451414abe5a41d2ec9815a7"/>
                          <w:lock w:val="sdtLocked"/>
                          <w:richText/>
                        </w:sdtPr>
                        <w:sdtContent>
                          <w:r>
                            <w:rPr>
                              <w:bCs/>
                              <w:szCs w:val="24"/>
                            </w:rPr>
                            <w:t>22</w:t>
                          </w:r>
                          <w:r>
                            <w:rPr>
                              <w:bCs/>
                              <w:szCs w:val="24"/>
                              <w:vertAlign w:val="superscript"/>
                            </w:rPr>
                            <w:t>9</w:t>
                          </w:r>
                          <w:r>
                            <w:rPr>
                              <w:bCs/>
                              <w:szCs w:val="24"/>
                            </w:rPr>
                            <w:t>.</w:t>
                          </w:r>
                          <w:r>
                            <w:rPr>
                              <w:bCs/>
                              <w:color w:val="000000"/>
                              <w:szCs w:val="24"/>
                              <w:lang w:eastAsia="lt-LT"/>
                            </w:rPr>
                            <w:t>1</w:t>
                          </w:r>
                        </w:sdtContent>
                      </w:sdt>
                      <w:r>
                        <w:rPr>
                          <w:bCs/>
                          <w:color w:val="000000"/>
                          <w:szCs w:val="24"/>
                          <w:lang w:eastAsia="lt-LT"/>
                        </w:rPr>
                        <w:t xml:space="preserve">. kartu su kiekviena vaistinių preparatų siunta pateikti pakuotės lapelio (su paskutiniais pakeitimais) vertimą į lietuvių kalbą, suderintą su Tarnyba jos nustatyta tvarka (pakuotės lapelių skaičius turi atitikti siuntoje esančių pakuočių, o imuninių vaistinių preparatų atveju – siuntoje esančių dozių, skaičių); </w:t>
                      </w:r>
                    </w:p>
                  </w:sdtContent>
                </w:sdt>
                <w:sdt>
                  <w:sdtPr>
                    <w:alias w:val="22-9.2 pp."/>
                    <w:tag w:val="part_5ccf29263fc34507bc2ae9b625047322"/>
                    <w:lock w:val="sdtLocked"/>
                    <w:richText/>
                  </w:sdtPr>
                  <w:sdtContent>
                    <w:p>
                      <w:pPr>
                        <w:ind w:firstLine="851"/>
                        <w:jc w:val="both"/>
                        <w:rPr>
                          <w:bCs/>
                          <w:szCs w:val="24"/>
                        </w:rPr>
                      </w:pPr>
                      <w:sdt>
                        <w:sdtPr>
                          <w:alias w:val="Numeris"/>
                          <w:tag w:val="nr_5ccf29263fc34507bc2ae9b625047322"/>
                          <w:lock w:val="sdtLocked"/>
                          <w:richText/>
                        </w:sdtPr>
                        <w:sdtContent>
                          <w:r>
                            <w:rPr>
                              <w:bCs/>
                              <w:szCs w:val="24"/>
                            </w:rPr>
                            <w:t>22</w:t>
                          </w:r>
                          <w:r>
                            <w:rPr>
                              <w:bCs/>
                              <w:szCs w:val="24"/>
                              <w:vertAlign w:val="superscript"/>
                            </w:rPr>
                            <w:t>9</w:t>
                          </w:r>
                          <w:r>
                            <w:rPr>
                              <w:bCs/>
                              <w:szCs w:val="24"/>
                            </w:rPr>
                            <w:t>.2</w:t>
                          </w:r>
                        </w:sdtContent>
                      </w:sdt>
                      <w:r>
                        <w:rPr>
                          <w:bCs/>
                          <w:color w:val="000000"/>
                          <w:szCs w:val="24"/>
                          <w:lang w:eastAsia="lt-LT"/>
                        </w:rPr>
                        <w:t xml:space="preserve">. kartu su kiekviena vaistinio preparato siunta ar atskiru raštu asmens sveikatos priežiūros įstaigai pateikti informaciją, kur galima rasti pakuotės lapelio vertimą į lietuvių kalbą, taip pat, jeigu yra galimybė, atitinkamai, valstybės, kurioje registruotas vaistinis preparatas, kompetentingos institucijos arba </w:t>
                      </w:r>
                      <w:r>
                        <w:rPr>
                          <w:bCs/>
                          <w:color w:val="000000"/>
                          <w:szCs w:val="24"/>
                        </w:rPr>
                        <w:t xml:space="preserve">Pasaulio sveikatos organizacijos </w:t>
                      </w:r>
                      <w:r>
                        <w:rPr>
                          <w:bCs/>
                          <w:color w:val="000000"/>
                          <w:szCs w:val="24"/>
                          <w:lang w:eastAsia="lt-LT"/>
                        </w:rPr>
                        <w:t>interneto svetainės adresą, kurioje anglų, vokiečių ar prancūzų kalba paskelbtas pakuotės lapelis ir (ar) vaistinio preparato charakteristikų santrauka.</w:t>
                      </w:r>
                    </w:p>
                  </w:sdtContent>
                </w:sdt>
              </w:sdtContent>
            </w:sdt>
            <w:sdt>
              <w:sdtPr>
                <w:alias w:val="22-10 p."/>
                <w:tag w:val="part_99b17ca7808c42f3a67f7342b891a0a0"/>
                <w:lock w:val="sdtLocked"/>
                <w:richText/>
              </w:sdtPr>
              <w:sdtContent>
                <w:p>
                  <w:pPr>
                    <w:ind w:firstLine="851"/>
                    <w:jc w:val="both"/>
                    <w:rPr>
                      <w:bCs/>
                      <w:color w:val="000000"/>
                      <w:szCs w:val="24"/>
                      <w:lang w:eastAsia="lt-LT"/>
                    </w:rPr>
                  </w:pPr>
                  <w:sdt>
                    <w:sdtPr>
                      <w:alias w:val="Numeris"/>
                      <w:tag w:val="nr_99b17ca7808c42f3a67f7342b891a0a0"/>
                      <w:lock w:val="sdtLocked"/>
                      <w:richText/>
                    </w:sdtPr>
                    <w:sdtContent>
                      <w:r>
                        <w:rPr>
                          <w:bCs/>
                          <w:szCs w:val="24"/>
                        </w:rPr>
                        <w:t>22</w:t>
                      </w:r>
                      <w:r>
                        <w:rPr>
                          <w:bCs/>
                          <w:szCs w:val="24"/>
                          <w:vertAlign w:val="superscript"/>
                        </w:rPr>
                        <w:t>10</w:t>
                      </w:r>
                    </w:sdtContent>
                  </w:sdt>
                  <w:r>
                    <w:rPr>
                      <w:bCs/>
                      <w:color w:val="000000"/>
                      <w:szCs w:val="24"/>
                      <w:lang w:eastAsia="lt-LT"/>
                    </w:rPr>
                    <w:t xml:space="preserve">. Asmens sveikatos priežiūros įstaigos vadovas turi nustatyti tvarką, kurioje būtų numatyta, kaip užtikrinamas pagal Taisyklių </w:t>
                  </w:r>
                  <w:r>
                    <w:rPr>
                      <w:bCs/>
                      <w:szCs w:val="24"/>
                    </w:rPr>
                    <w:t>22</w:t>
                  </w:r>
                  <w:r>
                    <w:rPr>
                      <w:bCs/>
                      <w:szCs w:val="24"/>
                      <w:vertAlign w:val="superscript"/>
                    </w:rPr>
                    <w:t>9</w:t>
                  </w:r>
                  <w:r>
                    <w:rPr>
                      <w:bCs/>
                      <w:szCs w:val="24"/>
                    </w:rPr>
                    <w:t>.2</w:t>
                  </w:r>
                  <w:r>
                    <w:rPr>
                      <w:bCs/>
                      <w:color w:val="000000"/>
                      <w:szCs w:val="24"/>
                      <w:lang w:eastAsia="lt-LT"/>
                    </w:rPr>
                    <w:t xml:space="preserve"> papunktį gaunamos informacijos apie </w:t>
                  </w:r>
                  <w:r>
                    <w:rPr>
                      <w:bCs/>
                      <w:szCs w:val="24"/>
                    </w:rPr>
                    <w:t>centralizuotai perkamą neregistruotą imuninį ir (ar) kraujo vaistinį preparatą</w:t>
                  </w:r>
                  <w:r>
                    <w:rPr>
                      <w:bCs/>
                      <w:color w:val="000000"/>
                      <w:szCs w:val="24"/>
                      <w:lang w:eastAsia="lt-LT"/>
                    </w:rPr>
                    <w:t>, prieinamumas visiems su vaistinio preparato tvarkymu, skyrimu ir vartojimu susijusiems asmens sveikatos priežiūros įstaigos darbuotojams, kad būtų išvengta vaistinio preparato supainiojimo atvejų, neteisingo paskyrimo ir vartojimo. Asmens sveikatos priežiūros įstaigos vadovas turi paskirti asmenį, atsakingą už šios informacijos tvarkymą ir prieinamumą.</w:t>
                  </w:r>
                </w:p>
              </w:sdtContent>
            </w:sdt>
            <w:sdt>
              <w:sdtPr>
                <w:alias w:val="22-11 p."/>
                <w:tag w:val="part_34af75ee70f44f20a21d4e356a9b0eb4"/>
                <w:lock w:val="sdtLocked"/>
                <w:richText/>
              </w:sdtPr>
              <w:sdtContent>
                <w:p>
                  <w:pPr>
                    <w:ind w:firstLine="851"/>
                    <w:jc w:val="both"/>
                  </w:pPr>
                  <w:sdt>
                    <w:sdtPr>
                      <w:alias w:val="Numeris"/>
                      <w:tag w:val="nr_34af75ee70f44f20a21d4e356a9b0eb4"/>
                      <w:lock w:val="sdtLocked"/>
                      <w:richText/>
                    </w:sdtPr>
                    <w:sdtContent>
                      <w:r>
                        <w:rPr>
                          <w:bCs/>
                          <w:szCs w:val="24"/>
                        </w:rPr>
                        <w:t>22</w:t>
                      </w:r>
                      <w:r>
                        <w:rPr>
                          <w:bCs/>
                          <w:szCs w:val="24"/>
                          <w:vertAlign w:val="superscript"/>
                        </w:rPr>
                        <w:t>11</w:t>
                      </w:r>
                    </w:sdtContent>
                  </w:sdt>
                  <w:r>
                    <w:rPr>
                      <w:bCs/>
                      <w:color w:val="000000"/>
                      <w:szCs w:val="24"/>
                      <w:lang w:eastAsia="lt-LT"/>
                    </w:rPr>
                    <w:t xml:space="preserve">. Tarnyba savo interneto svetainėje skelbia informaciją apie pateiktus patvirtinimus (platinimo įmonės pavadinimą, </w:t>
                  </w:r>
                  <w:r>
                    <w:rPr>
                      <w:bCs/>
                      <w:szCs w:val="24"/>
                    </w:rPr>
                    <w:t>imuninio ir (ar) kraujo vaistinio preparato pavadinimą, stiprumą, farmacinę formą, veikliosios (-iųjų) medžiagos (-ų) pavadinimą  (- us), gamintojo pavadinimą, serijos numerį, planuojamą įvežti pakuočių kiekį)</w:t>
                  </w:r>
                  <w:r>
                    <w:rPr>
                      <w:bCs/>
                      <w:color w:val="000000"/>
                      <w:szCs w:val="24"/>
                      <w:lang w:eastAsia="lt-LT"/>
                    </w:rPr>
                    <w:t xml:space="preserve">, platinimo įmonės parengtus ir su Tarnyba suderintus </w:t>
                  </w:r>
                  <w:r>
                    <w:rPr>
                      <w:bCs/>
                      <w:szCs w:val="24"/>
                    </w:rPr>
                    <w:t xml:space="preserve">centralizuotai perkamų neregistruotų imuninių ir (ar) kraujo vaistinių preparatų </w:t>
                  </w:r>
                  <w:r>
                    <w:rPr>
                      <w:bCs/>
                      <w:color w:val="000000"/>
                      <w:szCs w:val="24"/>
                      <w:lang w:eastAsia="lt-LT"/>
                    </w:rPr>
                    <w:t xml:space="preserve">pakuočių lapelių vertimus į lietuvių kalbą ir, jeigu yra galimybė, atitinkamai, valstybės, kurioje registruotas </w:t>
                  </w:r>
                  <w:r>
                    <w:rPr>
                      <w:bCs/>
                      <w:szCs w:val="24"/>
                    </w:rPr>
                    <w:t xml:space="preserve">centralizuotai perkamas neregistruotas imuninis ir (ar) kraujo </w:t>
                  </w:r>
                  <w:r>
                    <w:rPr>
                      <w:bCs/>
                      <w:color w:val="000000"/>
                      <w:szCs w:val="24"/>
                      <w:lang w:eastAsia="lt-LT"/>
                    </w:rPr>
                    <w:t>vaistinis preparatas, kompetentingos institucijos arba Pasaulio sveikatos organizacijos interneto svetainės adresą, kurioje anglų, vokiečių ar prancūzų kalba paskelbtas pakuotės lapelis ir (ar) vaistinio preparato charakteristikų santrauka.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skyrius"/>
            <w:tag w:val="part_45ffb48439b14cf69eab9b7cfa560e4d"/>
            <w:lock w:val="sdtLocked"/>
            <w:richText/>
          </w:sdtPr>
          <w:sdtContent>
            <w:p>
              <w:pPr>
                <w:widowControl w:val="0"/>
                <w:jc w:val="center"/>
              </w:pPr>
              <w:sdt>
                <w:sdtPr>
                  <w:alias w:val="Numeris"/>
                  <w:tag w:val="nr_45ffb48439b14cf69eab9b7cfa560e4d"/>
                  <w:lock w:val="sdtLocked"/>
                  <w:richText/>
                </w:sdtPr>
                <w:sdtContent>
                  <w:r>
                    <w:rPr>
                      <w:b/>
                      <w:bCs/>
                    </w:rPr>
                    <w:t>IV SKYRIUS</w:t>
                  </w:r>
                </w:sdtContent>
              </w:sdt>
            </w:p>
            <w:p>
              <w:pPr>
                <w:widowControl w:val="0"/>
                <w:jc w:val="center"/>
              </w:pPr>
              <w:sdt>
                <w:sdtPr>
                  <w:alias w:val="Pavadinimas"/>
                  <w:tag w:val="title_45ffb48439b14cf69eab9b7cfa560e4d"/>
                  <w:lock w:val="sdtLocked"/>
                  <w:richText/>
                </w:sdtPr>
                <w:sdtContent>
                  <w:r>
                    <w:rPr>
                      <w:b/>
                      <w:bCs/>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2ca203f3c11e99595d005d42b863e">
                <w:r w:rsidRPr="00532B9F">
                  <w:rPr>
                    <w:rFonts w:ascii="Times New Roman" w:eastAsia="MS Mincho" w:hAnsi="Times New Roman"/>
                    <w:sz w:val="20"/>
                    <w:i/>
                    <w:iCs/>
                    <w:color w:val="0000FF" w:themeColor="hyperlink"/>
                    <w:u w:val="single"/>
                  </w:rPr>
                  <w:t>V-289</w:t>
                </w:r>
              </w:fldSimple>
              <w:r>
                <w:rPr>
                  <w:rFonts w:ascii="Times New Roman" w:eastAsia="MS Mincho" w:hAnsi="Times New Roman"/>
                  <w:sz w:val="20"/>
                  <w:i/>
                  <w:iCs/>
                </w:rPr>
                <w:t>,
2019-03-04,
paskelbta TAR 2019-03-05, i. k. 2019-03610        </w:t>
              </w:r>
            </w:p>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7521a161395c44caa38b48ffc9e30756"/>
                <w:lock w:val="sdtLocked"/>
                <w:richText/>
              </w:sdtPr>
              <w:sdtContent>
                <w:p>
                  <w:pPr>
                    <w:spacing w:line="259" w:lineRule="auto"/>
                    <w:ind w:firstLine="709"/>
                    <w:jc w:val="both"/>
                  </w:pPr>
                  <w:sdt>
                    <w:sdtPr>
                      <w:alias w:val="Numeris"/>
                      <w:tag w:val="nr_7521a161395c44caa38b48ffc9e30756"/>
                      <w:lock w:val="sdtLocked"/>
                      <w:richText/>
                    </w:sdtPr>
                    <w:sdtContent>
                      <w:r>
                        <w:rPr>
                          <w:szCs w:val="24"/>
                        </w:rPr>
                        <w:t>24</w:t>
                      </w:r>
                    </w:sdtContent>
                  </w:sdt>
                  <w:r>
                    <w:rPr>
                      <w:szCs w:val="24"/>
                    </w:rPr>
                    <w:t xml:space="preserve">.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 / užsakymo iki vartojimo pabaigos. Vardinio vaistinio preparato reikalavimai ir užsakymai gali būti pildomi ir saugomi elektroniniu būdu, laikantis nustatytų jų turinio reikalavimų ir užtikrinant duomenų saugumą. Pildant dokumentus elektroniniu būdu naudojama informacinė sistema turi užtikrinti duomenų tvarkymo veiksmų istorijos atsekamumą ir galimybę juos pateikti kontroliuojančiai institucijai paprašius.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7cd0033b611eb932eb1ed7f923910">
                    <w:r w:rsidRPr="00532B9F">
                      <w:rPr>
                        <w:rFonts w:ascii="Times New Roman" w:eastAsia="MS Mincho" w:hAnsi="Times New Roman"/>
                        <w:sz w:val="20"/>
                        <w:i/>
                        <w:iCs/>
                        <w:color w:val="0000FF" w:themeColor="hyperlink"/>
                        <w:u w:val="single"/>
                      </w:rPr>
                      <w:t>V-2776</w:t>
                    </w:r>
                  </w:fldSimple>
                  <w:r>
                    <w:rPr>
                      <w:rFonts w:ascii="Times New Roman" w:eastAsia="MS Mincho" w:hAnsi="Times New Roman"/>
                      <w:sz w:val="20"/>
                      <w:i/>
                      <w:iCs/>
                    </w:rPr>
                    <w:t>,
2020-12-01,
paskelbta TAR 2020-12-01, i. k. 2020-25675            </w:t>
                  </w:r>
                </w:p>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5-1 p."/>
                <w:tag w:val="part_f14102899c424ec688d70e8ea5234960"/>
                <w:lock w:val="sdtLocked"/>
                <w:richText/>
              </w:sdtPr>
              <w:sdtContent>
                <w:p>
                  <w:pPr>
                    <w:ind w:firstLine="709"/>
                    <w:jc w:val="both"/>
                  </w:pPr>
                  <w:sdt>
                    <w:sdtPr>
                      <w:alias w:val="Numeris"/>
                      <w:tag w:val="nr_f14102899c424ec688d70e8ea5234960"/>
                      <w:lock w:val="sdtLocked"/>
                      <w:richText/>
                    </w:sdtPr>
                    <w:sdtContent>
                      <w:r>
                        <w:rPr>
                          <w:bCs/>
                          <w:color w:val="000000"/>
                          <w:szCs w:val="24"/>
                          <w:lang w:eastAsia="lt-LT"/>
                        </w:rPr>
                        <w:t>25</w:t>
                      </w:r>
                      <w:r>
                        <w:rPr>
                          <w:bCs/>
                          <w:color w:val="000000"/>
                          <w:szCs w:val="24"/>
                          <w:vertAlign w:val="superscript"/>
                          <w:lang w:eastAsia="lt-LT"/>
                        </w:rPr>
                        <w:t>1</w:t>
                      </w:r>
                    </w:sdtContent>
                  </w:sdt>
                  <w:r>
                    <w:rPr>
                      <w:bCs/>
                      <w:color w:val="000000"/>
                      <w:szCs w:val="24"/>
                      <w:lang w:eastAsia="lt-LT"/>
                    </w:rPr>
                    <w:t>. Platinimo įmonė, gavusi informacijos apie įtariamus ar nustatytus jos tiekiamo vardinio vaistinio preparato kokybės defektus, taip pat saugumo informaciją (naują ar pasikeitusią riziką, pasikeitusį rizikos ir naudos santykį, pasireiškusias nepageidaujamas reakcijas), privalo nedelsiant, bet nė vėliau kaip kitą darbo dieną nuo tokios informacijos gavimo dienos, informuoti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sdtContent>
            </w:sdt>
            <w:sdt>
              <w:sdtPr>
                <w:alias w:val="26 p."/>
                <w:tag w:val="part_142eda53fc84438b884a6a026edb2f43"/>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2019-12-10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8565301a8d11ea95eee02de30accd0">
                    <w:r w:rsidRPr="00532B9F">
                      <w:rPr>
                        <w:rFonts w:ascii="Times New Roman" w:eastAsia="MS Mincho" w:hAnsi="Times New Roman"/>
                        <w:sz w:val="20"/>
                        <w:i/>
                        <w:iCs/>
                        <w:color w:val="0000FF" w:themeColor="hyperlink"/>
                        <w:u w:val="single"/>
                      </w:rPr>
                      <w:t>V-1408</w:t>
                    </w:r>
                  </w:fldSimple>
                  <w:r>
                    <w:rPr>
                      <w:rFonts w:ascii="Times New Roman" w:eastAsia="MS Mincho" w:hAnsi="Times New Roman"/>
                      <w:sz w:val="20"/>
                      <w:i/>
                      <w:iCs/>
                    </w:rPr>
                    <w:t>,
2019-12-09,
paskelbta TAR 2019-12-09, i. k. 2019-19817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71149a0f483048e0b50f7e4ce0d12710"/>
        <w:lock w:val="sdtLocked"/>
        <w:richText/>
      </w:sdtPr>
      <w:sdtContent>
        <w:p>
          <w:pPr>
            <w:ind w:right="189"/>
            <w:jc w:val="both"/>
            <w:divId w:val="1561088806"/>
            <w:sectPr>
              <w:pgSz w:w="11907" w:h="16839"/>
              <w:pgMar w:top="1134" w:right="567" w:bottom="1134" w:left="1701" w:header="567" w:footer="567" w:gutter="0"/>
              <w:pgNumType w:start="1"/>
              <w:cols w:space="1296"/>
              <w:titlePg/>
              <w:docGrid w:linePitch="360"/>
            </w:sectPr>
          </w:pPr>
        </w:p>
        <w:p>
          <w:pPr>
            <w:ind w:right="189" w:firstLine="6237"/>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71149a0f483048e0b50f7e4ce0d12710"/>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47cd0033b611eb932eb1ed7f923910">
            <w:r w:rsidRPr="00532B9F">
              <w:rPr>
                <w:rFonts w:ascii="Times New Roman" w:eastAsia="MS Mincho" w:hAnsi="Times New Roman"/>
                <w:sz w:val="20"/>
                <w:iCs/>
                <w:color w:val="0000FF" w:themeColor="hyperlink"/>
                <w:u w:val="single"/>
              </w:rPr>
              <w:t>V-2776</w:t>
            </w:r>
          </w:fldSimple>
          <w:r>
            <w:rPr>
              <w:rFonts w:ascii="Times New Roman" w:eastAsia="MS Mincho" w:hAnsi="Times New Roman"/>
              <w:sz w:val="20"/>
              <w:iCs/>
            </w:rPr>
            <w:t>,
2020-12-01,
paskelbta TAR 2020-12-01, i. k. 2020-25675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1C76CA72A96F"/>
  <Relationship Id="rId12" Type="http://schemas.openxmlformats.org/officeDocument/2006/relationships/hyperlink" TargetMode="External" Target="https://www.e-tar.lt/portal/lt/legalAct/TAR.1C76CA72A96F"/>
  <Relationship Id="rId13" Type="http://schemas.openxmlformats.org/officeDocument/2006/relationships/hyperlink" TargetMode="External" Target="https://www.e-tar.lt/portal/lt/legalAct/TAR.AB4F9CF4C7FD"/>
  <Relationship Id="rId14" Type="http://schemas.openxmlformats.org/officeDocument/2006/relationships/hyperlink" TargetMode="External" Target="https://www.e-tar.lt/portal/lt/legalAct/TAR.A8CB7E641F8B"/>
  <Relationship Id="rId15" Type="http://schemas.openxmlformats.org/officeDocument/2006/relationships/hyperlink" TargetMode="External" Target="https://www.e-tar.lt/portal/lt/legalAct/TAR.B3C45AF5E24B"/>
  <Relationship Id="rId16" Type="http://schemas.openxmlformats.org/officeDocument/2006/relationships/hyperlink" TargetMode="External" Target="https://www.e-tar.lt/portal/lt/legalAct/TAR.BEC7B5E76BCF"/>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fontTable" Target="fontTable.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0cd8e7e6a79d4ab0a427308cb9108916">
    <Part Type="preambu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21ed1db95d0a440db6564571a0255db6">
    <Part Type="skyrius" Nr="1" Title="„I SKYRIUS BENDROSIOS NUOSTATOS“." DocPartId="b870424f971b4db0b1f0847821941e8b" PartId="88e31f6e0499467c92c72aa4fe61414e">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2cf601225cd3488caf67c05ed1a3921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b469b2d1776646608f5722541b883244"/>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1f4cd23d8d9c4055815ab556400ac84d">
        <Part Type="papunktis" Nr="8.1" Abbr="8.1 pp." DocPartId="0bf0863c702942faa7af62a689b28b67" PartId="9a8360e0cf614eb08beee48e0cae75d0"/>
        <Part Type="papunktis" Nr="8.2" Abbr="8.2 pp." DocPartId="11109695e4cc4c18a3f15ef382ce7593" PartId="d87e5a8acfee47f296ed1fb0aecdedfa"/>
      </Part>
      <Part Type="punktas" Nr="8-1" Abbr="8-1 p." DocPartId="36e50f357e184865ba4b6b595b36353a" PartId="37f70017e5ce4a9aa145877e39371eff"/>
      <Part Type="punktas" Nr="8-2" Abbr="8-2 p." DocPartId="6990f43f6880446eb6fffd2e8ccc4018" PartId="d7efe30effc243389713e77a2a1a5c64"/>
      <Part Type="punktas" Nr="8-3" Abbr="8-3 p." DocPartId="1473aef0dc224ca5a0dbb89ea1deef31" PartId="80f82518b42c44df9e95a10b2afc2387"/>
      <Part Type="punktas" Nr="8-4" Abbr="8-4 p." DocPartId="25329e70cb0f4ce994be3ac9db5690f3" PartId="e2431ac5ea21493f92ecf2f962bf9214"/>
      <Part Type="punktas" Nr="8-5" Abbr="8-5 p." DocPartId="c0c8b6fa7ab1456bbb3b870b315f1269" PartId="4620ecd632894767bb1262f80778a14d"/>
      <Part Type="punktas" Nr="8-6" Abbr="8-6 p." DocPartId="df9f3a6433fd4d668a86b544daeb302b" PartId="2e758be3def643448e939ca514391688"/>
      <Part Type="punktas" Nr="9" Abbr="9 p." DocPartId="35151d23a4cd46e98b9170a06984b486" PartId="86f498fe0aa54e6eb2e026435bb6e845">
        <Part Type="punktas" Nr="9.1" Abbr="9.1 p." DocPartId="be44da4b525946b29b43792672e53a95" PartId="15e3d59b931d46dfa665d831e5491db5"/>
        <Part Type="punktas" Nr="9.2" Abbr="9.2 p." DocPartId="df7cd592e630460ab158c9f7ffbf2adc" PartId="74e9176bd22f4c759973bd80de0bf377"/>
        <Part Type="punktas" Nr="9.3" Abbr="9.3 p." DocPartId="fa07e402bf0b4e33b5f089add52353d3" PartId="015128ac6938491ba9d9309da7487e66"/>
        <Part Type="punktas" Nr="9.4" Abbr="9.4 p." DocPartId="c3d4cc8c6d2f47f6aee471646c2ad1f5" PartId="296168a658a6472d91beeda0498dacca"/>
        <Part Type="punktas" Nr="9.5" Abbr="9.5 p." DocPartId="d6a942025f78434ea00ae2cf616f6ad6" PartId="71ecbf979e1c4ed1a4973acc90c98621"/>
      </Part>
    </Part>
    <Part Type="skyrius" Nr="2" Title="„II SKYRIUS VARDINIO VAISTINIO PREPARATO SKYRIMAS“." DocPartId="bea7620671ff484da1c509824a531a8c" PartId="d72d4a7c8ca94a01b7f22ec2c3d995ac">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db33a5dfe2c845de8509d780061d6491"/>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d102c35c60b04b88868240c1a065c460"/>
        <Part Type="punktas" Nr="14.4" Abbr="14.4 p." DocPartId="b97e672ce2ff4d0e9aed6c975c5afab7" PartId="2374c7526ca44801a5c951337e002123"/>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DocPartId="e0fa3c19ff3348d189be4789dc5d8314" PartId="d4227004e90c4ba0a5418c81cafd604d"/>
      <Part Type="punktas" Nr="15" Abbr="15 p." DocPartId="a246321b49eb4e069bf1f21394eae31a" PartId="73cb4d9ccc1747a4bfd1118c995ce498">
        <Part Type="punktas" Nr="15.1" Abbr="15.1 p." DocPartId="68eda6d154e24bfa88a4ca8b19351322" PartId="56d12e56b350421c903ab7b61a0c2e41">
          <Part Type="punktas" Nr="15.1.1" Abbr="15.1.1 p." DocPartId="29aac7db82fa4b7ba98de8899759e289" PartId="d09cefdb706e4e2c9b5d4188f34a549a"/>
          <Part Type="punktas" Nr="15.1.2" Abbr="15.1.2 p." DocPartId="8739a409422b4f7daeeff1aa2efb6663" PartId="d61ec7d176f7423daa33b9c8a97ecee6"/>
        </Part>
        <Part Type="punktas" Nr="15.2" Abbr="15.2 p." DocPartId="ed788c95be614f308f44d6392c6137d1" PartId="78a0a4ff10824208b49977313ca1c60a"/>
        <Part Type="punktas" Nr="15.3" Abbr="15.3 p."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b4daeb50aa214a0c8cce8006a21e211c">
        <Part Type="papunktis" Nr="16.1" Abbr="16.1 pp." DocPartId="8de2624c46a8404f9ceb2f22e47b2410" PartId="cbeb64f13b804014a5c81c6b6de20a1c"/>
        <Part Type="papunktis" Nr="16.2" Abbr="16.2 pp." DocPartId="2207366c83d749fdab4f7efef8b87f62" PartId="388b860137ad4fa4b3b1c60572f57c97"/>
      </Part>
    </Part>
    <Part Type="skyrius" Nr="3" Title="„III SKYRIUS VARDINIŲ VAISTINIŲ PREPARATŲ TIEKIMAS IR PARDAVIMAS (IŠDAVIMAS)“." DocPartId="f51101e117294097b5e8f03de5c23551" PartId="edc239f0d3414cf3ba232debec51a6cc">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c72f900dedd24b8b85c640ada5b122f4"/>
      <Part Type="punktas" Nr="20-1" Abbr="20-1 p."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2b95a7d581d4089907faa8d0db3059c"/>
        <Part Type="punktas" Nr="21-1" Abbr="21-1 p." DocPartId="41eabe7d32b0471d86639f9fdf6070fa" PartId="8c87193b7147448ab5a933060b90c0e8"/>
        <Part Type="punktas" Nr="21-2" Abbr="21-2 p." DocPartId="5a94ce71635849f4b13137cb0baf4044" PartId="d4a77098de4f46c28deadc7f5cef0c92"/>
        <Part Type="punktas" Nr="21-3" Abbr="21-3 p." DocPartId="fa9ab353b86e472d82ffe2276a4e7db2" PartId="c43821a3271742d5b0348a76627164b3"/>
      </Part>
      <Part Type="punktas" Nr="22" Abbr="22 p." DocPartId="7dca0b1425e848688f11f8a6ac4f8da8" PartId="c489d1de9ff04a99978719581279eb2c">
        <Part Type="papunktis" Nr="22.1" Abbr="22.1 pp." DocPartId="13aca3ef6214487494b860f2bba904c9" PartId="f0c94804852e4f688af3a1336bc658eb"/>
        <Part Type="papunktis" Nr="22.2" Abbr="22.2 pp." DocPartId="9abfa664c5df44adad5de0d7ba66fdd0" PartId="26f4875a3c6b493ba84c95e3eab4d60b"/>
      </Part>
    </Part>
    <Part Type="skyrius" Nr="3-1" Title="SPECIALIEJI NEREGISTRUOTŲ IMUNINIŲ IR KRAUJO VAISTINIŲ PREPARATŲ TIEKIMO REIKALAVIMAI" DocPartId="2e7e33a26416454e824ba156414eea49" PartId="cbea9046287a473293f6229d5dd11e29">
      <Part Type="punktas" Nr="22-1" Abbr="22-1 p." DocPartId="a2bb6a9616ed494b97188cd75fe0b655" PartId="5b7d5d69428741f7b9f949f0662819e6"/>
      <Part Type="punktas" Nr="22-2" Abbr="22-2 p." DocPartId="5993de783f3b465ea9059bc2224376f3" PartId="0f9fd3b9c7264d2eae8a11432f38b5fc"/>
      <Part Type="punktas" Nr="22-3" Abbr="22-3 p." DocPartId="4e56b5b05dd1469ba0d0b0426b0371c2" PartId="37e2039c854d43859cad4427713c6b35"/>
      <Part Type="punktas" Nr="22-4" Abbr="22-4 p." DocPartId="375f8b2916ae4a72b842137959d6013d" PartId="ff4540e2a0e248feae1d1d120a95462b"/>
      <Part Type="punktas" Nr="22-5" Abbr="22-5 p." DocPartId="1d3943da5239477bbf40e7795e75eeed" PartId="0ac5bc359c4d45b59baf545f0e0ad436"/>
      <Part Type="punktas" Nr="22-6" Abbr="22-6 p." DocPartId="5dc5574f1ae8457cbb62a5c39776ef73" PartId="a77f009e0c714343bef48efbfed3f313"/>
      <Part Type="punktas" Nr="22-7" Abbr="22-7 p." DocPartId="ed06774e6bf54e9b98450b9b3351a64d" PartId="3eed4e9d280b41838ae74f95ddfc1d08"/>
      <Part Type="punktas" Nr="22-8" Abbr="22-8 p." DocPartId="8f0a9bc9daf047eab40f04fa600c1e58" PartId="4dd089fd6f72438d9f8ff16c4df4d9dd"/>
      <Part Type="punktas" Nr="22-9" Abbr="22-9 p." DocPartId="1c70d678d076466faf0a688c41e4648f" PartId="7bc043d2861b446a96f08104dbdcdef5">
        <Part Type="papunktis" Nr="22-9.1" Abbr="22-9.1 pp." DocPartId="fb012ce2c8c74760a3b0bef060e6d88b" PartId="3762bd624451414abe5a41d2ec9815a7"/>
        <Part Type="papunktis" Nr="22-9.2" Abbr="22-9.2 pp." DocPartId="d5bb18cdc1714b67bba9973ffccbbd5f" PartId="5ccf29263fc34507bc2ae9b625047322"/>
      </Part>
      <Part Type="punktas" Nr="22-10" Abbr="22-10 p." DocPartId="fe55c462ebfd4c53bef16365e30469fc" PartId="99b17ca7808c42f3a67f7342b891a0a0"/>
      <Part Type="punktas" Nr="22-11" Abbr="22-11 p." DocPartId="bdc945d3a828483d8515c9bfd7d38c61" PartId="34af75ee70f44f20a21d4e356a9b0eb4"/>
    </Part>
    <Part Type="skyrius" Nr="4" Title="„IV SKYRIUS BAIGIAMOSIOS NUOSTATOS“." DocPartId="7ee94f59e9a94ec0bfe6c2fc26811616" PartId="45ffb48439b14cf69eab9b7cfa560e4d">
      <Part Type="punktas" Nr="23" Abbr="23 p." DocPartId="6782aa8ca9a849d28b4819652fa89da2" PartId="f82ec470f27744b5a8f724684496e4dd"/>
      <Part Type="punktas" Nr="24" Abbr="24 p." DocPartId="96a09e0e98d2465cac50769932939b7e" PartId="7521a161395c44caa38b48ffc9e30756"/>
      <Part Type="punktas" Nr="25" Abbr="25 p." DocPartId="8e4f4ede02e24f7ebe31b679346c4014" PartId="9b0e94e09d9d405995b1771cbc275cca"/>
      <Part Type="punktas" Nr="25-1" Abbr="25-1 p." DocPartId="e01aff1013c7456785a9e89cee0bc7b7" PartId="f14102899c424ec688d70e8ea5234960"/>
      <Part Type="punktas" Nr="26" Abbr="26 p." DocPartId="75428aa98e5a4f11b6c2085d19a906b8" PartId="142eda53fc84438b884a6a026edb2f43"/>
    </Part>
    <Part Type="pabaiga" DocPartId="c37d24399ba343f8935e4f4a864bf950" PartId="3c05178b2d1b492b8f9439eab9ad7b83"/>
  </Part>
  <Part Type="forma" Abbr="frm." Title="(Vardinio vaistinio preparato skyrimo pareiškimo forma) __________________________________________________________" DocPartId="4bb8d1b4bcf5425ea8cfd30aec0ac989" PartId="71149a0f483048e0b50f7e4ce0d12710"/>
</Parts>
</file>

<file path=customXml/itemProps1.xml><?xml version="1.0" encoding="utf-8"?>
<ds:datastoreItem xmlns:ds="http://schemas.openxmlformats.org/officeDocument/2006/customXml" ds:itemID="{321111A6-0DE8-4710-BE6F-31CC5AF59F23}">
  <ds:schemaRefs>
    <ds:schemaRef ds:uri="http://lrs.lt/TAIS/DocParts"/>
  </ds:schemaRefs>
</ds:datastoreItem>
</file>

<file path=docProps/app.xml><?xml version="1.0" encoding="utf-8"?>
<Properties xmlns="http://schemas.openxmlformats.org/officeDocument/2006/extended-properties">
  <Template>Normal.dotm</Template>
  <TotalTime>28</TotalTime>
  <Pages>11</Pages>
  <Words>24968</Words>
  <Characters>14233</Characters>
  <Application>Microsoft Office Word</Application>
  <DocSecurity>0</DocSecurity>
  <Lines>118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39123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2020-12-02T10:47:00Z</dcterms:modified>
  <revision>22</revision>
</coreProperties>
</file>