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b7a77afa5a44c2f90912b71068afb0c"/>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18AF943670F">
            <w:r w:rsidRPr="00532B9F">
              <w:rPr>
                <w:rFonts w:ascii="Times New Roman" w:eastAsia="MS Mincho" w:hAnsi="Times New Roman"/>
                <w:sz w:val="20"/>
                <w:i/>
                <w:iCs/>
                <w:color w:val="0000FF" w:themeColor="hyperlink"/>
                <w:u w:val="single"/>
              </w:rPr>
              <w:t>55-1890</w:t>
            </w:r>
          </w:fldSimple>
          <w:r>
            <w:rPr>
              <w:rFonts w:ascii="Times New Roman" w:eastAsia="MS Mincho" w:hAnsi="Times New Roman"/>
              <w:sz w:val="20"/>
              <w:i/>
              <w:iCs/>
            </w:rPr>
            <w:t>, i. k. 1052250ISAK000V-304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2023-01-01:</w:t>
          </w:r>
        </w:p>
        <w:p>
          <w:pPr>
            <w:rPr>
              <w:rFonts w:ascii="Times New Roman" w:hAnsi="Times New Roman"/>
              <w:sz w:val="20"/>
              <w:i/>
            </w:rPr>
          </w:pPr>
          <w:r>
            <w:rPr>
              <w:rFonts w:ascii="Times New Roman" w:hAnsi="Times New Roman"/>
              <w:sz w:val="20"/>
              <w:i/>
            </w:rPr>
            <w:t xml:space="preserve">Nr. </w:t>
          </w:r>
          <w:fldSimple w:instr="HYPERLINK https://www.e-tar.lt/portal/legalAct.html?documentId=17deb2b0874411ed8df094f359a60216">
            <w:r w:rsidRPr="00532B9F">
              <w:rPr>
                <w:rFonts w:ascii="Times New Roman" w:eastAsia="MS Mincho" w:hAnsi="Times New Roman"/>
                <w:sz w:val="20"/>
                <w:i/>
                <w:iCs/>
                <w:color w:val="0000FF" w:themeColor="hyperlink"/>
                <w:u w:val="single"/>
              </w:rPr>
              <w:t>V-1979</w:t>
            </w:r>
          </w:fldSimple>
          <w:r>
            <w:rPr>
              <w:rFonts w:ascii="Times New Roman" w:eastAsia="MS Mincho" w:hAnsi="Times New Roman"/>
              <w:sz w:val="20"/>
              <w:i/>
              <w:iCs/>
            </w:rPr>
            <w:t>,
2022-12-29,
paskelbta TAR 2022-12-29, i. k. 2022-27228                </w:t>
          </w:r>
        </w:p>
        <w:p>
          <w:pPr>
            <w:rPr>
              <w:rFonts w:ascii="Times New Roman" w:hAnsi="Times New Roman"/>
              <w:sz w:val="22"/>
            </w:rPr>
          </w:pPr>
        </w:p>
        <w:p>
          <w:pPr>
            <w:tabs>
              <w:tab w:val="center" w:pos="4819"/>
              <w:tab w:val="right" w:pos="9638"/>
            </w:tabs>
            <w:ind w:right="463"/>
            <w:jc w:val="center"/>
            <w:rPr>
              <w:b/>
              <w:szCs w:val="24"/>
              <w:lang w:val="x-none" w:eastAsia="lt-LT"/>
            </w:rPr>
          </w:pPr>
          <w:r>
            <w:rPr>
              <w:b/>
              <w:szCs w:val="24"/>
              <w:lang w:val="x-none" w:eastAsia="lt-LT"/>
            </w:rPr>
            <w:t>LIETUVOS RESPUBLIKOS SVEIKATOS APSAUGOS MINISTRAS</w:t>
          </w:r>
        </w:p>
        <w:p>
          <w:pPr>
            <w:tabs>
              <w:tab w:val="center" w:pos="4153"/>
              <w:tab w:val="right" w:pos="8306"/>
            </w:tabs>
            <w:rPr>
              <w:b/>
              <w:szCs w:val="24"/>
            </w:rPr>
          </w:pPr>
        </w:p>
        <w:p>
          <w:pPr>
            <w:tabs>
              <w:tab w:val="center" w:pos="4153"/>
              <w:tab w:val="right" w:pos="8306"/>
            </w:tabs>
            <w:jc w:val="center"/>
            <w:rPr>
              <w:b/>
              <w:szCs w:val="24"/>
            </w:rPr>
          </w:pPr>
          <w:r>
            <w:rPr>
              <w:b/>
              <w:szCs w:val="24"/>
            </w:rPr>
            <w:t>ĮSAKYMAS</w:t>
          </w:r>
        </w:p>
        <w:p>
          <w:pPr>
            <w:jc w:val="center"/>
            <w:rPr>
              <w:b/>
              <w:caps/>
              <w:szCs w:val="24"/>
            </w:rPr>
          </w:pPr>
          <w:r>
            <w:rPr>
              <w:b/>
              <w:caps/>
              <w:szCs w:val="24"/>
            </w:rPr>
            <w:t>DĖL Brangiųjų tyrimų ir procedūrų išlaidų apmokėjIMO tvarkos aprašo patvirtinimo</w:t>
          </w:r>
        </w:p>
        <w:p>
          <w:pPr>
            <w:tabs>
              <w:tab w:val="left" w:pos="900"/>
              <w:tab w:val="left" w:pos="1134"/>
            </w:tabs>
            <w:jc w:val="both"/>
            <w:rPr>
              <w:lang w:eastAsia="lt-LT"/>
            </w:rPr>
          </w:pPr>
        </w:p>
        <w:p>
          <w:pPr>
            <w:tabs>
              <w:tab w:val="left" w:pos="900"/>
              <w:tab w:val="left" w:pos="1134"/>
            </w:tabs>
            <w:jc w:val="center"/>
            <w:rPr>
              <w:lang w:eastAsia="lt-LT"/>
            </w:rPr>
          </w:pPr>
          <w:r>
            <w:t>2005 m. balandžio 27 d. Nr. V-304</w:t>
            <w:br/>
            <w:t>Vilnius</w:t>
          </w:r>
        </w:p>
        <w:p>
          <w:pPr>
            <w:tabs>
              <w:tab w:val="left" w:pos="900"/>
              <w:tab w:val="left" w:pos="1134"/>
            </w:tabs>
            <w:jc w:val="both"/>
            <w:rPr>
              <w:lang w:eastAsia="lt-LT"/>
            </w:rPr>
          </w:pPr>
        </w:p>
        <w:sdt>
          <w:sdtPr>
            <w:alias w:val="preambule"/>
            <w:tag w:val="part_e8f3d85f9ff64c77b426ba4240b24780"/>
            <w:lock w:val="sdtLocked"/>
            <w:richText/>
          </w:sdtPr>
          <w:sdtContent>
            <w:p>
              <w:pPr>
                <w:tabs>
                  <w:tab w:val="left" w:pos="900"/>
                  <w:tab w:val="left" w:pos="1134"/>
                </w:tabs>
                <w:ind w:firstLine="851"/>
                <w:jc w:val="both"/>
                <w:rPr>
                  <w:szCs w:val="24"/>
                  <w:lang w:eastAsia="lt-LT"/>
                </w:rPr>
              </w:pPr>
              <w:r>
                <w:rPr>
                  <w:szCs w:val="24"/>
                  <w:lang w:eastAsia="lt-LT"/>
                </w:rPr>
                <w:t>Vadovaudamasis Lietuvos Respublikos sveikatos priežiūros įstaigų įstatymo 10 straipsnio 6 punktu:</w:t>
              </w:r>
            </w:p>
          </w:sdtContent>
        </w:sdt>
        <w:sdt>
          <w:sdtPr>
            <w:alias w:val="1 p."/>
            <w:tag w:val="part_8589242e55d8409196925557e5559ec1"/>
            <w:lock w:val="sdtLocked"/>
            <w:richText/>
          </w:sdtPr>
          <w:sdtContent>
            <w:p>
              <w:pPr>
                <w:tabs>
                  <w:tab w:val="left" w:pos="900"/>
                  <w:tab w:val="left" w:pos="1134"/>
                </w:tabs>
                <w:ind w:firstLine="851"/>
                <w:jc w:val="both"/>
                <w:rPr>
                  <w:color w:val="000000"/>
                  <w:szCs w:val="24"/>
                  <w:lang w:eastAsia="lt-LT"/>
                </w:rPr>
              </w:pPr>
              <w:sdt>
                <w:sdtPr>
                  <w:alias w:val="Numeris"/>
                  <w:tag w:val="nr_8589242e55d8409196925557e5559ec1"/>
                  <w:lock w:val="sdtLocked"/>
                  <w:richText/>
                </w:sdtPr>
                <w:sdtContent>
                  <w:r>
                    <w:rPr>
                      <w:szCs w:val="24"/>
                      <w:lang w:eastAsia="lt-LT"/>
                    </w:rPr>
                    <w:t>1</w:t>
                  </w:r>
                </w:sdtContent>
              </w:sdt>
              <w:r>
                <w:rPr>
                  <w:szCs w:val="24"/>
                  <w:lang w:eastAsia="lt-LT"/>
                </w:rPr>
                <w:t xml:space="preserve">. T v i r t i n u </w:t>
              </w:r>
              <w:r>
                <w:rPr>
                  <w:color w:val="000000"/>
                  <w:szCs w:val="24"/>
                  <w:lang w:eastAsia="lt-LT"/>
                </w:rPr>
                <w:t>Brangiųjų tyrimų ir procedūrų išlaidų apmokėjimo tvarkos aprašą (pridedama).</w:t>
              </w:r>
            </w:p>
          </w:sdtContent>
        </w:sdt>
        <w:sdt>
          <w:sdtPr>
            <w:alias w:val="2 p."/>
            <w:tag w:val="part_fb4d8289a67c4a3ebcd0775ecf422d7f"/>
            <w:lock w:val="sdtLocked"/>
            <w:richText/>
          </w:sdtPr>
          <w:sdtContent>
            <w:p>
              <w:pPr>
                <w:tabs>
                  <w:tab w:val="left" w:pos="900"/>
                  <w:tab w:val="left" w:pos="1134"/>
                </w:tabs>
                <w:ind w:firstLine="851"/>
                <w:jc w:val="both"/>
              </w:pPr>
              <w:sdt>
                <w:sdtPr>
                  <w:alias w:val="Numeris"/>
                  <w:tag w:val="nr_fb4d8289a67c4a3ebcd0775ecf422d7f"/>
                  <w:lock w:val="sdtLocked"/>
                  <w:richText/>
                </w:sdtPr>
                <w:sdtContent>
                  <w:r>
                    <w:rPr>
                      <w:color w:val="000000"/>
                    </w:rPr>
                    <w:t>2</w:t>
                  </w:r>
                </w:sdtContent>
              </w:sdt>
              <w:r>
                <w:rPr>
                  <w:color w:val="000000"/>
                </w:rPr>
                <w:t>. P a v e d u šio įsakymo vykdymą kontroliuoti sveikatos apsaugos viceministrui pagal veiklos sritį.</w:t>
              </w:r>
              <w:r>
                <w:t xml:space="preserve"> </w:t>
              </w:r>
            </w:p>
          </w:sdtContent>
        </w:sdt>
        <w:sdt>
          <w:sdtPr>
            <w:alias w:val="signatura"/>
            <w:tag w:val="part_c68c9e2a81d145ed8af0b3855be8d692"/>
            <w:lock w:val="sdtLocked"/>
            <w:richText/>
          </w:sdtPr>
          <w:sdtContent>
            <w:p>
              <w:pPr>
                <w:tabs>
                  <w:tab w:val="right" w:pos="9639"/>
                </w:tabs>
              </w:pPr>
            </w:p>
            <w:p>
              <w:pPr>
                <w:tabs>
                  <w:tab w:val="right" w:pos="9639"/>
                </w:tabs>
              </w:pPr>
              <w:r>
                <w:rPr>
                  <w:caps/>
                </w:rPr>
                <w:t>SVEIKATOS APSAUGOS MINISTRAS</w:t>
                <w:tab/>
                <w:t>ŽILVINAS PADAIGA</w:t>
              </w:r>
            </w:p>
          </w:sdtContent>
        </w:sdt>
        <w:p/>
      </w:sdtContent>
    </w:sdt>
    <w:sdt>
      <w:sdtPr>
        <w:alias w:val="patvirtinta"/>
        <w:tag w:val="part_57bdf6d4d54e4bb88d503367a1500861"/>
        <w:lock w:val="sdtLocked"/>
        <w:richText/>
      </w:sdtPr>
      <w:sdtContent>
        <w:p>
          <w:pPr>
            <w:ind w:firstLine="4536"/>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709" w:footer="567" w:gutter="0"/>
              <w:pgNumType w:start="1"/>
              <w:cols w:space="1296"/>
              <w:titlePg/>
              <w:docGrid w:linePitch="360"/>
            </w:sectPr>
          </w:pPr>
        </w:p>
        <w:p>
          <w:pPr>
            <w:ind w:firstLine="4536"/>
            <w:rPr>
              <w:color w:val="000000"/>
              <w:szCs w:val="24"/>
              <w:shd w:val="clear" w:color="auto" w:fill="FFFFFF"/>
              <w:lang w:eastAsia="lt-LT"/>
            </w:rPr>
          </w:pPr>
          <w:r>
            <w:rPr>
              <w:color w:val="000000"/>
              <w:szCs w:val="24"/>
              <w:shd w:val="clear" w:color="auto" w:fill="FFFFFF"/>
              <w:lang w:eastAsia="lt-LT"/>
            </w:rPr>
            <w:t>PATVIRTINTA</w:t>
          </w:r>
        </w:p>
        <w:p>
          <w:pPr>
            <w:ind w:firstLine="4536"/>
            <w:rPr>
              <w:color w:val="000000"/>
              <w:szCs w:val="24"/>
              <w:shd w:val="clear" w:color="auto" w:fill="FFFFFF"/>
              <w:lang w:eastAsia="lt-LT"/>
            </w:rPr>
          </w:pPr>
          <w:r>
            <w:rPr>
              <w:color w:val="000000"/>
              <w:szCs w:val="24"/>
              <w:shd w:val="clear" w:color="auto" w:fill="FFFFFF"/>
              <w:lang w:eastAsia="lt-LT"/>
            </w:rPr>
            <w:t>Lietuvos Respublikos sveikatos apsaugos ministro</w:t>
          </w:r>
        </w:p>
        <w:p>
          <w:pPr>
            <w:ind w:firstLine="4536"/>
            <w:rPr>
              <w:color w:val="000000"/>
              <w:szCs w:val="24"/>
              <w:shd w:val="clear" w:color="auto" w:fill="FFFFFF"/>
              <w:lang w:eastAsia="lt-LT"/>
            </w:rPr>
          </w:pPr>
          <w:r>
            <w:rPr>
              <w:color w:val="000000"/>
              <w:szCs w:val="24"/>
              <w:shd w:val="clear" w:color="auto" w:fill="FFFFFF"/>
              <w:lang w:eastAsia="lt-LT"/>
            </w:rPr>
            <w:t>2005 m. balandžio 27 d. įsakymu Nr. </w:t>
          </w:r>
          <w:r>
            <w:rPr>
              <w:color w:val="000000"/>
              <w:szCs w:val="24"/>
              <w:lang w:eastAsia="lt-LT"/>
            </w:rPr>
            <w:t>V-304</w:t>
          </w:r>
        </w:p>
        <w:p>
          <w:pPr>
            <w:ind w:firstLine="4536"/>
            <w:rPr>
              <w:color w:val="000000"/>
              <w:szCs w:val="24"/>
              <w:shd w:val="clear" w:color="auto" w:fill="FFFFFF"/>
              <w:lang w:eastAsia="lt-LT"/>
            </w:rPr>
          </w:pPr>
          <w:r>
            <w:rPr>
              <w:color w:val="000000"/>
              <w:szCs w:val="24"/>
              <w:shd w:val="clear" w:color="auto" w:fill="FFFFFF"/>
              <w:lang w:eastAsia="lt-LT"/>
            </w:rPr>
            <w:t>(Lietuvos Respublikos sveikatos apsaugos ministro</w:t>
          </w:r>
        </w:p>
        <w:p>
          <w:pPr>
            <w:ind w:firstLine="4536"/>
            <w:rPr>
              <w:color w:val="000000"/>
              <w:szCs w:val="24"/>
              <w:shd w:val="clear" w:color="auto" w:fill="FFFFFF"/>
              <w:lang w:eastAsia="lt-LT"/>
            </w:rPr>
          </w:pPr>
          <w:r>
            <w:rPr>
              <w:color w:val="000000"/>
              <w:szCs w:val="24"/>
              <w:shd w:val="clear" w:color="auto" w:fill="FFFFFF"/>
              <w:lang w:eastAsia="lt-LT"/>
            </w:rPr>
            <w:t>2026 m. kovo 30 d. įsakymo Nr. V-276</w:t>
          </w:r>
        </w:p>
        <w:p>
          <w:pPr>
            <w:ind w:firstLine="4536"/>
            <w:rPr>
              <w:color w:val="000000"/>
              <w:szCs w:val="24"/>
              <w:shd w:val="clear" w:color="auto" w:fill="FFFFFF"/>
              <w:lang w:eastAsia="lt-LT"/>
            </w:rPr>
          </w:pPr>
          <w:r>
            <w:rPr>
              <w:color w:val="000000"/>
              <w:szCs w:val="24"/>
              <w:shd w:val="clear" w:color="auto" w:fill="FFFFFF"/>
              <w:lang w:eastAsia="lt-LT"/>
            </w:rPr>
            <w:t>redakcija)</w:t>
          </w:r>
        </w:p>
        <w:p>
          <w:pPr>
            <w:widowControl w:val="0"/>
            <w:suppressAutoHyphens/>
            <w:jc w:val="center"/>
            <w:rPr>
              <w:b/>
              <w:color w:val="000000"/>
            </w:rPr>
          </w:pPr>
        </w:p>
        <w:p>
          <w:pPr>
            <w:widowControl w:val="0"/>
            <w:suppressAutoHyphens/>
            <w:jc w:val="center"/>
            <w:rPr>
              <w:b/>
              <w:caps/>
              <w:color w:val="000000"/>
            </w:rPr>
          </w:pPr>
          <w:sdt>
            <w:sdtPr>
              <w:alias w:val="Pavadinimas"/>
              <w:tag w:val="title_57bdf6d4d54e4bb88d503367a1500861"/>
              <w:lock w:val="sdtLocked"/>
              <w:richText/>
            </w:sdtPr>
            <w:sdtContent>
              <w:r>
                <w:rPr>
                  <w:b/>
                  <w:color w:val="000000"/>
                </w:rPr>
                <w:t>BRANGIŲJŲ TYRIMŲ IR PROCEDŪRŲ IŠLAIDŲ APMOKĖJIMO TVARKOS APRAŠAS</w:t>
              </w:r>
            </w:sdtContent>
          </w:sdt>
        </w:p>
        <w:p>
          <w:pPr>
            <w:widowControl w:val="0"/>
            <w:suppressAutoHyphens/>
            <w:jc w:val="both"/>
            <w:rPr>
              <w:bCs/>
              <w:caps/>
              <w:color w:val="000000"/>
              <w:szCs w:val="32"/>
            </w:rPr>
          </w:pPr>
        </w:p>
        <w:sdt>
          <w:sdtPr>
            <w:alias w:val="skyrius"/>
            <w:tag w:val="part_69e40605df8249e182f5ea81f201655d"/>
            <w:lock w:val="sdtLocked"/>
            <w:richText/>
          </w:sdtPr>
          <w:sdtContent>
            <w:p>
              <w:pPr>
                <w:widowControl w:val="0"/>
                <w:suppressAutoHyphens/>
                <w:jc w:val="center"/>
                <w:rPr>
                  <w:b/>
                  <w:caps/>
                  <w:color w:val="000000"/>
                </w:rPr>
              </w:pPr>
              <w:sdt>
                <w:sdtPr>
                  <w:alias w:val="Numeris"/>
                  <w:tag w:val="nr_69e40605df8249e182f5ea81f201655d"/>
                  <w:lock w:val="sdtLocked"/>
                  <w:richText/>
                </w:sdtPr>
                <w:sdtContent>
                  <w:r>
                    <w:rPr>
                      <w:b/>
                      <w:color w:val="000000"/>
                    </w:rPr>
                    <w:t>I</w:t>
                  </w:r>
                </w:sdtContent>
              </w:sdt>
              <w:r>
                <w:rPr>
                  <w:b/>
                  <w:color w:val="000000"/>
                </w:rPr>
                <w:t xml:space="preserve"> SKYRIUS</w:t>
              </w:r>
            </w:p>
            <w:p>
              <w:pPr>
                <w:widowControl w:val="0"/>
                <w:suppressAutoHyphens/>
                <w:jc w:val="center"/>
                <w:rPr>
                  <w:b/>
                  <w:caps/>
                  <w:color w:val="000000"/>
                </w:rPr>
              </w:pPr>
              <w:sdt>
                <w:sdtPr>
                  <w:alias w:val="Pavadinimas"/>
                  <w:tag w:val="title_69e40605df8249e182f5ea81f201655d"/>
                  <w:lock w:val="sdtLocked"/>
                  <w:richText/>
                </w:sdtPr>
                <w:sdtContent>
                  <w:r>
                    <w:rPr>
                      <w:b/>
                      <w:color w:val="000000"/>
                    </w:rPr>
                    <w:t>BENDROSIOS NUOSTATOS</w:t>
                  </w:r>
                </w:sdtContent>
              </w:sdt>
            </w:p>
            <w:p>
              <w:pPr>
                <w:jc w:val="both"/>
                <w:rPr>
                  <w:color w:val="000000"/>
                  <w:szCs w:val="24"/>
                  <w:shd w:val="clear" w:color="auto" w:fill="FFFFFF"/>
                  <w:lang w:eastAsia="lt-LT"/>
                </w:rPr>
              </w:pPr>
            </w:p>
            <w:sdt>
              <w:sdtPr>
                <w:alias w:val="1 p."/>
                <w:tag w:val="part_ff8799b5ee9946c597fe028dfc0f8c43"/>
                <w:lock w:val="sdtLocked"/>
                <w:richText/>
              </w:sdtPr>
              <w:sdtContent>
                <w:p>
                  <w:pPr>
                    <w:ind w:firstLine="851"/>
                    <w:jc w:val="both"/>
                    <w:rPr>
                      <w:shd w:val="clear" w:color="auto" w:fill="FFFFFF"/>
                    </w:rPr>
                  </w:pPr>
                  <w:sdt>
                    <w:sdtPr>
                      <w:alias w:val="Numeris"/>
                      <w:tag w:val="nr_ff8799b5ee9946c597fe028dfc0f8c43"/>
                      <w:lock w:val="sdtLocked"/>
                      <w:richText/>
                    </w:sdtPr>
                    <w:sdtContent>
                      <w:r>
                        <w:rPr>
                          <w:color w:val="000000"/>
                          <w:szCs w:val="24"/>
                        </w:rPr>
                        <w:t>1</w:t>
                      </w:r>
                    </w:sdtContent>
                  </w:sdt>
                  <w:r>
                    <w:rPr>
                      <w:color w:val="000000"/>
                      <w:szCs w:val="24"/>
                    </w:rPr>
                    <w:t xml:space="preserve">. </w:t>
                  </w:r>
                  <w:r>
                    <w:rPr>
                      <w:color w:val="000000"/>
                      <w:shd w:val="clear" w:color="auto" w:fill="FFFFFF"/>
                    </w:rPr>
                    <w:t>Brangiųjų tyrimų ir procedūrų išlaidų apmokėjimo tvarkos aprašas (toliau – Aprašas) nustato mokėjimo už brangiuosius tyrimus ir procedūras, atliekamus teikiant ambulatorines asmens sveikatos priežiūros, ilgalaikio gydymo, medicininės reabilitacijos bei antirecidyvinio sanatorinio gydymo paslaugas, tvarką</w:t>
                  </w:r>
                  <w:r>
                    <w:rPr>
                      <w:shd w:val="clear" w:color="auto" w:fill="FFFFFF"/>
                    </w:rPr>
                    <w:t>.</w:t>
                  </w:r>
                </w:p>
              </w:sdtContent>
            </w:sdt>
            <w:sdt>
              <w:sdtPr>
                <w:alias w:val="2 p."/>
                <w:tag w:val="part_0f32ebcb20354397a6b530e84eb69a0f"/>
                <w:lock w:val="sdtLocked"/>
                <w:richText/>
              </w:sdtPr>
              <w:sdtContent>
                <w:p>
                  <w:pPr>
                    <w:ind w:firstLine="851"/>
                    <w:jc w:val="both"/>
                  </w:pPr>
                  <w:sdt>
                    <w:sdtPr>
                      <w:alias w:val="Numeris"/>
                      <w:tag w:val="nr_0f32ebcb20354397a6b530e84eb69a0f"/>
                      <w:lock w:val="sdtLocked"/>
                      <w:richText/>
                    </w:sdtPr>
                    <w:sdtContent>
                      <w:r>
                        <w:rPr>
                          <w:color w:val="000000"/>
                          <w:szCs w:val="24"/>
                        </w:rPr>
                        <w:t>2</w:t>
                      </w:r>
                    </w:sdtContent>
                  </w:sdt>
                  <w:r>
                    <w:rPr>
                      <w:color w:val="000000"/>
                      <w:szCs w:val="24"/>
                    </w:rPr>
                    <w:t xml:space="preserve">. </w:t>
                  </w:r>
                  <w:r>
                    <w:rPr>
                      <w:shd w:val="clear" w:color="auto" w:fill="FFFFFF"/>
                    </w:rPr>
                    <w:t>Brangieji tyrimai ir procedūros, apmokami Privalomojo sveikatos draudimo fondo (toliau – PSDF) biudžeto lėšomis:</w:t>
                  </w:r>
                </w:p>
                <w:tbl>
                  <w:tblPr>
                    <w:tblW w:w="9637" w:type="dxa"/>
                    <w:shd w:val="clear" w:color="auto" w:fill="FFFFFF"/>
                    <w:tblLayout w:type="fixed"/>
                    <w:tblCellMar>
                      <w:left w:w="0" w:type="dxa"/>
                      <w:right w:w="0" w:type="dxa"/>
                    </w:tblCellMar>
                    <w:tblLook w:val="04A0" w:firstRow="1" w:lastRow="0" w:firstColumn="1" w:lastColumn="0" w:noHBand="0" w:noVBand="1"/>
                  </w:tblPr>
                  <w:tblGrid>
                    <w:gridCol w:w="983"/>
                    <w:gridCol w:w="5002"/>
                    <w:gridCol w:w="3652"/>
                  </w:tblGrid>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center"/>
                        <w:hideMark/>
                      </w:tcPr>
                      <w:p>
                        <w:pPr>
                          <w:jc w:val="center"/>
                        </w:pPr>
                        <w:r>
                          <w:t>Eil. Nr.</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center"/>
                        <w:hideMark/>
                      </w:tcPr>
                      <w:p>
                        <w:pPr>
                          <w:jc w:val="center"/>
                        </w:pPr>
                        <w:r>
                          <w:t>Brangiųjų tyrimų ir procedūrų grupės pavadinimas</w:t>
                        </w:r>
                        <w:r>
                          <w:rPr>
                            <w:strike/>
                          </w:rPr>
                          <w:t xml:space="preserve"> </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center"/>
                        <w:hideMark/>
                      </w:tcPr>
                      <w:p>
                        <w:pPr>
                          <w:jc w:val="center"/>
                        </w:pPr>
                        <w:r>
                          <w:t>Pastabos</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rPr>
                            <w:lang w:val="en-US"/>
                          </w:rPr>
                          <w:t>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Brangiųjų tyrimų grupės: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bottom"/>
                        <w:hideMark/>
                      </w:tcPr>
                      <w:p>
                        <w:pPr>
                          <w:jc w:val="both"/>
                          <w:rPr>
                            <w:color w:val="000000"/>
                          </w:rPr>
                        </w:pPr>
                        <w:r>
                          <w:rPr>
                            <w:color w:val="000000"/>
                          </w:rPr>
                          <w:t>Kompiuterinės tomografijos tyrimų grupė:</w:t>
                        </w:r>
                      </w:p>
                    </w:tc>
                    <w:tc>
                      <w:tcPr>
                        <w:tcW w:w="1895" w:type="pct"/>
                        <w:vMerge w:val="restart"/>
                        <w:tcBorders>
                          <w:top w:val="nil"/>
                          <w:left w:val="nil"/>
                          <w:bottom w:val="single" w:sz="4" w:space="0" w:color="auto"/>
                          <w:right w:val="single" w:sz="8" w:space="0" w:color="000000" w:themeColor="text1"/>
                        </w:tcBorders>
                        <w:shd w:val="clear" w:color="auto" w:fill="FFFFFF" w:themeFill="background1"/>
                        <w:tcMar>
                          <w:top w:w="57" w:type="dxa"/>
                          <w:left w:w="57" w:type="dxa"/>
                          <w:bottom w:w="57" w:type="dxa"/>
                          <w:right w:w="57" w:type="dxa"/>
                        </w:tcMar>
                      </w:tcPr>
                      <w:p>
                        <w:pPr>
                          <w:jc w:val="both"/>
                          <w:rPr>
                            <w:color w:val="000000"/>
                          </w:rPr>
                        </w:pPr>
                        <w:r>
                          <w:rPr>
                            <w:color w:val="000000"/>
                          </w:rPr>
                          <w:t>Anatominės sritys:</w:t>
                        </w:r>
                      </w:p>
                      <w:p>
                        <w:pPr>
                          <w:tabs>
                            <w:tab w:val="left" w:pos="710"/>
                          </w:tabs>
                          <w:ind w:left="52" w:firstLine="308"/>
                          <w:jc w:val="both"/>
                          <w:rPr>
                            <w:color w:val="000000"/>
                          </w:rPr>
                        </w:pPr>
                        <w:r>
                          <w:rPr>
                            <w:color w:val="000000"/>
                          </w:rPr>
                          <w:t>1)</w:t>
                          <w:tab/>
                          <w:t>galvos sritis (apima veidą ir galvos smegenis);</w:t>
                        </w:r>
                      </w:p>
                      <w:p>
                        <w:pPr>
                          <w:tabs>
                            <w:tab w:val="left" w:pos="710"/>
                          </w:tabs>
                          <w:ind w:left="52" w:firstLine="308"/>
                          <w:jc w:val="both"/>
                          <w:rPr>
                            <w:color w:val="000000"/>
                          </w:rPr>
                        </w:pPr>
                        <w:r>
                          <w:rPr>
                            <w:color w:val="000000"/>
                          </w:rPr>
                          <w:t>2)</w:t>
                          <w:tab/>
                          <w:t>kaklo sritis (visos struktūros nuo apatinio žandikaulio iki raktikaulių);</w:t>
                        </w:r>
                      </w:p>
                      <w:p>
                        <w:pPr>
                          <w:tabs>
                            <w:tab w:val="left" w:pos="710"/>
                          </w:tabs>
                          <w:ind w:left="52" w:firstLine="308"/>
                          <w:jc w:val="both"/>
                          <w:rPr>
                            <w:color w:val="000000"/>
                          </w:rPr>
                        </w:pPr>
                        <w:r>
                          <w:rPr>
                            <w:color w:val="000000"/>
                          </w:rPr>
                          <w:t>3)</w:t>
                          <w:tab/>
                          <w:t xml:space="preserve">krūtinės sritis (apima krūtinės ląstą, plaučius, širdį ir krūtis); </w:t>
                        </w:r>
                      </w:p>
                      <w:p>
                        <w:pPr>
                          <w:tabs>
                            <w:tab w:val="left" w:pos="710"/>
                          </w:tabs>
                          <w:ind w:left="52" w:firstLine="308"/>
                          <w:jc w:val="both"/>
                          <w:rPr>
                            <w:color w:val="000000"/>
                          </w:rPr>
                        </w:pPr>
                        <w:r>
                          <w:rPr>
                            <w:color w:val="000000"/>
                          </w:rPr>
                          <w:t>4)</w:t>
                          <w:tab/>
                          <w:t>pilvo sritis (visos struktūros nuo diafragmos kupolų iki klubakaulių sparnų);</w:t>
                        </w:r>
                      </w:p>
                      <w:p>
                        <w:pPr>
                          <w:tabs>
                            <w:tab w:val="left" w:pos="710"/>
                          </w:tabs>
                          <w:ind w:left="52" w:firstLine="308"/>
                          <w:jc w:val="both"/>
                          <w:rPr>
                            <w:color w:val="000000"/>
                          </w:rPr>
                        </w:pPr>
                        <w:r>
                          <w:rPr>
                            <w:color w:val="000000"/>
                          </w:rPr>
                          <w:t>5)</w:t>
                          <w:tab/>
                          <w:t>dubens sritis (visos struktūros nuo klubakaulių sparnų iki tarpvietės);</w:t>
                        </w:r>
                      </w:p>
                      <w:p>
                        <w:pPr>
                          <w:tabs>
                            <w:tab w:val="left" w:pos="710"/>
                          </w:tabs>
                          <w:ind w:left="52" w:firstLine="308"/>
                          <w:jc w:val="both"/>
                          <w:rPr>
                            <w:color w:val="000000"/>
                          </w:rPr>
                        </w:pPr>
                        <w:r>
                          <w:rPr>
                            <w:color w:val="000000"/>
                          </w:rPr>
                          <w:t>6)</w:t>
                          <w:tab/>
                          <w:t>viršutinių galūnių sritis (visos struktūros nuo peties iki plaštakos pabaigos);</w:t>
                        </w:r>
                      </w:p>
                      <w:p>
                        <w:pPr>
                          <w:tabs>
                            <w:tab w:val="left" w:pos="710"/>
                          </w:tabs>
                          <w:ind w:left="52" w:firstLine="308"/>
                          <w:jc w:val="both"/>
                          <w:rPr>
                            <w:color w:val="000000"/>
                          </w:rPr>
                        </w:pPr>
                        <w:r>
                          <w:rPr>
                            <w:color w:val="000000"/>
                          </w:rPr>
                          <w:t>7)</w:t>
                          <w:tab/>
                          <w:t>apatinių galūnių sritis (visos struktūros nuo klubų sąnarių iki pėdos pabaigos);</w:t>
                        </w:r>
                      </w:p>
                      <w:p>
                        <w:pPr>
                          <w:tabs>
                            <w:tab w:val="left" w:pos="710"/>
                          </w:tabs>
                          <w:ind w:firstLine="360"/>
                          <w:rPr>
                            <w:color w:val="000000"/>
                          </w:rPr>
                        </w:pPr>
                        <w:r>
                          <w:rPr>
                            <w:color w:val="000000"/>
                          </w:rPr>
                          <w:t>8)</w:t>
                          <w:tab/>
                        </w:r>
                        <w:r>
                          <w:t>kaklinė stuburo sritis (nuo C1 iki C7 slankstelio);</w:t>
                        </w:r>
                      </w:p>
                      <w:p>
                        <w:pPr>
                          <w:tabs>
                            <w:tab w:val="left" w:pos="679"/>
                            <w:tab w:val="left" w:pos="874"/>
                          </w:tabs>
                          <w:ind w:firstLine="395"/>
                          <w:jc w:val="both"/>
                        </w:pPr>
                        <w:r>
                          <w:t>9)</w:t>
                          <w:tab/>
                        </w:r>
                        <w:r>
                          <w:rPr>
                            <w:color w:val="000000"/>
                          </w:rPr>
                          <w:t>krūtininė stuburo sritis (nuo Th1 iki Th12 slankstelio)</w:t>
                        </w:r>
                        <w:r>
                          <w:t>;</w:t>
                        </w:r>
                      </w:p>
                      <w:p>
                        <w:pPr>
                          <w:tabs>
                            <w:tab w:val="left" w:pos="874"/>
                          </w:tabs>
                          <w:ind w:firstLine="395"/>
                          <w:jc w:val="both"/>
                          <w:rPr>
                            <w:color w:val="000000"/>
                          </w:rPr>
                        </w:pPr>
                        <w:r>
                          <w:rPr>
                            <w:color w:val="000000"/>
                          </w:rPr>
                          <w:t>10)</w:t>
                          <w:tab/>
                          <w:t>juosmeninė stuburo sritis (nuo L1 slankstelio iki uodegikaulio apačios).</w:t>
                        </w:r>
                      </w:p>
                      <w:p>
                        <w:pPr>
                          <w:jc w:val="both"/>
                          <w:rPr>
                            <w:color w:val="000000"/>
                          </w:rPr>
                        </w:pPr>
                        <w:r>
                          <w:rPr>
                            <w:color w:val="000000"/>
                          </w:rPr>
                          <w:t>Vieno tyrimo kontrastinių medžiagų normą nustato ir patvirtina asmens sveikatos priežiūros įstaiga.</w:t>
                        </w:r>
                      </w:p>
                      <w:p>
                        <w:pPr>
                          <w:jc w:val="both"/>
                          <w:rPr>
                            <w:color w:val="000000"/>
                          </w:rPr>
                        </w:pPr>
                      </w:p>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bottom"/>
                        <w:hideMark/>
                      </w:tcPr>
                      <w:p>
                        <w:pPr>
                          <w:jc w:val="both"/>
                        </w:pPr>
                        <w:r>
                          <w:t>Kompiuterinė tomografija ar daugiafazė kontrastinė kompiuterinė tomografija, kai atliekamas vienos anatominės srities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bottom"/>
                        <w:hideMark/>
                      </w:tcPr>
                      <w:p>
                        <w:pPr>
                          <w:jc w:val="both"/>
                        </w:pPr>
                        <w:r>
                          <w:t>Kompiuterinė tomografija ar daugiafazė kontrastinė kompiuterinė tomografija, kai atliekamas dviejų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bottom"/>
                        <w:hideMark/>
                      </w:tcPr>
                      <w:p>
                        <w:pPr>
                          <w:jc w:val="both"/>
                        </w:pPr>
                        <w:r>
                          <w:t>Kompiuterinė tomografija ar daugiafazė kontrastinė kompiuterinė tomografija, kai atliekamas trijų ir daugiau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1.1.4.</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Kompiuterinė tomografija ar daugiafazė kontrastinė kompiuterinė tomografija, kai naudojamos teleradiologijos priemonės atliekant vienos anatominės srities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Pr>
                            <w:lang w:val="en-US"/>
                          </w:rPr>
                        </w:pPr>
                        <w:r>
                          <w:t>1.1.5.</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Kompiuterinė tomografija ar daugiafazė kontrastinė kompiuterinė tomografija, kai naudojamos teleradiologijos priemonės atliekant dviejų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1.1.6.</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Kompiuterinė tomografija ar daugiafazė kontrastinė kompiuterinė tomografija, kai naudojamos teleradiologijos priemonės atliekant trijų ir daugiau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1.2.</w:t>
                        </w:r>
                      </w:p>
                    </w:tc>
                    <w:tc>
                      <w:tcPr>
                        <w:tcW w:w="2595" w:type="pct"/>
                        <w:tcBorders>
                          <w:top w:val="nil"/>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rPr>
                            <w:shd w:val="clear" w:color="auto" w:fill="FFFFFF"/>
                          </w:rPr>
                          <w:t>Kompiuterinės tomografijos angiografija</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rPr>
                            <w:strike/>
                          </w:rPr>
                        </w:pPr>
                        <w:r>
                          <w:rPr>
                            <w:shd w:val="clear" w:color="auto" w:fill="FFFFFF"/>
                          </w:rPr>
                          <w:t>Magnetinio rezonanso tomografijos tyrimų grupė:</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1.3.1.</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atliekamas vienos anatominės srities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1.3.2.</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atliekamas dviejų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1.3.3.</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atliekamas trijų ir daugiau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1.3.4.</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naudojamos teleradiologijos priemonės atliekant vienos anatominės srities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1.3.5.</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naudojamos teleradiologijos priemonės atliekant dviejų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1.3.6.</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(iki 1 teslos magnetinio lauko stiprumo), kai naudojamos teleradiologijos priemonės atliekant trijų ir daugiau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1.3.7.</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atliekamas vienos anatominės srities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1.3.8.</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atliekamas dviejų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1.3.9.</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atliekamas trijų ir daugiau anatominių sričių tyrimas</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1.3.10.</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naudojamos teleradiologijos priemonės atliekant vienos anatominės srities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1.3.11.</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naudojamos teleradiologijos priemonės atliekant dviejų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1.3.12.</w:t>
                        </w:r>
                      </w:p>
                    </w:tc>
                    <w:tc>
                      <w:tcPr>
                        <w:tcW w:w="2595" w:type="pct"/>
                        <w:tcBorders>
                          <w:top w:val="single" w:sz="8" w:space="0" w:color="000000" w:themeColor="text1"/>
                          <w:left w:val="nil"/>
                          <w:bottom w:val="single" w:sz="8" w:space="0" w:color="000000" w:themeColor="text1"/>
                          <w:right w:val="single" w:sz="4" w:space="0" w:color="auto"/>
                        </w:tcBorders>
                        <w:shd w:val="clear" w:color="auto" w:fill="FFFFFF" w:themeFill="background1"/>
                        <w:tcMar>
                          <w:top w:w="57" w:type="dxa"/>
                          <w:left w:w="57" w:type="dxa"/>
                          <w:bottom w:w="57" w:type="dxa"/>
                          <w:right w:w="57" w:type="dxa"/>
                        </w:tcMar>
                        <w:hideMark/>
                      </w:tcPr>
                      <w:p>
                        <w:pPr>
                          <w:jc w:val="both"/>
                        </w:pPr>
                        <w:r>
                          <w:t>Magnetinio rezonanso tomografija (1 teslos ir daugiau magnetinio lauko stiprumo) ar daugiafazė kontrastinė magnetinio rezonanso tomografija, kai naudojamos teleradiologijos priemonės atliekant trijų ir daugiau anatominių sričių tyrimą</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8" w:space="0" w:color="000000" w:themeColor="text1"/>
                          <w:left w:val="single" w:sz="8" w:space="0" w:color="000000" w:themeColor="text1"/>
                          <w:bottom w:val="single" w:sz="4" w:space="0" w:color="auto"/>
                          <w:right w:val="single" w:sz="8" w:space="0" w:color="000000" w:themeColor="text1"/>
                        </w:tcBorders>
                        <w:shd w:val="clear" w:color="auto" w:fill="FFFFFF" w:themeFill="background1"/>
                        <w:tcMar>
                          <w:top w:w="57" w:type="dxa"/>
                          <w:left w:w="57" w:type="dxa"/>
                          <w:bottom w:w="57" w:type="dxa"/>
                          <w:right w:w="57" w:type="dxa"/>
                        </w:tcMar>
                        <w:hideMark/>
                      </w:tcPr>
                      <w:p>
                        <w:pPr/>
                        <w:r>
                          <w:t>1.4.</w:t>
                        </w:r>
                      </w:p>
                    </w:tc>
                    <w:tc>
                      <w:tcPr>
                        <w:tcW w:w="2595" w:type="pct"/>
                        <w:tcBorders>
                          <w:top w:val="single" w:sz="8" w:space="0" w:color="000000" w:themeColor="text1"/>
                          <w:left w:val="nil"/>
                          <w:bottom w:val="single" w:sz="4" w:space="0" w:color="auto"/>
                          <w:right w:val="single" w:sz="4" w:space="0" w:color="auto"/>
                        </w:tcBorders>
                        <w:shd w:val="clear" w:color="auto" w:fill="FFFFFF" w:themeFill="background1"/>
                        <w:tcMar>
                          <w:top w:w="57" w:type="dxa"/>
                          <w:left w:w="57" w:type="dxa"/>
                          <w:bottom w:w="57" w:type="dxa"/>
                          <w:right w:w="57" w:type="dxa"/>
                        </w:tcMar>
                        <w:hideMark/>
                      </w:tcPr>
                      <w:p>
                        <w:pPr>
                          <w:jc w:val="both"/>
                        </w:pPr>
                        <w:r>
                          <w:rPr>
                            <w:shd w:val="clear" w:color="auto" w:fill="FFFFFF"/>
                          </w:rPr>
                          <w:t>Magnetinio rezonanso angiografija</w:t>
                        </w:r>
                      </w:p>
                    </w:tc>
                    <w:tc>
                      <w:tcPr>
                        <w:tcW w:w="1895" w:type="pct"/>
                        <w:vMerge/>
                        <w:tcBorders>
                          <w:top w:val="nil"/>
                          <w:left w:val="nil"/>
                          <w:bottom w:val="single" w:sz="4" w:space="0" w:color="auto"/>
                          <w:right w:val="single" w:sz="8" w:space="0" w:color="000000"/>
                        </w:tcBorders>
                        <w:shd w:val="clear" w:color="auto" w:fill="FFFFFF"/>
                        <w:vAlign w:val="center"/>
                        <w:hideMark/>
                      </w:tcPr>
                      <w:p>
                        <w:pP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shd w:val="clear" w:color="auto" w:fill="FFFFFF"/>
                            <w:lang w:eastAsia="lt-LT"/>
                          </w:rPr>
                        </w:pPr>
                        <w:r>
                          <w:rPr>
                            <w:color w:val="000000"/>
                            <w:szCs w:val="24"/>
                            <w:shd w:val="clear" w:color="auto" w:fill="FFFFFF"/>
                            <w:lang w:eastAsia="lt-LT"/>
                          </w:rPr>
                          <w:t>1.5.</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lang w:eastAsia="lt-LT"/>
                          </w:rPr>
                        </w:pPr>
                        <w:r>
                          <w:rPr>
                            <w:color w:val="000000"/>
                            <w:szCs w:val="24"/>
                            <w:lang w:eastAsia="lt-LT"/>
                          </w:rPr>
                          <w:t>Pozitronų emisijos tomografijos tyrimų grupė:</w:t>
                        </w:r>
                      </w:p>
                    </w:tc>
                    <w:tc>
                      <w:tcPr>
                        <w:tcW w:w="18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lang w:eastAsia="lt-LT"/>
                          </w:rPr>
                        </w:pP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shd w:val="clear" w:color="auto" w:fill="FFFFFF"/>
                            <w:lang w:eastAsia="lt-LT"/>
                          </w:rPr>
                        </w:pPr>
                        <w:r>
                          <w:rPr>
                            <w:color w:val="000000"/>
                            <w:szCs w:val="24"/>
                            <w:shd w:val="clear" w:color="auto" w:fill="FFFFFF"/>
                            <w:lang w:eastAsia="lt-LT"/>
                          </w:rPr>
                          <w:t>1.5.1.</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lang w:eastAsia="lt-LT"/>
                          </w:rPr>
                        </w:pPr>
                        <w:r>
                          <w:rPr>
                            <w:color w:val="000000"/>
                            <w:szCs w:val="24"/>
                            <w:lang w:eastAsia="lt-LT"/>
                          </w:rPr>
                          <w:t>Pozitronų emisijos tomografijos ir kompiuterinės tomografijos tyrimas, atliekamas naudojant fluorodeoksigliukozę (</w:t>
                        </w:r>
                        <w:r>
                          <w:rPr>
                            <w:color w:val="000000"/>
                            <w:szCs w:val="24"/>
                            <w:vertAlign w:val="superscript"/>
                            <w:lang w:eastAsia="lt-LT"/>
                          </w:rPr>
                          <w:t>18</w:t>
                        </w:r>
                        <w:r>
                          <w:rPr>
                            <w:color w:val="000000"/>
                            <w:szCs w:val="24"/>
                            <w:lang w:eastAsia="lt-LT"/>
                          </w:rPr>
                          <w:t>F)</w:t>
                        </w:r>
                      </w:p>
                    </w:tc>
                    <w:tc>
                      <w:tcPr>
                        <w:tcW w:w="18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lang w:eastAsia="lt-LT"/>
                          </w:rPr>
                        </w:pPr>
                        <w:r>
                          <w:rPr>
                            <w:color w:val="000000"/>
                            <w:szCs w:val="24"/>
                            <w:lang w:eastAsia="lt-LT"/>
                          </w:rPr>
                          <w:t>Atliekamas vadovaujantis Ligų ir būklių, kurioms esant atliekami Privalomojo sveikatos draudimo fondo biudžeto lėšomis finansuojami pozitronų emisijos tomografijos su kompiuterine tomografija tyrimai naudojant fluorodeoksigliukozę (</w:t>
                        </w:r>
                        <w:r>
                          <w:rPr>
                            <w:color w:val="000000"/>
                            <w:szCs w:val="24"/>
                            <w:vertAlign w:val="superscript"/>
                            <w:lang w:eastAsia="lt-LT"/>
                          </w:rPr>
                          <w:t>18</w:t>
                        </w:r>
                        <w:r>
                          <w:rPr>
                            <w:color w:val="000000"/>
                            <w:szCs w:val="24"/>
                            <w:lang w:eastAsia="lt-LT"/>
                          </w:rPr>
                          <w:t>F), ir šių tyrimų atlikimo indikacijų sąrašu, patvirtintu Lietuvos Respublikos sveikatos apsaugos ministro 2011 m. gegužės 9 d. įsakymu Nr. V-449 „Dėl ligų ir būklių, kurioms esant atliekami Privalomojo sveikatos draudimo fondo biudžeto lėšomis finansuojami pozitronų emisijos tomografijos su kompiuterine tomografija tyrimai, ir šių tyrimų atlikimo indikacijų sąrašų patvirtinimo“ (toliau – Įsakymas Nr. V-449), ir Privalomojo sveikatos draudimo fondo biudžeto lėšomis finansuojamo pozitronų emisijos tomografijos tyrimo reikalavimų aprašu, patvirtintu Lietuvos Respublikos sveikatos apsaugos ministro 2012 m. vasario 27 d. įsakymu Nr. V-158 „Dėl Privalomojo sveikatos draudimo fondo biudžeto lėšomis finansuojamo pozitronų emisijos tomografijos tyrimo reikalavimų aprašo patvirtinimo“ (toliau – Pozitronų emisijos tomografijos tyrimo reikalavimų aprašas).</w:t>
                        </w: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shd w:val="clear" w:color="auto" w:fill="FFFFFF"/>
                            <w:lang w:eastAsia="lt-LT"/>
                          </w:rPr>
                        </w:pPr>
                        <w:r>
                          <w:rPr>
                            <w:color w:val="000000"/>
                            <w:szCs w:val="24"/>
                            <w:shd w:val="clear" w:color="auto" w:fill="FFFFFF"/>
                            <w:lang w:eastAsia="lt-LT"/>
                          </w:rPr>
                          <w:t>1.5.2.</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color w:val="000000"/>
                            <w:szCs w:val="24"/>
                            <w:lang w:eastAsia="lt-LT"/>
                          </w:rPr>
                        </w:pPr>
                        <w:r>
                          <w:rPr>
                            <w:color w:val="000000"/>
                            <w:szCs w:val="24"/>
                            <w:lang w:eastAsia="lt-LT"/>
                          </w:rPr>
                          <w:t>Pozitronų emisijos tomografijos ir kompiuterinės tomografijos tyrimas, atliekamas naudojant somatostatinų analogus, žymėtus radioaktyviuoju galiu (68Ga DOTA peptidais)</w:t>
                        </w:r>
                      </w:p>
                    </w:tc>
                    <w:tc>
                      <w:tcPr>
                        <w:tcW w:w="18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lang w:eastAsia="lt-LT"/>
                          </w:rPr>
                        </w:pPr>
                        <w:r>
                          <w:rPr>
                            <w:color w:val="000000"/>
                            <w:szCs w:val="24"/>
                            <w:lang w:eastAsia="lt-LT"/>
                          </w:rPr>
                          <w:t>Atliekamas vadovaujantis Ligų ir būklių, kurioms esant atliekami Privalomojo sveikatos draudimo fondo biudžeto lėšomis finansuojami pozitronų emisijos tomografijos su kompiuterine tomografija tyrimai naudojant somatostatinų analogus, žymėtus radioaktyviuoju galiu (68Ga DOTA peptidais), ir šių tyrimų atlikimo indikacijų sąrašu, patvirtintu Įsakymu Nr. V-449, ir Pozitronų emisijos tomografijos tyrimo reikalavimų aprašu.</w:t>
                        </w: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shd w:val="clear" w:color="auto" w:fill="FFFFFF"/>
                            <w:lang w:eastAsia="lt-LT"/>
                          </w:rPr>
                          <w:t>1.5.3.</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lang w:eastAsia="lt-LT"/>
                          </w:rPr>
                        </w:pPr>
                        <w:r>
                          <w:rPr>
                            <w:color w:val="000000"/>
                            <w:szCs w:val="24"/>
                            <w:lang w:eastAsia="lt-LT"/>
                          </w:rPr>
                          <w:t>Pozitronų emisijos tomografijos ir kompiuterinės tomografijos tyrimas, atliekamas naudojant prostatos specifinius membranos antigenus, žymėtus radioaktyviuoju galiu (68Ga PSMA)</w:t>
                        </w:r>
                      </w:p>
                    </w:tc>
                    <w:tc>
                      <w:tcPr>
                        <w:tcW w:w="1895" w:type="pct"/>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lang w:eastAsia="lt-LT"/>
                          </w:rPr>
                        </w:pPr>
                        <w:r>
                          <w:rPr>
                            <w:color w:val="000000"/>
                            <w:szCs w:val="24"/>
                            <w:lang w:eastAsia="lt-LT"/>
                          </w:rPr>
                          <w:t>Atliekami vadovaujantis Ligų ir būklių, kurioms esant atliekami Privalomojo sveikatos draudimo fondo biudžeto lėšomis finansuojami pozitronų emisijos tomografijos su kompiuterine tomografija tyrimai naudojant prostatos specifinius membranos antigenus, žymėtus radioaktyviuoju galiu (68Ga PSMA) ir fluoru (18F PSMA), ir šių tyrimų atlikimo indikacijų sąrašu, patvirtintu Įsakymu Nr. V-449, ir Pozitronų emisijos tomografijos tyrimo reikalavimų aprašu.</w:t>
                        </w: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shd w:val="clear" w:color="auto" w:fill="FFFFFF"/>
                            <w:lang w:eastAsia="lt-LT"/>
                          </w:rPr>
                          <w:t>1.5.4</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lang w:eastAsia="lt-LT"/>
                          </w:rPr>
                          <w:t xml:space="preserve">Pozitronų emisijos tomografijos ir kompiuterinės tomografijos tyrimas, atliekamas naudojant prostatos specifinius membranos antigenus, žymėtus radioaktyviuoju </w:t>
                        </w:r>
                        <w:r>
                          <w:rPr>
                            <w:szCs w:val="24"/>
                            <w:lang w:eastAsia="lt-LT"/>
                          </w:rPr>
                          <w:t>fluoru (18F PSMA)</w:t>
                        </w:r>
                      </w:p>
                    </w:tc>
                    <w:tc>
                      <w:tcPr>
                        <w:tcW w:w="1895" w:type="pct"/>
                        <w:vMerge/>
                        <w:tcBorders>
                          <w:top w:val="single" w:sz="4" w:space="0" w:color="auto"/>
                          <w:left w:val="single" w:sz="4" w:space="0" w:color="auto"/>
                          <w:bottom w:val="single" w:sz="4" w:space="0" w:color="auto"/>
                          <w:right w:val="single" w:sz="4" w:space="0" w:color="auto"/>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4" w:space="0" w:color="auto"/>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1.6.</w:t>
                        </w:r>
                      </w:p>
                    </w:tc>
                    <w:tc>
                      <w:tcPr>
                        <w:tcW w:w="2595" w:type="pct"/>
                        <w:tcBorders>
                          <w:top w:val="single" w:sz="4" w:space="0" w:color="auto"/>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Hematologijos genetinių tyrimų grupė:</w:t>
                        </w:r>
                      </w:p>
                    </w:tc>
                    <w:tc>
                      <w:tcPr>
                        <w:tcW w:w="1895" w:type="pct"/>
                        <w:tcBorders>
                          <w:top w:val="single" w:sz="4" w:space="0" w:color="auto"/>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1.6.1.</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Pirminis imunotipavimo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1.6.2.</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Pakartotinis imunotipavimo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1.6.3</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Genetinis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1.6.4.</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Kraujo krešėjimo veiksnių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1.7.</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Hepatito C diagnostikos tyrimų grupė:</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1.7.1.</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Hepatito C viruso genotipo nustatymo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1.7.2.</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Kiekybinis hepatito C viruso RNR nustatymo tyrimas</w:t>
                        </w:r>
                      </w:p>
                    </w:tc>
                    <w:tc>
                      <w:tcPr>
                        <w:tcW w:w="18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Žmogaus imunodeficito viruso ligos stebėsenos tyrimų grupė:</w:t>
                        </w:r>
                      </w:p>
                    </w:tc>
                    <w:tc>
                      <w:tcPr>
                        <w:tcW w:w="1895" w:type="pct"/>
                        <w:vMerge w:val="restar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color w:val="000000"/>
                          </w:rPr>
                          <w:t>Žmogaus imunodeficito viruso ligos stebėsenos tyrimai atliekami vadovaujantis Žmogaus imunodeficito viruso ligos diagnostikos ir gydymo, kompensuojamo iš Privalomojo sveikatos draudimo fondo biudžeto lėšų, tvarkos aprašu, patvirtintu Lietuvos Respublikos sveikatos apsaugos ministro 2010 m. gegužės 3 d. įsakymu Nr. V-384 „Dėl Žmogaus imunodeficito viruso ligos diagnostikos ir gydymo, kompensuojamo iš Privalomojo sveikatos draudimo fondo biudžeto lėšų, tvarkos aprašo patvirtinimo“.</w:t>
                        </w:r>
                      </w:p>
                    </w:tc>
                  </w:tr>
                  <w:tr>
                    <w:trPr>
                      <w:trHeight w:val="20"/>
                    </w:trPr>
                    <w:tc>
                      <w:tcPr>
                        <w:tcW w:w="510" w:type="pc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1.8.1.</w:t>
                        </w:r>
                      </w:p>
                    </w:tc>
                    <w:tc>
                      <w:tcPr>
                        <w:tcW w:w="2595" w:type="pct"/>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Žmogaus imunodeficito viruso plazmos RNR nustatymo tyrimas</w:t>
                        </w:r>
                      </w:p>
                    </w:tc>
                    <w:tc>
                      <w:tcPr>
                        <w:tcW w:w="1895" w:type="pct"/>
                        <w:vMerge/>
                        <w:tcBorders>
                          <w:top w:val="single" w:sz="8" w:space="0" w:color="000000"/>
                          <w:left w:val="nil"/>
                          <w:bottom w:val="single" w:sz="8" w:space="0" w:color="000000"/>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CD4 ląstelių kiekio nustatymo tyrimas</w:t>
                        </w:r>
                      </w:p>
                    </w:tc>
                    <w:tc>
                      <w:tcPr>
                        <w:tcW w:w="1895" w:type="pct"/>
                        <w:vMerge/>
                        <w:tcBorders>
                          <w:top w:val="single" w:sz="8" w:space="0" w:color="000000"/>
                          <w:left w:val="nil"/>
                          <w:bottom w:val="single" w:sz="8" w:space="0" w:color="000000"/>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Viruso jautrumo vaistams / genotipo nustatymo tyrimas</w:t>
                        </w:r>
                      </w:p>
                    </w:tc>
                    <w:tc>
                      <w:tcPr>
                        <w:tcW w:w="1895" w:type="pct"/>
                        <w:vMerge/>
                        <w:tcBorders>
                          <w:top w:val="single" w:sz="8" w:space="0" w:color="000000"/>
                          <w:left w:val="nil"/>
                          <w:bottom w:val="single" w:sz="8" w:space="0" w:color="000000"/>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1.8.4.</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ŽLA-B 5701 nustatymo tyrimas</w:t>
                        </w:r>
                      </w:p>
                    </w:tc>
                    <w:tc>
                      <w:tcPr>
                        <w:tcW w:w="1895" w:type="pct"/>
                        <w:vMerge/>
                        <w:tcBorders>
                          <w:top w:val="single" w:sz="8" w:space="0" w:color="000000"/>
                          <w:left w:val="nil"/>
                          <w:bottom w:val="single" w:sz="8" w:space="0" w:color="000000"/>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1.8.5.</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rPr>
                            <w:strike/>
                          </w:rPr>
                        </w:pPr>
                        <w:r>
                          <w:t xml:space="preserve">Kraujo limfocitų atsako į stimuliaciją </w:t>
                        </w:r>
                        <w:r>
                          <w:rPr>
                            <w:i/>
                            <w:iCs/>
                          </w:rPr>
                          <w:t>Mycobacterium tuberculosis</w:t>
                        </w:r>
                        <w:r>
                          <w:t xml:space="preserve"> antigenais įvertinimas pagal gama interferono išskyrimą (atliekamas vykdant žmogaus imunodeficito viruso ligos stebėseną)</w:t>
                        </w:r>
                      </w:p>
                    </w:tc>
                    <w:tc>
                      <w:tcPr>
                        <w:tcW w:w="1895" w:type="pct"/>
                        <w:vMerge/>
                        <w:tcBorders>
                          <w:top w:val="single" w:sz="8" w:space="0" w:color="000000"/>
                          <w:left w:val="nil"/>
                          <w:bottom w:val="single" w:sz="8" w:space="0" w:color="000000"/>
                          <w:right w:val="single" w:sz="8" w:space="0" w:color="000000"/>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1.9.</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Genetinių tyrimų grupė:</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1.9.1.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Genetinis tyrimas, įtrauktas į Lietuvos Respublikos sveikatos apsaugos ministro tvirtinamo Brangiųjų genetinių tyrimų sąrašo pirmąją grupę</w:t>
                        </w:r>
                      </w:p>
                    </w:tc>
                    <w:tc>
                      <w:tcPr>
                        <w:tcW w:w="1895" w:type="pct"/>
                        <w:vMerge w:val="restart"/>
                        <w:tcBorders>
                          <w:top w:val="nil"/>
                          <w:left w:val="nil"/>
                          <w:right w:val="single" w:sz="8" w:space="0" w:color="000000" w:themeColor="text1"/>
                        </w:tcBorders>
                        <w:shd w:val="clear" w:color="auto" w:fill="FFFFFF" w:themeFill="background1"/>
                        <w:tcMar>
                          <w:top w:w="57" w:type="dxa"/>
                          <w:left w:w="57" w:type="dxa"/>
                          <w:bottom w:w="57" w:type="dxa"/>
                          <w:right w:w="57" w:type="dxa"/>
                        </w:tcMar>
                      </w:tcPr>
                      <w:p>
                        <w:pPr>
                          <w:jc w:val="both"/>
                        </w:pPr>
                        <w:r>
                          <w:t>Genetiniai tyrimai atliekami vadovaujantis Genetikos asmens sveikatos priežiūros paslaugų teikimo indikacijų ir šių paslaugų išlaidų apmokėjimo Privalomojo sveikatos draudimo fondo biudžeto lėšomis tvarkos aprašu, patvirtintu Lietuvos Respublikos sveikatos apsaugos ministro 2014 m. gruodžio 31 d. įsakymu Nr. V-1458 „Dėl Genetikos asmens sveikatos priežiūros paslaugų teikimo indikacijų ir šių paslaugų išlaidų apmokėjimo Privalomojo sveikatos draudimo fondo biudžeto lėšomis tvarkos aprašo patvirtinimo“.</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1.9.2.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Genetinis tyrimas, įtrauktas į Lietuvos Respublikos sveikatos apsaugos ministro tvirtinamo Brangiųjų genetinių tyrimų sąrašo antrąją grupę</w:t>
                        </w:r>
                      </w:p>
                    </w:tc>
                    <w:tc>
                      <w:tcPr>
                        <w:tcW w:w="1895" w:type="pct"/>
                        <w:vMerge/>
                        <w:tcBorders>
                          <w:left w:val="nil"/>
                          <w:right w:val="single" w:sz="8" w:space="0" w:color="000000" w:themeColor="text1"/>
                        </w:tcBorders>
                        <w:shd w:val="clear" w:color="auto" w:fill="FFFFFF" w:themeFill="background1"/>
                        <w:tcMar>
                          <w:top w:w="57" w:type="dxa"/>
                          <w:left w:w="57" w:type="dxa"/>
                          <w:bottom w:w="57" w:type="dxa"/>
                          <w:right w:w="57" w:type="dxa"/>
                        </w:tcMar>
                        <w:vAlign w:val="cente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1.9.3.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Genetinis tyrimas, įtrauktas į Lietuvos Respublikos sveikatos apsaugos ministro tvirtinamo Brangiųjų genetinių tyrimų sąrašo trečiąją grupę</w:t>
                        </w:r>
                      </w:p>
                    </w:tc>
                    <w:tc>
                      <w:tcPr>
                        <w:tcW w:w="1895" w:type="pct"/>
                        <w:vMerge/>
                        <w:tcBorders>
                          <w:left w:val="nil"/>
                          <w:right w:val="single" w:sz="8" w:space="0" w:color="000000" w:themeColor="text1"/>
                        </w:tcBorders>
                        <w:shd w:val="clear" w:color="auto" w:fill="FFFFFF" w:themeFill="background1"/>
                        <w:tcMar>
                          <w:top w:w="57" w:type="dxa"/>
                          <w:left w:w="57" w:type="dxa"/>
                          <w:bottom w:w="57" w:type="dxa"/>
                          <w:right w:w="57" w:type="dxa"/>
                        </w:tcMar>
                        <w:vAlign w:val="cente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1.9.4.</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Genetinis tyrimas, įtrauktas į Lietuvos Respublikos sveikatos apsaugos ministro tvirtinamo Brangiųjų genetinių tyrimų sąrašo ketvirtąją grupę</w:t>
                        </w:r>
                      </w:p>
                    </w:tc>
                    <w:tc>
                      <w:tcPr>
                        <w:tcW w:w="1895" w:type="pct"/>
                        <w:vMerge/>
                        <w:tcBorders>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vAlign w:val="cente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t>1.9.5.</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shd w:val="clear" w:color="auto" w:fill="FFFFFF"/>
                          </w:rPr>
                          <w:t>Psichiatrinių vaistų toleravimo farmakogenetinis tyrimas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r>
                          <w:t>Grindžiamas ne mažiau kaip 10 genų analize ir atliekamas vadovaujantis Psichiatrijos antrinio ir tretinio lygių ambulatorinių paslaugų teikimo suaugusiems reikalavimais, patvirtintais Lietuvos Respublikos sveikatos apsaugos ministro 1999 m. gegužės 27 d. įsakymu Nr. 256 „Dėl psichiatrijos antrinio ir tretinio lygių ir psichiatrijos dienos stacionaro paslaugų teikimo suaugusiems reikalavimų patvirtinimo“.</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rPr>
                            <w:color w:val="000000"/>
                            <w:shd w:val="clear" w:color="auto" w:fill="FFFFFF"/>
                          </w:rPr>
                          <w:t>1.9.6.</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Naviko genetikos tyrimai:</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rPr>
                            <w:color w:val="000000"/>
                            <w:shd w:val="clear" w:color="auto" w:fill="FFFFFF"/>
                          </w:rPr>
                          <w:t>1.9.6.1.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Naviko molekulinės genetikos tyrimas DNR sekoskaitos metodu</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r>
                          <w:rPr>
                            <w:color w:val="000000"/>
                          </w:rPr>
                          <w:t>Atliekamas vadovaujantis Ligų ir sveikatos būklių, kurioms esant atliekamas Privalomojo sveikatos draudimo fondo biudžeto lėšomis apmokamas naviko molekulinės genetikos tyrimas DNR sekoskaitos metodu, sąrašu ir minimalių šio tyrimo skyrimo ir atlikimo reikalavimų aprašu, patvirtintu Lietuvos Respublikos sveikatos apsaugos ministro 2024 m. spalio 31 d. įsakymu Nr. V-1058 „Dėl ligų ir sveikatos būklių, kurioms esant atliekami Privalomojo sveikatos draudimo fondo biudžeto lėšomis apmokami naviko genetikos tyrimai, sąrašų ir minimalių šių tyrimų skyrimo ir atlikimo reikalavimų aprašų patvirtinimo“ (toliau – Įsakymas Nr. V-1058).</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rPr>
                            <w:color w:val="000000"/>
                            <w:shd w:val="clear" w:color="auto" w:fill="FFFFFF"/>
                          </w:rPr>
                          <w:t>1.9.6.2.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Naviko molekulinio kariotipavimo tyrimas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r>
                          <w:rPr>
                            <w:color w:val="000000"/>
                          </w:rPr>
                          <w:t>Atliekamas vadovaujantis Ligų ir sveikatos būklių, kurioms esant atliekamas Privalomojo sveikatos draudimo fondo biudžeto lėšomis apmokamas naviko molekulinio kariotipavimo tyrimas, sąrašu ir minimalių šio tyrimo skyrimo ir atlikimo reikalavimų aprašu, patvirtintu Įsakymu Nr. V-1058.</w:t>
                        </w:r>
                      </w:p>
                    </w:tc>
                  </w:tr>
                  <w:tr>
                    <w:trPr>
                      <w:trHeight w:val="20"/>
                    </w:trPr>
                    <w:tc>
                      <w:tcPr>
                        <w:tcW w:w="510" w:type="pct"/>
                        <w:tcBorders>
                          <w:top w:val="nil"/>
                          <w:left w:val="single" w:sz="8" w:space="0" w:color="000000" w:themeColor="text1"/>
                          <w:bottom w:val="single" w:sz="4" w:space="0" w:color="auto"/>
                          <w:right w:val="single" w:sz="8" w:space="0" w:color="000000" w:themeColor="text1"/>
                        </w:tcBorders>
                        <w:shd w:val="clear" w:color="auto" w:fill="FFFFFF" w:themeFill="background1"/>
                        <w:tcMar>
                          <w:top w:w="57" w:type="dxa"/>
                          <w:left w:w="57" w:type="dxa"/>
                          <w:bottom w:w="57" w:type="dxa"/>
                          <w:right w:w="57" w:type="dxa"/>
                        </w:tcMar>
                      </w:tcPr>
                      <w:p>
                        <w:pPr/>
                        <w:r>
                          <w:rPr>
                            <w:color w:val="000000"/>
                            <w:shd w:val="clear" w:color="auto" w:fill="FFFFFF"/>
                          </w:rPr>
                          <w:t>1.9.6.3.</w:t>
                        </w:r>
                      </w:p>
                    </w:tc>
                    <w:tc>
                      <w:tcPr>
                        <w:tcW w:w="2595" w:type="pct"/>
                        <w:tcBorders>
                          <w:top w:val="nil"/>
                          <w:left w:val="nil"/>
                          <w:bottom w:val="single" w:sz="4" w:space="0" w:color="auto"/>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rPr>
                          <w:t>Naviko genomo metilinimo tyrimas</w:t>
                        </w:r>
                      </w:p>
                    </w:tc>
                    <w:tc>
                      <w:tcPr>
                        <w:tcW w:w="1895" w:type="pct"/>
                        <w:tcBorders>
                          <w:top w:val="nil"/>
                          <w:left w:val="nil"/>
                          <w:bottom w:val="single" w:sz="4" w:space="0" w:color="auto"/>
                          <w:right w:val="single" w:sz="8" w:space="0" w:color="000000" w:themeColor="text1"/>
                        </w:tcBorders>
                        <w:shd w:val="clear" w:color="auto" w:fill="FFFFFF" w:themeFill="background1"/>
                        <w:tcMar>
                          <w:top w:w="57" w:type="dxa"/>
                          <w:left w:w="57" w:type="dxa"/>
                          <w:bottom w:w="57" w:type="dxa"/>
                          <w:right w:w="57" w:type="dxa"/>
                        </w:tcMar>
                      </w:tcPr>
                      <w:p>
                        <w:pPr>
                          <w:jc w:val="both"/>
                        </w:pPr>
                        <w:r>
                          <w:rPr>
                            <w:color w:val="000000"/>
                          </w:rPr>
                          <w:t>Atliekamas vadovaujantis Ligų ir sveikatos būklių, kurioms esant atliekamas Privalomojo sveikatos draudimo fondo biudžeto lėšomis apmokamas naviko genomo metilinimo tyrimas, sąrašu ir minimalių šio tyrimo skyrimo ir atlikimo reikalavimų aprašu, patvirtintu Įsakymu Nr. V-1058.</w:t>
                        </w:r>
                      </w:p>
                    </w:tc>
                  </w:tr>
                  <w:tr>
                    <w:trPr>
                      <w:trHeight w:val="20"/>
                    </w:trPr>
                    <w:tc>
                      <w:tcPr>
                        <w:tcW w:w="510"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shd w:val="clear" w:color="auto" w:fill="FFFFFF"/>
                            <w:lang w:eastAsia="lt-LT"/>
                          </w:rPr>
                          <w:t>1.9.6.4</w:t>
                        </w:r>
                      </w:p>
                    </w:tc>
                    <w:tc>
                      <w:tcPr>
                        <w:tcW w:w="25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shd w:val="clear" w:color="auto" w:fill="FFFFFF"/>
                            <w:lang w:eastAsia="lt-LT"/>
                          </w:rPr>
                          <w:t>Naviko molekulinės genetikos tyrimas, atliekamas taikant RNR sekoskaitos metodą</w:t>
                        </w:r>
                      </w:p>
                    </w:tc>
                    <w:tc>
                      <w:tcPr>
                        <w:tcW w:w="1895" w:type="pc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both"/>
                          <w:rPr>
                            <w:color w:val="000000"/>
                            <w:szCs w:val="24"/>
                            <w:shd w:val="clear" w:color="auto" w:fill="FFFFFF"/>
                            <w:lang w:eastAsia="lt-LT"/>
                          </w:rPr>
                        </w:pPr>
                        <w:r>
                          <w:rPr>
                            <w:color w:val="000000"/>
                            <w:szCs w:val="24"/>
                            <w:lang w:eastAsia="lt-LT"/>
                          </w:rPr>
                          <w:t>Atliekamas vadovaujantis Ligų ir sveikatos būklių, kurioms esant atliekamas Privalomojo sveikatos draudimo fondo biudžeto lėšomis apmokamas naviko molekulinės genetikos tyrimas RNR sekoskaitos metodu, sąrašu ir minimalių šio tyrimo skyrimo ir atlikimo reikalavimų aprašu, patvirtintais Įsakymu Nr. V</w:t>
                          <w:noBreakHyphen/>
                          <w:t>1058.</w:t>
                        </w:r>
                      </w:p>
                    </w:tc>
                  </w:tr>
                  <w:tr>
                    <w:trPr>
                      <w:trHeight w:val="20"/>
                    </w:trPr>
                    <w:tc>
                      <w:tcPr>
                        <w:tcW w:w="510" w:type="pct"/>
                        <w:tcBorders>
                          <w:top w:val="single" w:sz="4" w:space="0" w:color="auto"/>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1.10.</w:t>
                        </w:r>
                      </w:p>
                    </w:tc>
                    <w:tc>
                      <w:tcPr>
                        <w:tcW w:w="2595" w:type="pct"/>
                        <w:tcBorders>
                          <w:top w:val="single" w:sz="4" w:space="0" w:color="auto"/>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Epidermio augimo faktoriaus receptoriaus (EGFR) ištyrimas naviko audiniuose ir organizmo skysčiuose</w:t>
                        </w:r>
                      </w:p>
                    </w:tc>
                    <w:tc>
                      <w:tcPr>
                        <w:tcW w:w="1895" w:type="pct"/>
                        <w:tcBorders>
                          <w:top w:val="single" w:sz="4" w:space="0" w:color="auto"/>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color w:val="000000"/>
                          </w:rPr>
                          <w:t>Atliekamas vadovaujantis Plaučių vėžio ambulatorinio gydymo, kurio išlaidos kompensuojamos iš Privalomojo sveikatos draudimo fondo biudžeto, tvarkos aprašu, patvirtintu Lietuvos Respublikos sveikatos apsaugos ministro 2009 m. vasario 20 d. įsakymu Nr. V-127 „Dėl Plaučių vėžio ambulatorinio gydymo, kurio išlaidos kompensuojamos iš Privalomojo sveikatos draudimo fondo biudžeto, tvarkos aprašo patvirtinimo“.</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w:t>
                        </w:r>
                        <w:r>
                          <w:rPr>
                            <w:lang w:val="en-US"/>
                          </w:rPr>
                          <w:t>1</w:t>
                        </w:r>
                        <w:r>
                          <w:t>.</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Genominis krūties vėžio molekulinių žymenų tyrimas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 xml:space="preserve">Atliekamas dėl ankstyvųjų (I ir II) stadijų krūties piktybinių navikų, kurie pasižymi estrogenų ir (ar) progesteronų receptorių raiška ir nepasižymi HER2 receptorių raiška, vadovaujantis </w:t>
                        </w:r>
                        <w:r>
                          <w:rPr>
                            <w:shd w:val="clear" w:color="auto" w:fill="FFFFFF"/>
                          </w:rPr>
                          <w:t xml:space="preserve">Krūties piktybinio naviko ambulatorinio gydymo kompensuojamaisiais vaistais tvarkos aprašu, patvirtintu </w:t>
                        </w:r>
                        <w:r>
                          <w:t>Lietuvos Respublikos sveikatos apsaugos ministro 2011 m. liepos 22 d. įsakymu Nr. V-713 „</w:t>
                        </w:r>
                        <w:r>
                          <w:rPr>
                            <w:shd w:val="clear" w:color="auto" w:fill="FFFFFF"/>
                          </w:rPr>
                          <w:t>Dėl Krūties piktybinio naviko ambulatorinio gydymo kompensuojamaisiais vaistais tvarkos aprašo patvirtinimo</w:t>
                        </w:r>
                        <w:r>
                          <w:t>“.</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tyrimų grupė:</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tyrimas, kai naudojamas MIBI</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tyrimas, kai naudojamas HSA nanokoloidas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tyrimas, kai naudojamas HM-PAO</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1.12.4.</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tyrimas, kai naudojamas jodo I-123 MIBG D</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1.12.5.</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Radionuklidinės kompiuterinės tomografijos tyrimas, kai naudojamas jodo I-123 jofluponas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t>1.12.6.</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Radionuklidinės kompiuterinės tomografijos tyrimas, kai atliekamas vienos anatominės srities tyrimas</w:t>
                        </w:r>
                      </w:p>
                    </w:tc>
                    <w:tc>
                      <w:tcPr>
                        <w:tcW w:w="1895" w:type="pct"/>
                        <w:vMerge w:val="restart"/>
                        <w:tcBorders>
                          <w:top w:val="nil"/>
                          <w:left w:val="nil"/>
                          <w:right w:val="single" w:sz="8" w:space="0" w:color="000000" w:themeColor="text1"/>
                        </w:tcBorders>
                        <w:shd w:val="clear" w:color="auto" w:fill="FFFFFF" w:themeFill="background1"/>
                        <w:tcMar>
                          <w:top w:w="57" w:type="dxa"/>
                          <w:left w:w="57" w:type="dxa"/>
                          <w:bottom w:w="57" w:type="dxa"/>
                          <w:right w:w="57" w:type="dxa"/>
                        </w:tcMar>
                      </w:tcPr>
                      <w:p>
                        <w:pPr>
                          <w:jc w:val="both"/>
                        </w:pPr>
                        <w:r>
                          <w:t>Atliekami po gydytojo radiologo konsultacijos, kai atliekamas scintigrafijos tyrimas, arba po gydytojo radiologo konsultacijos, kai atliekamas scintigrafijos tyrimas naudojant radiofarmakologinį preparatą.</w:t>
                        </w: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t>1.12.7.</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Radionuklidinės kompiuterinės tomografijos tyrimas, kai atliekamas dviejų anatominių sričių tyrimas</w:t>
                        </w:r>
                      </w:p>
                    </w:tc>
                    <w:tc>
                      <w:tcPr>
                        <w:tcW w:w="1895" w:type="pct"/>
                        <w:vMerge/>
                        <w:tcBorders>
                          <w:left w:val="nil"/>
                          <w:right w:val="single" w:sz="8" w:space="0" w:color="000000"/>
                        </w:tcBorders>
                        <w:shd w:val="clear" w:color="auto" w:fill="FFFFFF"/>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r>
                          <w:t>1.12.8.</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rPr>
                            <w:shd w:val="clear" w:color="auto" w:fill="FFFFFF"/>
                          </w:rPr>
                        </w:pPr>
                        <w:r>
                          <w:rPr>
                            <w:color w:val="000000"/>
                            <w:shd w:val="clear" w:color="auto" w:fill="FFFFFF"/>
                          </w:rPr>
                          <w:t>Radionuklidinės kompiuterinės tomografijos tyrimas, kai atliekamas trijų ir daugiau anatominių sričių tyrimas</w:t>
                        </w:r>
                      </w:p>
                    </w:tc>
                    <w:tc>
                      <w:tcPr>
                        <w:tcW w:w="1895" w:type="pct"/>
                        <w:vMerge/>
                        <w:tcBorders>
                          <w:left w:val="nil"/>
                          <w:bottom w:val="single" w:sz="8" w:space="0" w:color="000000"/>
                          <w:right w:val="single" w:sz="8" w:space="0" w:color="000000"/>
                        </w:tcBorders>
                        <w:shd w:val="clear" w:color="auto" w:fill="FFFFFF"/>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1.13.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t>Ultragarsinis tyrimas, kai naudojama kontrastinė medžiaga</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auto"/>
                          <w:bottom w:val="single" w:sz="8" w:space="0" w:color="auto"/>
                          <w:right w:val="single" w:sz="8" w:space="0" w:color="auto"/>
                        </w:tcBorders>
                        <w:shd w:val="clear" w:color="auto" w:fill="FFFFFF" w:themeFill="background1"/>
                        <w:hideMark/>
                      </w:tcPr>
                      <w:p>
                        <w:pPr/>
                        <w:r>
                          <w:t>1.14.</w:t>
                        </w:r>
                      </w:p>
                    </w:tc>
                    <w:tc>
                      <w:tcPr>
                        <w:tcW w:w="2595" w:type="pct"/>
                        <w:tcBorders>
                          <w:top w:val="nil"/>
                          <w:left w:val="nil"/>
                          <w:bottom w:val="single" w:sz="8" w:space="0" w:color="auto"/>
                          <w:right w:val="single" w:sz="8" w:space="0" w:color="auto"/>
                        </w:tcBorders>
                        <w:shd w:val="clear" w:color="auto" w:fill="FFFFFF" w:themeFill="background1"/>
                        <w:hideMark/>
                      </w:tcPr>
                      <w:p>
                        <w:pPr>
                          <w:jc w:val="both"/>
                        </w:pPr>
                        <w:r>
                          <w:t>Tuberkuliozės diagnostinių tyrimų grupė:</w:t>
                        </w:r>
                      </w:p>
                    </w:tc>
                    <w:tc>
                      <w:tcPr>
                        <w:tcW w:w="1895" w:type="pct"/>
                        <w:vMerge w:val="restart"/>
                        <w:tcBorders>
                          <w:top w:val="nil"/>
                          <w:left w:val="nil"/>
                          <w:bottom w:val="single" w:sz="8" w:space="0" w:color="auto"/>
                          <w:right w:val="single" w:sz="8" w:space="0" w:color="auto"/>
                        </w:tcBorders>
                        <w:shd w:val="clear" w:color="auto" w:fill="FFFFFF" w:themeFill="background1"/>
                        <w:hideMark/>
                      </w:tcPr>
                      <w:p>
                        <w:pPr>
                          <w:jc w:val="both"/>
                        </w:pPr>
                        <w:r>
                          <w:rPr>
                            <w:color w:val="000000"/>
                          </w:rPr>
                          <w:t>Atliekami vadovaujantis Tuberkuliozės diagnostikos ir gydymo tvarkos aprašu, patvirtintu Lietuvos Respublikos sveikatos apsaugos ministro 2019 m. rugpjūčio 22 d. įsakymu Nr. V-1012 „Dėl Tuberkuliozės diagnostikos ir gydymo tvarkos aprašo patvirtinimo“.</w:t>
                        </w:r>
                      </w:p>
                    </w:tc>
                  </w:tr>
                  <w:tr>
                    <w:trPr>
                      <w:trHeight w:val="20"/>
                    </w:trPr>
                    <w:tc>
                      <w:tcPr>
                        <w:tcW w:w="510" w:type="pct"/>
                        <w:tcBorders>
                          <w:top w:val="nil"/>
                          <w:left w:val="single" w:sz="8" w:space="0" w:color="auto"/>
                          <w:bottom w:val="single" w:sz="8" w:space="0" w:color="auto"/>
                          <w:right w:val="single" w:sz="8" w:space="0" w:color="auto"/>
                        </w:tcBorders>
                        <w:shd w:val="clear" w:color="auto" w:fill="FFFFFF" w:themeFill="background1"/>
                        <w:hideMark/>
                      </w:tcPr>
                      <w:p>
                        <w:pPr/>
                        <w:r>
                          <w:t>1.14.1.</w:t>
                        </w:r>
                      </w:p>
                    </w:tc>
                    <w:tc>
                      <w:tcPr>
                        <w:tcW w:w="2595" w:type="pct"/>
                        <w:tcBorders>
                          <w:top w:val="nil"/>
                          <w:left w:val="nil"/>
                          <w:bottom w:val="single" w:sz="8" w:space="0" w:color="auto"/>
                          <w:right w:val="single" w:sz="8" w:space="0" w:color="auto"/>
                        </w:tcBorders>
                        <w:shd w:val="clear" w:color="auto" w:fill="FFFFFF" w:themeFill="background1"/>
                        <w:tcMar>
                          <w:top w:w="57" w:type="dxa"/>
                          <w:left w:w="57" w:type="dxa"/>
                          <w:bottom w:w="57" w:type="dxa"/>
                          <w:right w:w="57" w:type="dxa"/>
                        </w:tcMar>
                        <w:hideMark/>
                      </w:tcPr>
                      <w:p>
                        <w:pPr>
                          <w:jc w:val="both"/>
                        </w:pPr>
                        <w:r>
                          <w:t>Greitasis genetinis molekulinis tyrimas tuberkuliozės mikobakterijų jautrumui rifampicinui ištirti</w:t>
                        </w:r>
                      </w:p>
                    </w:tc>
                    <w:tc>
                      <w:tcPr>
                        <w:tcW w:w="1895" w:type="pct"/>
                        <w:vMerge/>
                        <w:tcBorders>
                          <w:top w:val="nil"/>
                          <w:left w:val="nil"/>
                          <w:bottom w:val="single" w:sz="8" w:space="0" w:color="auto"/>
                          <w:right w:val="single" w:sz="8" w:space="0" w:color="auto"/>
                        </w:tcBorders>
                        <w:shd w:val="clear" w:color="auto" w:fill="FFFFFF"/>
                        <w:vAlign w:val="center"/>
                        <w:hideMark/>
                      </w:tcPr>
                      <w:p>
                        <w:pPr/>
                      </w:p>
                    </w:tc>
                  </w:tr>
                  <w:tr>
                    <w:trPr>
                      <w:trHeight w:val="20"/>
                    </w:trPr>
                    <w:tc>
                      <w:tcPr>
                        <w:tcW w:w="510" w:type="pct"/>
                        <w:tcBorders>
                          <w:top w:val="nil"/>
                          <w:left w:val="single" w:sz="8" w:space="0" w:color="auto"/>
                          <w:bottom w:val="single" w:sz="8" w:space="0" w:color="auto"/>
                          <w:right w:val="single" w:sz="8" w:space="0" w:color="auto"/>
                        </w:tcBorders>
                        <w:shd w:val="clear" w:color="auto" w:fill="FFFFFF" w:themeFill="background1"/>
                        <w:hideMark/>
                      </w:tcPr>
                      <w:p>
                        <w:pPr/>
                        <w:r>
                          <w:t>1.14.2.</w:t>
                        </w:r>
                      </w:p>
                    </w:tc>
                    <w:tc>
                      <w:tcPr>
                        <w:tcW w:w="2595" w:type="pct"/>
                        <w:tcBorders>
                          <w:top w:val="nil"/>
                          <w:left w:val="nil"/>
                          <w:bottom w:val="single" w:sz="8" w:space="0" w:color="auto"/>
                          <w:right w:val="single" w:sz="8" w:space="0" w:color="auto"/>
                        </w:tcBorders>
                        <w:shd w:val="clear" w:color="auto" w:fill="FFFFFF" w:themeFill="background1"/>
                        <w:tcMar>
                          <w:top w:w="57" w:type="dxa"/>
                          <w:left w:w="57" w:type="dxa"/>
                          <w:bottom w:w="57" w:type="dxa"/>
                          <w:right w:w="57" w:type="dxa"/>
                        </w:tcMar>
                        <w:hideMark/>
                      </w:tcPr>
                      <w:p>
                        <w:pPr>
                          <w:jc w:val="both"/>
                        </w:pPr>
                        <w:r>
                          <w:t>Greitasis genetinis molekulinis tyrimas tuberkuliozės mikobakterijų jautrumui izoniazidui ištirti</w:t>
                        </w:r>
                      </w:p>
                    </w:tc>
                    <w:tc>
                      <w:tcPr>
                        <w:tcW w:w="1895" w:type="pct"/>
                        <w:vMerge/>
                        <w:tcBorders>
                          <w:top w:val="nil"/>
                          <w:left w:val="nil"/>
                          <w:bottom w:val="single" w:sz="8" w:space="0" w:color="auto"/>
                          <w:right w:val="single" w:sz="8" w:space="0" w:color="auto"/>
                        </w:tcBorders>
                        <w:shd w:val="clear" w:color="auto" w:fill="FFFFFF"/>
                        <w:vAlign w:val="center"/>
                        <w:hideMark/>
                      </w:tcPr>
                      <w:p>
                        <w:pPr/>
                      </w:p>
                    </w:tc>
                  </w:tr>
                  <w:tr>
                    <w:trPr>
                      <w:trHeight w:val="20"/>
                    </w:trPr>
                    <w:tc>
                      <w:tcPr>
                        <w:tcW w:w="510" w:type="pct"/>
                        <w:tcBorders>
                          <w:top w:val="nil"/>
                          <w:left w:val="single" w:sz="8" w:space="0" w:color="auto"/>
                          <w:bottom w:val="single" w:sz="8" w:space="0" w:color="auto"/>
                          <w:right w:val="single" w:sz="8" w:space="0" w:color="auto"/>
                        </w:tcBorders>
                        <w:shd w:val="clear" w:color="auto" w:fill="FFFFFF" w:themeFill="background1"/>
                        <w:hideMark/>
                      </w:tcPr>
                      <w:p>
                        <w:pPr/>
                        <w:r>
                          <w:t>1.14.3.</w:t>
                        </w:r>
                      </w:p>
                    </w:tc>
                    <w:tc>
                      <w:tcPr>
                        <w:tcW w:w="2595" w:type="pct"/>
                        <w:tcBorders>
                          <w:top w:val="nil"/>
                          <w:left w:val="nil"/>
                          <w:bottom w:val="single" w:sz="8" w:space="0" w:color="auto"/>
                          <w:right w:val="single" w:sz="8" w:space="0" w:color="auto"/>
                        </w:tcBorders>
                        <w:shd w:val="clear" w:color="auto" w:fill="FFFFFF" w:themeFill="background1"/>
                        <w:tcMar>
                          <w:top w:w="57" w:type="dxa"/>
                          <w:left w:w="57" w:type="dxa"/>
                          <w:bottom w:w="57" w:type="dxa"/>
                          <w:right w:w="57" w:type="dxa"/>
                        </w:tcMar>
                        <w:hideMark/>
                      </w:tcPr>
                      <w:p>
                        <w:pPr>
                          <w:jc w:val="both"/>
                        </w:pPr>
                        <w:r>
                          <w:t>Greitasis genetinis molekulinis tyrimas jautrumui antraeiliams vaistams nuo tuberkuliozės ištirti</w:t>
                        </w:r>
                      </w:p>
                    </w:tc>
                    <w:tc>
                      <w:tcPr>
                        <w:tcW w:w="1895" w:type="pct"/>
                        <w:vMerge/>
                        <w:tcBorders>
                          <w:top w:val="nil"/>
                          <w:left w:val="nil"/>
                          <w:bottom w:val="single" w:sz="8" w:space="0" w:color="auto"/>
                          <w:right w:val="single" w:sz="8" w:space="0" w:color="auto"/>
                        </w:tcBorders>
                        <w:shd w:val="clear" w:color="auto" w:fill="FFFFFF"/>
                        <w:vAlign w:val="center"/>
                        <w:hideMark/>
                      </w:tcPr>
                      <w:p>
                        <w:pPr/>
                      </w:p>
                    </w:tc>
                  </w:tr>
                  <w:tr>
                    <w:trPr>
                      <w:trHeight w:val="20"/>
                    </w:trPr>
                    <w:tc>
                      <w:tcPr>
                        <w:tcW w:w="510" w:type="pct"/>
                        <w:tcBorders>
                          <w:top w:val="nil"/>
                          <w:left w:val="single" w:sz="8" w:space="0" w:color="auto"/>
                          <w:bottom w:val="single" w:sz="8" w:space="0" w:color="auto"/>
                          <w:right w:val="single" w:sz="8" w:space="0" w:color="auto"/>
                        </w:tcBorders>
                        <w:shd w:val="clear" w:color="auto" w:fill="FFFFFF" w:themeFill="background1"/>
                        <w:hideMark/>
                      </w:tcPr>
                      <w:p>
                        <w:pPr/>
                        <w:r>
                          <w:t>1.14.4.</w:t>
                        </w:r>
                      </w:p>
                    </w:tc>
                    <w:tc>
                      <w:tcPr>
                        <w:tcW w:w="2595" w:type="pct"/>
                        <w:tcBorders>
                          <w:top w:val="nil"/>
                          <w:left w:val="nil"/>
                          <w:bottom w:val="single" w:sz="8" w:space="0" w:color="auto"/>
                          <w:right w:val="single" w:sz="8" w:space="0" w:color="auto"/>
                        </w:tcBorders>
                        <w:shd w:val="clear" w:color="auto" w:fill="FFFFFF" w:themeFill="background1"/>
                        <w:tcMar>
                          <w:top w:w="57" w:type="dxa"/>
                          <w:left w:w="57" w:type="dxa"/>
                          <w:bottom w:w="57" w:type="dxa"/>
                          <w:right w:w="57" w:type="dxa"/>
                        </w:tcMar>
                        <w:hideMark/>
                      </w:tcPr>
                      <w:p>
                        <w:pPr>
                          <w:jc w:val="both"/>
                        </w:pPr>
                        <w:r>
                          <w:t xml:space="preserve">Kraujo limfocitų atsako į stimuliaciją </w:t>
                        </w:r>
                        <w:r>
                          <w:rPr>
                            <w:i/>
                          </w:rPr>
                          <w:t>Mycobacterium tuberculosis</w:t>
                        </w:r>
                        <w:r>
                          <w:t xml:space="preserve"> antigenais įvertinimas pagal gama interferono išskyrimą </w:t>
                        </w:r>
                      </w:p>
                    </w:tc>
                    <w:tc>
                      <w:tcPr>
                        <w:tcW w:w="1895" w:type="pct"/>
                        <w:vMerge/>
                        <w:tcBorders>
                          <w:top w:val="nil"/>
                          <w:left w:val="nil"/>
                          <w:bottom w:val="single" w:sz="8" w:space="0" w:color="auto"/>
                          <w:right w:val="single" w:sz="8" w:space="0" w:color="auto"/>
                        </w:tcBorders>
                        <w:shd w:val="clear" w:color="auto" w:fill="FFFFFF"/>
                        <w:vAlign w:val="center"/>
                        <w:hideMark/>
                      </w:tcPr>
                      <w:p>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Brangiųjų procedūrų grupės:</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2.1.</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Hiperbarinė oksigenacija</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2.2.</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Gydomoji kraujo gravitacinė chirurgija</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r>
                    <w:trPr>
                      <w:trHeight w:val="20"/>
                    </w:trPr>
                    <w:tc>
                      <w:tcPr>
                        <w:tcW w:w="510" w:type="pct"/>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r>
                          <w:t>2.3.</w:t>
                        </w:r>
                      </w:p>
                    </w:tc>
                    <w:tc>
                      <w:tcPr>
                        <w:tcW w:w="25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hideMark/>
                      </w:tcPr>
                      <w:p>
                        <w:pPr>
                          <w:jc w:val="both"/>
                        </w:pPr>
                        <w:r>
                          <w:rPr>
                            <w:shd w:val="clear" w:color="auto" w:fill="FFFFFF"/>
                          </w:rPr>
                          <w:t>Paprastoji hemodializė</w:t>
                        </w:r>
                      </w:p>
                    </w:tc>
                    <w:tc>
                      <w:tcPr>
                        <w:tcW w:w="1895" w:type="pct"/>
                        <w:tcBorders>
                          <w:top w:val="nil"/>
                          <w:left w:val="nil"/>
                          <w:bottom w:val="single" w:sz="8" w:space="0" w:color="000000" w:themeColor="text1"/>
                          <w:right w:val="single" w:sz="8" w:space="0" w:color="000000" w:themeColor="text1"/>
                        </w:tcBorders>
                        <w:shd w:val="clear" w:color="auto" w:fill="FFFFFF" w:themeFill="background1"/>
                        <w:tcMar>
                          <w:top w:w="57" w:type="dxa"/>
                          <w:left w:w="57" w:type="dxa"/>
                          <w:bottom w:w="57" w:type="dxa"/>
                          <w:right w:w="57" w:type="dxa"/>
                        </w:tcMar>
                      </w:tcPr>
                      <w:p>
                        <w:pPr>
                          <w:jc w:val="both"/>
                        </w:pPr>
                      </w:p>
                    </w:tc>
                  </w:tr>
                </w:tbl>
                <w:p>
                  <w:pPr/>
                </w:p>
              </w:sdtContent>
            </w:sdt>
            <w:sdt>
              <w:sdtPr>
                <w:alias w:val="3 p."/>
                <w:tag w:val="part_88f6e173a06149abb800e8a594c9f2ff"/>
                <w:lock w:val="sdtLocked"/>
                <w:richText/>
              </w:sdtPr>
              <w:sdtContent>
                <w:p>
                  <w:pPr>
                    <w:ind w:firstLine="851"/>
                    <w:jc w:val="both"/>
                    <w:rPr>
                      <w:szCs w:val="24"/>
                      <w:shd w:val="clear" w:color="auto" w:fill="FFFFFF"/>
                      <w:lang w:eastAsia="lt-LT"/>
                    </w:rPr>
                  </w:pPr>
                  <w:sdt>
                    <w:sdtPr>
                      <w:alias w:val="Numeris"/>
                      <w:tag w:val="nr_88f6e173a06149abb800e8a594c9f2ff"/>
                      <w:lock w:val="sdtLocked"/>
                      <w:richText/>
                    </w:sdtPr>
                    <w:sdtContent>
                      <w:r>
                        <w:rPr>
                          <w:color w:val="000000"/>
                          <w:szCs w:val="24"/>
                          <w:lang w:eastAsia="lt-LT"/>
                        </w:rPr>
                        <w:t>3</w:t>
                      </w:r>
                    </w:sdtContent>
                  </w:sdt>
                  <w:r>
                    <w:rPr>
                      <w:color w:val="000000"/>
                      <w:szCs w:val="24"/>
                      <w:lang w:eastAsia="lt-LT"/>
                    </w:rPr>
                    <w:t xml:space="preserve">. </w:t>
                  </w:r>
                  <w:r>
                    <w:rPr>
                      <w:szCs w:val="24"/>
                      <w:shd w:val="clear" w:color="auto" w:fill="FFFFFF"/>
                      <w:lang w:eastAsia="lt-LT"/>
                    </w:rPr>
                    <w:t>Brangieji tyrimai ir procedūros, atliekami vadovaujantis Aprašu, apmokami pagal bazines kainas, nustatytas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w:t>
                  </w:r>
                </w:p>
              </w:sdtContent>
            </w:sdt>
            <w:sdt>
              <w:sdtPr>
                <w:alias w:val="4 p."/>
                <w:tag w:val="part_b24a1db1b12a41a8a286ddf91617663b"/>
                <w:lock w:val="sdtLocked"/>
                <w:richText/>
              </w:sdtPr>
              <w:sdtContent>
                <w:p>
                  <w:pPr>
                    <w:ind w:firstLine="851"/>
                    <w:jc w:val="both"/>
                    <w:rPr>
                      <w:szCs w:val="24"/>
                      <w:shd w:val="clear" w:color="auto" w:fill="FFFFFF"/>
                      <w:lang w:eastAsia="lt-LT"/>
                    </w:rPr>
                  </w:pPr>
                  <w:sdt>
                    <w:sdtPr>
                      <w:alias w:val="Numeris"/>
                      <w:tag w:val="nr_b24a1db1b12a41a8a286ddf91617663b"/>
                      <w:lock w:val="sdtLocked"/>
                      <w:richText/>
                    </w:sdtPr>
                    <w:sdtContent>
                      <w:r>
                        <w:rPr>
                          <w:color w:val="000000"/>
                        </w:rPr>
                        <w:t>4</w:t>
                      </w:r>
                    </w:sdtContent>
                  </w:sdt>
                  <w:r>
                    <w:rPr>
                      <w:color w:val="000000"/>
                    </w:rPr>
                    <w:t xml:space="preserve">. Iš PSDF biudžeto lėšų </w:t>
                  </w:r>
                  <w:r>
                    <w:t xml:space="preserve">Valstybinė ligonių kasa prie Sveikatos apsaugos ministerijos (toliau – VLK) </w:t>
                  </w:r>
                  <w:r>
                    <w:rPr>
                      <w:color w:val="000000"/>
                    </w:rPr>
                    <w:t>moka asmens sveikatos priežiūros įstaigoms (toliau – ASPĮ) už atliktus brangiuosius tyrimus ir procedūras, atitinkančius Lietuvos Respublikos teisės aktų nustatytus paslaugų teikimo reikalavimus.</w:t>
                  </w:r>
                  <w:r>
                    <w:t xml:space="preserve"> </w:t>
                  </w:r>
                </w:p>
              </w:sdtContent>
            </w:sdt>
            <w:sdt>
              <w:sdtPr>
                <w:alias w:val="5 p."/>
                <w:tag w:val="part_aa37b5a3035e4cfb82cd6882aff1bcb4"/>
                <w:lock w:val="sdtLocked"/>
                <w:richText/>
              </w:sdtPr>
              <w:sdtContent>
                <w:p>
                  <w:pPr>
                    <w:ind w:firstLine="851"/>
                    <w:jc w:val="both"/>
                    <w:rPr>
                      <w:szCs w:val="24"/>
                      <w:shd w:val="clear" w:color="auto" w:fill="FFFFFF"/>
                      <w:lang w:eastAsia="lt-LT"/>
                    </w:rPr>
                  </w:pPr>
                  <w:sdt>
                    <w:sdtPr>
                      <w:alias w:val="Numeris"/>
                      <w:tag w:val="nr_aa37b5a3035e4cfb82cd6882aff1bcb4"/>
                      <w:lock w:val="sdtLocked"/>
                      <w:richText/>
                    </w:sdtPr>
                    <w:sdtContent>
                      <w:r>
                        <w:rPr>
                          <w:color w:val="000000"/>
                          <w:szCs w:val="24"/>
                          <w:lang w:eastAsia="lt-LT"/>
                        </w:rPr>
                        <w:t>5</w:t>
                      </w:r>
                    </w:sdtContent>
                  </w:sdt>
                  <w:r>
                    <w:rPr>
                      <w:color w:val="000000"/>
                      <w:szCs w:val="24"/>
                      <w:lang w:eastAsia="lt-LT"/>
                    </w:rPr>
                    <w:t xml:space="preserve">. </w:t>
                  </w:r>
                  <w:r>
                    <w:rPr>
                      <w:szCs w:val="24"/>
                      <w:lang w:eastAsia="lt-LT"/>
                    </w:rPr>
                    <w:t xml:space="preserve">Siuntimus atlikti brangiuosius tyrimus ir procedūras, apmokamus PSDF biudžeto lėšomis, gali išduoti gydytojai specialistai ir gydytojai odontologai specialistai sveikatos apsaugos ministro nustatyta tvarka. Siuntimą atlikti smilkininio apatinio žandikaulio sąnario magnetinio rezonanso tomografijos tyrimą, apmokamą PSDF biudžeto lėšomis, gali išduoti ir gydytojai odontologai, teikiantys antrinio lygio ambulatorines odontologinės priežiūros (pagalbos) paslaugas. Jeigu siuntimą išdavęs gydytojas nurodo, kad jam turi būti pateikta (-os) radiologinio tyrimo vaizdo (-ų) kopija (-os), tyrimą atlikęs gydytojas pateikia siuntusiajam gydytojui radiologinio tyrimo aprašymą kartu su radiologinio tyrimo vaizdo (-ų) kopija (-omis) ir daro tai patvirtinantį įrašą </w:t>
                  </w:r>
                  <w:r>
                    <w:rPr>
                      <w:color w:val="000000"/>
                      <w:szCs w:val="24"/>
                      <w:shd w:val="clear" w:color="auto" w:fill="FFFFFF"/>
                      <w:lang w:eastAsia="lt-LT"/>
                    </w:rPr>
                    <w:t>Elektroninėje sveikatos paslaugų ir bendradarbiavimo infrastruktūros informacinėje sistemoje tvarkomame elektroniniame medicinos dokumente E025 „Ambulatorinio apsilankymo aprašymas“, nurodytame Elektroninės sveikatos paslaugų ir bendradarbiavimo infrastruktūros informacinės sistemos naudojimo tvarkos apraše, patvirtintame Lietuvos Respublikos sveikatos apsaugos ministro 2015 m. gegužės 26 d. įsakymu Nr. </w:t>
                  </w:r>
                  <w:r>
                    <w:rPr>
                      <w:szCs w:val="24"/>
                      <w:shd w:val="clear" w:color="auto" w:fill="FFFFFF"/>
                      <w:lang w:eastAsia="lt-LT"/>
                    </w:rPr>
                    <w:t>V-657</w:t>
                  </w:r>
                  <w:r>
                    <w:rPr>
                      <w:color w:val="000000"/>
                      <w:szCs w:val="24"/>
                      <w:shd w:val="clear" w:color="auto" w:fill="FFFFFF"/>
                      <w:lang w:eastAsia="lt-LT"/>
                    </w:rPr>
                    <w:t xml:space="preserve"> „Dėl Elektroninės sveikatos paslaugų ir bendradarbiavimo infrastruktūros informacinės sistemos naudojimo tvarkos aprašo patvirtinimo“</w:t>
                  </w:r>
                  <w:r>
                    <w:rPr>
                      <w:szCs w:val="24"/>
                      <w:lang w:eastAsia="lt-LT"/>
                    </w:rPr>
                    <w:t>.</w:t>
                  </w:r>
                </w:p>
              </w:sdtContent>
            </w:sdt>
            <w:sdt>
              <w:sdtPr>
                <w:alias w:val="6 p."/>
                <w:tag w:val="part_accf1710e965441db68884ab25cd4678"/>
                <w:lock w:val="sdtLocked"/>
                <w:richText/>
              </w:sdtPr>
              <w:sdtContent>
                <w:p>
                  <w:pPr>
                    <w:ind w:firstLine="851"/>
                    <w:jc w:val="both"/>
                    <w:rPr>
                      <w:szCs w:val="24"/>
                      <w:shd w:val="clear" w:color="auto" w:fill="FFFFFF"/>
                      <w:lang w:eastAsia="lt-LT"/>
                    </w:rPr>
                  </w:pPr>
                  <w:sdt>
                    <w:sdtPr>
                      <w:alias w:val="Numeris"/>
                      <w:tag w:val="nr_accf1710e965441db68884ab25cd4678"/>
                      <w:lock w:val="sdtLocked"/>
                      <w:richText/>
                    </w:sdtPr>
                    <w:sdtContent>
                      <w:r>
                        <w:rPr>
                          <w:color w:val="000000"/>
                          <w:szCs w:val="24"/>
                          <w:lang w:eastAsia="lt-LT"/>
                        </w:rPr>
                        <w:t>6</w:t>
                      </w:r>
                    </w:sdtContent>
                  </w:sdt>
                  <w:r>
                    <w:rPr>
                      <w:color w:val="000000"/>
                      <w:szCs w:val="24"/>
                      <w:lang w:eastAsia="lt-LT"/>
                    </w:rPr>
                    <w:t xml:space="preserve">. </w:t>
                  </w:r>
                  <w:r>
                    <w:rPr>
                      <w:szCs w:val="24"/>
                      <w:lang w:eastAsia="lt-LT"/>
                    </w:rPr>
                    <w:t>Apraše vartojama sąvoka „epizodas“ yra suprantama taip, kaip ji apibrėžta Formos Nr. 025/a-LK „Asmens ambulatorinio gydymo statistinė kortelė“ pildymo, pateikimo ir tikslinimo taisyklėse, patvirtintose Lietuvos Respublikos sveikatos apsaugos ministro 1998 m. lapkričio 26 d. įsakymu Nr. 687 „Dėl medicininės apskaitos dokumentų formų tvirtinimo“.</w:t>
                  </w:r>
                </w:p>
                <w:p>
                  <w:pPr>
                    <w:jc w:val="both"/>
                    <w:rPr>
                      <w:szCs w:val="24"/>
                      <w:shd w:val="clear" w:color="auto" w:fill="FFFFFF"/>
                      <w:lang w:eastAsia="lt-LT"/>
                    </w:rPr>
                  </w:pPr>
                </w:p>
              </w:sdtContent>
            </w:sdt>
          </w:sdtContent>
        </w:sdt>
        <w:sdt>
          <w:sdtPr>
            <w:alias w:val="skyrius"/>
            <w:tag w:val="part_ee8d8ff178094a96b1a8db05c8e8d1d5"/>
            <w:lock w:val="sdtLocked"/>
            <w:richText/>
          </w:sdtPr>
          <w:sdtContent>
            <w:p>
              <w:pPr>
                <w:jc w:val="center"/>
                <w:rPr>
                  <w:b/>
                  <w:color w:val="000000"/>
                  <w:lang w:eastAsia="lt-LT"/>
                </w:rPr>
              </w:pPr>
              <w:sdt>
                <w:sdtPr>
                  <w:alias w:val="Numeris"/>
                  <w:tag w:val="nr_ee8d8ff178094a96b1a8db05c8e8d1d5"/>
                  <w:lock w:val="sdtLocked"/>
                  <w:richText/>
                </w:sdtPr>
                <w:sdtContent>
                  <w:r>
                    <w:rPr>
                      <w:b/>
                      <w:color w:val="000000"/>
                      <w:lang w:eastAsia="lt-LT"/>
                    </w:rPr>
                    <w:t>II</w:t>
                  </w:r>
                </w:sdtContent>
              </w:sdt>
              <w:r>
                <w:rPr>
                  <w:b/>
                  <w:color w:val="000000"/>
                  <w:lang w:eastAsia="lt-LT"/>
                </w:rPr>
                <w:t xml:space="preserve"> SKYRIUS</w:t>
              </w:r>
            </w:p>
            <w:p>
              <w:pPr>
                <w:jc w:val="center"/>
                <w:rPr>
                  <w:b/>
                  <w:color w:val="000000"/>
                  <w:lang w:eastAsia="lt-LT"/>
                </w:rPr>
              </w:pPr>
              <w:sdt>
                <w:sdtPr>
                  <w:alias w:val="Pavadinimas"/>
                  <w:tag w:val="title_ee8d8ff178094a96b1a8db05c8e8d1d5"/>
                  <w:lock w:val="sdtLocked"/>
                  <w:richText/>
                </w:sdtPr>
                <w:sdtContent>
                  <w:r>
                    <w:rPr>
                      <w:b/>
                      <w:color w:val="000000"/>
                      <w:lang w:eastAsia="lt-LT"/>
                    </w:rPr>
                    <w:t>APMOKĖJIMO TVARKA</w:t>
                  </w:r>
                </w:sdtContent>
              </w:sdt>
            </w:p>
            <w:p>
              <w:pPr>
                <w:widowControl w:val="0"/>
                <w:suppressAutoHyphens/>
                <w:jc w:val="both"/>
                <w:rPr>
                  <w:color w:val="000000"/>
                  <w:szCs w:val="24"/>
                  <w:lang w:eastAsia="lt-LT"/>
                </w:rPr>
              </w:pPr>
            </w:p>
            <w:sdt>
              <w:sdtPr>
                <w:alias w:val="7 p."/>
                <w:tag w:val="part_79bb700c18724fc1b5d849397ba8e617"/>
                <w:lock w:val="sdtLocked"/>
                <w:richText/>
              </w:sdtPr>
              <w:sdtContent>
                <w:p>
                  <w:pPr>
                    <w:ind w:firstLine="851"/>
                    <w:jc w:val="both"/>
                    <w:rPr>
                      <w:shd w:val="clear" w:color="auto" w:fill="FFFFFF"/>
                      <w:lang w:eastAsia="lt-LT"/>
                    </w:rPr>
                  </w:pPr>
                  <w:sdt>
                    <w:sdtPr>
                      <w:alias w:val="Numeris"/>
                      <w:tag w:val="nr_79bb700c18724fc1b5d849397ba8e617"/>
                      <w:lock w:val="sdtLocked"/>
                      <w:richText/>
                    </w:sdtPr>
                    <w:sdtContent>
                      <w:r>
                        <w:rPr>
                          <w:color w:val="000000"/>
                        </w:rPr>
                        <w:t>7</w:t>
                      </w:r>
                    </w:sdtContent>
                  </w:sdt>
                  <w:r>
                    <w:rPr>
                      <w:color w:val="000000"/>
                    </w:rPr>
                    <w:t xml:space="preserve">. VLK </w:t>
                  </w:r>
                  <w:r>
                    <w:rPr>
                      <w:shd w:val="clear" w:color="auto" w:fill="FFFFFF"/>
                      <w:lang w:eastAsia="lt-LT"/>
                    </w:rPr>
                    <w:t xml:space="preserve">metines lėšas, skirtas brangiesiems tyrimams ir procedūroms apmokėti, paskirsto pagal sveikatos apsaugos ministro patvirtintus ASPĮ skiriamų metinių lėšų kompensuojamosioms paslaugoms apmokėti planavimo tvarkos aprašus. </w:t>
                  </w:r>
                  <w:r>
                    <w:rPr>
                      <w:lang w:eastAsia="lt-LT"/>
                    </w:rPr>
                    <w:t>Nustatyta planuojama skirti šalies mastu metinių lėšų suma (eurais) kiekvienos grupės brangiesiems tyrimams ir procedūroms</w:t>
                  </w:r>
                  <w:r>
                    <w:rPr>
                      <w:shd w:val="clear" w:color="auto" w:fill="FFFFFF"/>
                      <w:lang w:eastAsia="lt-LT"/>
                    </w:rPr>
                    <w:t xml:space="preserve"> paskirstoma kiekvienai ASPĮ pagal Aprašo 2 punkte nurodytas brangiųjų tyrimų ir procedūrų grupes.</w:t>
                  </w:r>
                </w:p>
              </w:sdtContent>
            </w:sdt>
            <w:sdt>
              <w:sdtPr>
                <w:alias w:val="8 p."/>
                <w:tag w:val="part_6609b163ca1e4a628096698a125dc94e"/>
                <w:lock w:val="sdtLocked"/>
                <w:richText/>
              </w:sdtPr>
              <w:sdtContent>
                <w:p>
                  <w:pPr>
                    <w:ind w:firstLine="851"/>
                    <w:jc w:val="both"/>
                    <w:rPr>
                      <w:shd w:val="clear" w:color="auto" w:fill="FFFFFF"/>
                      <w:lang w:eastAsia="lt-LT"/>
                    </w:rPr>
                  </w:pPr>
                  <w:sdt>
                    <w:sdtPr>
                      <w:alias w:val="Numeris"/>
                      <w:tag w:val="nr_6609b163ca1e4a628096698a125dc94e"/>
                      <w:lock w:val="sdtLocked"/>
                      <w:richText/>
                    </w:sdtPr>
                    <w:sdtContent>
                      <w:r>
                        <w:rPr>
                          <w:color w:val="000000"/>
                          <w:szCs w:val="24"/>
                          <w:lang w:eastAsia="lt-LT"/>
                        </w:rPr>
                        <w:t>8</w:t>
                      </w:r>
                    </w:sdtContent>
                  </w:sdt>
                  <w:r>
                    <w:rPr>
                      <w:color w:val="000000"/>
                      <w:szCs w:val="24"/>
                      <w:lang w:eastAsia="lt-LT"/>
                    </w:rPr>
                    <w:t xml:space="preserve">. </w:t>
                  </w:r>
                  <w:r>
                    <w:rPr>
                      <w:shd w:val="clear" w:color="auto" w:fill="FFFFFF"/>
                    </w:rPr>
                    <w:t>Brangieji tyrimai ir procedūros, apmokami PSDF biudžeto lėšomis, priskiriami dviem skirtingoms apmokėjimo kategorijoms:</w:t>
                  </w:r>
                </w:p>
                <w:sdt>
                  <w:sdtPr>
                    <w:alias w:val="8.1 pp."/>
                    <w:tag w:val="part_92af2b90936c40b1a86d4ecb53a93ae9"/>
                    <w:lock w:val="sdtLocked"/>
                    <w:richText/>
                  </w:sdtPr>
                  <w:sdtContent>
                    <w:p>
                      <w:pPr>
                        <w:ind w:firstLine="851"/>
                        <w:jc w:val="both"/>
                        <w:rPr>
                          <w:szCs w:val="24"/>
                          <w:shd w:val="clear" w:color="auto" w:fill="FFFFFF"/>
                          <w:lang w:eastAsia="lt-LT"/>
                        </w:rPr>
                      </w:pPr>
                      <w:sdt>
                        <w:sdtPr>
                          <w:alias w:val="Numeris"/>
                          <w:tag w:val="nr_92af2b90936c40b1a86d4ecb53a93ae9"/>
                          <w:lock w:val="sdtLocked"/>
                          <w:richText/>
                        </w:sdtPr>
                        <w:sdtContent>
                          <w:r>
                            <w:rPr>
                              <w:szCs w:val="24"/>
                              <w:lang w:eastAsia="lt-LT"/>
                            </w:rPr>
                            <w:t>8.1</w:t>
                          </w:r>
                        </w:sdtContent>
                      </w:sdt>
                      <w:r>
                        <w:rPr>
                          <w:szCs w:val="24"/>
                          <w:lang w:eastAsia="lt-LT"/>
                        </w:rPr>
                        <w:t xml:space="preserve">. </w:t>
                      </w:r>
                      <w:r>
                        <w:rPr>
                          <w:szCs w:val="24"/>
                          <w:shd w:val="clear" w:color="auto" w:fill="FFFFFF"/>
                          <w:lang w:eastAsia="lt-LT"/>
                        </w:rPr>
                        <w:t>pirmajai apmokėjimo kategorijai priskiriami brangieji tyrimai ir procedūros, nurodyti Aprašo 2 punkto lentelės 1.2, 1.4–1.14 papunkčiuose ir 2 punkte;</w:t>
                      </w:r>
                    </w:p>
                  </w:sdtContent>
                </w:sdt>
                <w:sdt>
                  <w:sdtPr>
                    <w:alias w:val="8.2 pp."/>
                    <w:tag w:val="part_274f415140e54fd7858563d8e5202d49"/>
                    <w:lock w:val="sdtLocked"/>
                    <w:richText/>
                  </w:sdtPr>
                  <w:sdtContent>
                    <w:p>
                      <w:pPr>
                        <w:ind w:firstLine="851"/>
                        <w:jc w:val="both"/>
                        <w:rPr>
                          <w:szCs w:val="24"/>
                          <w:shd w:val="clear" w:color="auto" w:fill="FFFFFF"/>
                          <w:lang w:eastAsia="lt-LT"/>
                        </w:rPr>
                      </w:pPr>
                      <w:sdt>
                        <w:sdtPr>
                          <w:alias w:val="Numeris"/>
                          <w:tag w:val="nr_274f415140e54fd7858563d8e5202d49"/>
                          <w:lock w:val="sdtLocked"/>
                          <w:richText/>
                        </w:sdtPr>
                        <w:sdtContent>
                          <w:r>
                            <w:rPr>
                              <w:szCs w:val="24"/>
                              <w:lang w:eastAsia="lt-LT"/>
                            </w:rPr>
                            <w:t>8.2</w:t>
                          </w:r>
                        </w:sdtContent>
                      </w:sdt>
                      <w:r>
                        <w:rPr>
                          <w:szCs w:val="24"/>
                          <w:lang w:eastAsia="lt-LT"/>
                        </w:rPr>
                        <w:t xml:space="preserve">. </w:t>
                      </w:r>
                      <w:r>
                        <w:rPr>
                          <w:szCs w:val="24"/>
                          <w:shd w:val="clear" w:color="auto" w:fill="FFFFFF"/>
                          <w:lang w:eastAsia="lt-LT"/>
                        </w:rPr>
                        <w:t>antrajai apmokėjimo kategorijai priskiriami brangieji tyrimai ir procedūros, nurodyti Aprašo 2 punkto lentelės 1.1 ir 1.3 papunkčiuose.</w:t>
                      </w:r>
                    </w:p>
                  </w:sdtContent>
                </w:sdt>
              </w:sdtContent>
            </w:sdt>
            <w:sdt>
              <w:sdtPr>
                <w:alias w:val="9 p."/>
                <w:tag w:val="part_a25c7fe256cd46ad85ce677160a33798"/>
                <w:lock w:val="sdtLocked"/>
                <w:richText/>
              </w:sdtPr>
              <w:sdtContent>
                <w:p>
                  <w:pPr>
                    <w:ind w:firstLine="851"/>
                    <w:jc w:val="both"/>
                    <w:rPr>
                      <w:shd w:val="clear" w:color="auto" w:fill="FFFFFF"/>
                    </w:rPr>
                  </w:pPr>
                  <w:sdt>
                    <w:sdtPr>
                      <w:alias w:val="Numeris"/>
                      <w:tag w:val="nr_a25c7fe256cd46ad85ce677160a33798"/>
                      <w:lock w:val="sdtLocked"/>
                      <w:richText/>
                    </w:sdtPr>
                    <w:sdtContent>
                      <w:r>
                        <w:rPr>
                          <w:color w:val="000000"/>
                          <w:szCs w:val="24"/>
                        </w:rPr>
                        <w:t>9</w:t>
                      </w:r>
                    </w:sdtContent>
                  </w:sdt>
                  <w:r>
                    <w:rPr>
                      <w:color w:val="000000"/>
                      <w:szCs w:val="24"/>
                    </w:rPr>
                    <w:t xml:space="preserve">. </w:t>
                  </w:r>
                  <w:r>
                    <w:rPr>
                      <w:shd w:val="clear" w:color="auto" w:fill="FFFFFF"/>
                    </w:rPr>
                    <w:t xml:space="preserve">ASPĮ </w:t>
                  </w:r>
                  <w:r>
                    <w:t>kiekvieną mėnesį mokama už ataskaitinį laikotarpį (praėjusį kalendorinį mėnesį) atliktus brangiuosius tyrimus ir procedūras. Mokama suma už tam tikros grupės brangiuosius tyrimus ir procedūras negali viršyti 1/12 planuojamosios metinės sumos tos grupės brangiesiems tyrimams ir procedūroms apmokėti, išskyrus atvejus, kai atitinkamos grupės brangiesiems tyrimams ir procedūroms apmokėti naudojamos numatytos, bet einamųjų metų ankstesniais mėnesiais nepanaudotos lėšos.</w:t>
                  </w:r>
                </w:p>
              </w:sdtContent>
            </w:sdt>
            <w:sdt>
              <w:sdtPr>
                <w:alias w:val="10 p."/>
                <w:tag w:val="part_cd2c7040d09f471abfc54dfebe883c5b"/>
                <w:lock w:val="sdtLocked"/>
                <w:richText/>
              </w:sdtPr>
              <w:sdtContent>
                <w:p>
                  <w:pPr>
                    <w:ind w:firstLine="851"/>
                    <w:jc w:val="both"/>
                    <w:rPr>
                      <w:shd w:val="clear" w:color="auto" w:fill="FFFFFF"/>
                    </w:rPr>
                  </w:pPr>
                  <w:sdt>
                    <w:sdtPr>
                      <w:alias w:val="Numeris"/>
                      <w:tag w:val="nr_cd2c7040d09f471abfc54dfebe883c5b"/>
                      <w:lock w:val="sdtLocked"/>
                      <w:richText/>
                    </w:sdtPr>
                    <w:sdtContent>
                      <w:r>
                        <w:rPr>
                          <w:color w:val="000000"/>
                          <w:szCs w:val="24"/>
                        </w:rPr>
                        <w:t>10</w:t>
                      </w:r>
                    </w:sdtContent>
                  </w:sdt>
                  <w:r>
                    <w:rPr>
                      <w:color w:val="000000"/>
                      <w:szCs w:val="24"/>
                    </w:rPr>
                    <w:t xml:space="preserve">. </w:t>
                  </w:r>
                  <w:r>
                    <w:rPr>
                      <w:shd w:val="clear" w:color="auto" w:fill="FFFFFF"/>
                    </w:rPr>
                    <w:t xml:space="preserve">Jeigu mokėtina lėšų suma už ataskaitiniu laikotarpiu atliktus </w:t>
                  </w:r>
                  <w:r>
                    <w:t xml:space="preserve">atitinkamos grupės </w:t>
                  </w:r>
                  <w:r>
                    <w:rPr>
                      <w:shd w:val="clear" w:color="auto" w:fill="FFFFFF"/>
                    </w:rPr>
                    <w:t>brangiuosius tyrimus ir procedūras yra mažesnė nei 1/12 planuojamosios metinės sumos šiems tyrimams ir procedūroms apmokėti, lėšų likutis naudojamas tų pačių sutartinių metų kitu ataskaitiniu laikotarpiu atliktiems tos pačios grupės brangiesiems tyrimams ir procedūroms apmokėti.</w:t>
                  </w:r>
                </w:p>
              </w:sdtContent>
            </w:sdt>
            <w:sdt>
              <w:sdtPr>
                <w:alias w:val="11 p."/>
                <w:tag w:val="part_b468599435244ea3a354a3ae682c8f84"/>
                <w:lock w:val="sdtLocked"/>
                <w:richText/>
              </w:sdtPr>
              <w:sdtContent>
                <w:p>
                  <w:pPr>
                    <w:ind w:firstLine="851"/>
                    <w:jc w:val="both"/>
                    <w:rPr>
                      <w:shd w:val="clear" w:color="auto" w:fill="FFFFFF"/>
                    </w:rPr>
                  </w:pPr>
                  <w:sdt>
                    <w:sdtPr>
                      <w:alias w:val="Numeris"/>
                      <w:tag w:val="nr_b468599435244ea3a354a3ae682c8f84"/>
                      <w:lock w:val="sdtLocked"/>
                      <w:richText/>
                    </w:sdtPr>
                    <w:sdtContent>
                      <w:r>
                        <w:rPr>
                          <w:color w:val="000000"/>
                          <w:szCs w:val="24"/>
                        </w:rPr>
                        <w:t>11</w:t>
                      </w:r>
                    </w:sdtContent>
                  </w:sdt>
                  <w:r>
                    <w:rPr>
                      <w:color w:val="000000"/>
                      <w:szCs w:val="24"/>
                    </w:rPr>
                    <w:t xml:space="preserve">. </w:t>
                  </w:r>
                  <w:r>
                    <w:rPr>
                      <w:shd w:val="clear" w:color="auto" w:fill="FFFFFF"/>
                    </w:rPr>
                    <w:t>Pasibaigus einamųjų metų I, II ar III ketvirčiui apmokami, jeigu leidžia PSDF biudžeto galimybės, visi atitinkamą ketvirtį atlikti brangieji tyrimai ir procedūros, priskiriami pirmajai apmokėjimo kategorijai.</w:t>
                  </w:r>
                </w:p>
              </w:sdtContent>
            </w:sdt>
            <w:sdt>
              <w:sdtPr>
                <w:alias w:val="12 p."/>
                <w:tag w:val="part_7b19a1c19f1140afaa10d761810bf9eb"/>
                <w:lock w:val="sdtLocked"/>
                <w:richText/>
              </w:sdtPr>
              <w:sdtContent>
                <w:p>
                  <w:pPr>
                    <w:ind w:firstLine="851"/>
                    <w:jc w:val="both"/>
                    <w:rPr>
                      <w:shd w:val="clear" w:color="auto" w:fill="FFFFFF"/>
                    </w:rPr>
                  </w:pPr>
                  <w:sdt>
                    <w:sdtPr>
                      <w:alias w:val="Numeris"/>
                      <w:tag w:val="nr_7b19a1c19f1140afaa10d761810bf9eb"/>
                      <w:lock w:val="sdtLocked"/>
                      <w:richText/>
                    </w:sdtPr>
                    <w:sdtContent>
                      <w:r>
                        <w:rPr>
                          <w:color w:val="000000"/>
                          <w:szCs w:val="24"/>
                        </w:rPr>
                        <w:t>12</w:t>
                      </w:r>
                    </w:sdtContent>
                  </w:sdt>
                  <w:r>
                    <w:rPr>
                      <w:color w:val="000000"/>
                      <w:szCs w:val="24"/>
                    </w:rPr>
                    <w:t xml:space="preserve">. </w:t>
                  </w:r>
                  <w:r>
                    <w:rPr>
                      <w:shd w:val="clear" w:color="auto" w:fill="FFFFFF"/>
                    </w:rPr>
                    <w:t>Jeigu</w:t>
                  </w:r>
                  <w:r>
                    <w:rPr>
                      <w:b/>
                      <w:bCs/>
                      <w:shd w:val="clear" w:color="auto" w:fill="FFFFFF"/>
                    </w:rPr>
                    <w:t xml:space="preserve"> </w:t>
                  </w:r>
                  <w:r>
                    <w:rPr>
                      <w:shd w:val="clear" w:color="auto" w:fill="FFFFFF"/>
                    </w:rPr>
                    <w:t>pasibaigus einamųjų metų I, II ar III ketvirčiui PSDF biudžeto galimybės neleidžia apmokėti atitinkamą ketvirtį atliktų visų</w:t>
                  </w:r>
                  <w:r>
                    <w:t xml:space="preserve"> pirmajai apmokėjimo kategorijai priskiriamų brangiųjų tyrimų ir procedūrų, konkrečiai </w:t>
                  </w:r>
                  <w:r>
                    <w:rPr>
                      <w:shd w:val="clear" w:color="auto" w:fill="FFFFFF"/>
                    </w:rPr>
                    <w:t>ASPĮ mokėtina suma už viršsutartinius kiekvienos grupės brangiuosius tyrimus ir procedūras, priskiriamus pirmajai apmokėjimo kategorijai, mažinama proporcingai šiems viršsutartiniams tyrimams ir procedūroms skiriamai lėšų sumai.</w:t>
                  </w:r>
                </w:p>
              </w:sdtContent>
            </w:sdt>
            <w:sdt>
              <w:sdtPr>
                <w:alias w:val="13 p."/>
                <w:tag w:val="part_084598d2baab43708c0cc6dc4885f061"/>
                <w:lock w:val="sdtLocked"/>
                <w:richText/>
              </w:sdtPr>
              <w:sdtContent>
                <w:p>
                  <w:pPr>
                    <w:ind w:firstLine="851"/>
                    <w:jc w:val="both"/>
                  </w:pPr>
                  <w:sdt>
                    <w:sdtPr>
                      <w:alias w:val="Numeris"/>
                      <w:tag w:val="nr_084598d2baab43708c0cc6dc4885f061"/>
                      <w:lock w:val="sdtLocked"/>
                      <w:richText/>
                    </w:sdtPr>
                    <w:sdtContent>
                      <w:r>
                        <w:rPr>
                          <w:color w:val="000000"/>
                          <w:szCs w:val="24"/>
                        </w:rPr>
                        <w:t>13</w:t>
                      </w:r>
                    </w:sdtContent>
                  </w:sdt>
                  <w:r>
                    <w:rPr>
                      <w:color w:val="000000"/>
                      <w:szCs w:val="24"/>
                    </w:rPr>
                    <w:t xml:space="preserve">. </w:t>
                  </w:r>
                  <w:r>
                    <w:t>Apmokėjus pirmajai apmokėjimo kategorijai priskiriamus brangiuosius tyrimus ir procedūras Aprašo 11 punkte nustatyta tvarka, apmokami, jei leidžia PSDF biudžeto galimybės, antrajai apmokėjimo kategorijai priskiriami brangieji tyrimai ir procedūros, kurių I, II ar III ketvirtį buvo suteikta daugiau, nei buvo planuojama.</w:t>
                  </w:r>
                </w:p>
              </w:sdtContent>
            </w:sdt>
            <w:sdt>
              <w:sdtPr>
                <w:alias w:val="14 p."/>
                <w:tag w:val="part_671cbd98e3a0498187540bf44b49c1d9"/>
                <w:lock w:val="sdtLocked"/>
                <w:richText/>
              </w:sdtPr>
              <w:sdtContent>
                <w:p>
                  <w:pPr>
                    <w:ind w:firstLine="851"/>
                    <w:jc w:val="both"/>
                  </w:pPr>
                  <w:sdt>
                    <w:sdtPr>
                      <w:alias w:val="Numeris"/>
                      <w:tag w:val="nr_671cbd98e3a0498187540bf44b49c1d9"/>
                      <w:lock w:val="sdtLocked"/>
                      <w:richText/>
                    </w:sdtPr>
                    <w:sdtContent>
                      <w:r>
                        <w:rPr>
                          <w:color w:val="000000"/>
                          <w:szCs w:val="24"/>
                        </w:rPr>
                        <w:t>14</w:t>
                      </w:r>
                    </w:sdtContent>
                  </w:sdt>
                  <w:r>
                    <w:rPr>
                      <w:color w:val="000000"/>
                      <w:szCs w:val="24"/>
                    </w:rPr>
                    <w:t xml:space="preserve">. </w:t>
                  </w:r>
                  <w:r>
                    <w:t>Pasibaigus einamųjų metų I, II ar III ketvirčiui, už viršsutartinius kiekvienos grupės brangiuosius tyrimus ir procedūras, priskiriamus antrajai apmokėjimo kategorijai, mokama iki 70 proc. sumos, už kurią tą metų ketvirtį buvo atlikta šių viršsutartinių tyrimų ir procedūrų. Šiame papunktyje nustatyta tvarka mokėtina suma apskaičiuojama nuo sumos, neviršijančios 50 proc. to metų ketvirčio planuojamosios sumos, numatytos atitinkamos grupės brangiesiems tyrimams ir procedūroms, priskiriamiems antrajai apmokėjimo kategorijai, apmokėti.</w:t>
                  </w:r>
                </w:p>
              </w:sdtContent>
            </w:sdt>
            <w:sdt>
              <w:sdtPr>
                <w:alias w:val="15 p."/>
                <w:tag w:val="part_1dedc55086c74b8caf30b54275df0a0d"/>
                <w:lock w:val="sdtLocked"/>
                <w:richText/>
              </w:sdtPr>
              <w:sdtContent>
                <w:p>
                  <w:pPr>
                    <w:ind w:firstLine="851"/>
                    <w:jc w:val="both"/>
                  </w:pPr>
                  <w:sdt>
                    <w:sdtPr>
                      <w:alias w:val="Numeris"/>
                      <w:tag w:val="nr_1dedc55086c74b8caf30b54275df0a0d"/>
                      <w:lock w:val="sdtLocked"/>
                      <w:richText/>
                    </w:sdtPr>
                    <w:sdtContent>
                      <w:r>
                        <w:rPr>
                          <w:color w:val="000000"/>
                          <w:szCs w:val="24"/>
                        </w:rPr>
                        <w:t>15</w:t>
                      </w:r>
                    </w:sdtContent>
                  </w:sdt>
                  <w:r>
                    <w:rPr>
                      <w:color w:val="000000"/>
                      <w:szCs w:val="24"/>
                    </w:rPr>
                    <w:t xml:space="preserve">. </w:t>
                  </w:r>
                  <w:r>
                    <w:t xml:space="preserve">Jei pasibaigus einamųjų metų I, II ar III ketvirčiui PSDF biudžeto galimybės neleidžia apmokėti Aprašo 14 punkte nustatyta tvarka visų atitinkamą ketvirtį atliktų viršsutartinių brangiųjų tyrimų ir procedūrų, priskiriamų antrajai apmokėjimo kategorijai, konkrečiai ASPĮ mokėtina suma už viršsutartinius kiekvienos grupės brangiuosius tyrimus ir procedūras, priskiriamus šiai apmokėjimo kategorijai, mažinama proporcingai šiems viršsutartiniams </w:t>
                  </w:r>
                  <w:r>
                    <w:rPr>
                      <w:shd w:val="clear" w:color="auto" w:fill="FFFFFF"/>
                    </w:rPr>
                    <w:t>tyrimams ir procedūroms skiriamai lėšų sumai</w:t>
                  </w:r>
                  <w:r>
                    <w:t>.</w:t>
                  </w:r>
                </w:p>
              </w:sdtContent>
            </w:sdt>
            <w:sdt>
              <w:sdtPr>
                <w:alias w:val="16 p."/>
                <w:tag w:val="part_d3851559355544e1bb8b205ad67565da"/>
                <w:lock w:val="sdtLocked"/>
                <w:richText/>
              </w:sdtPr>
              <w:sdtContent>
                <w:p>
                  <w:pPr>
                    <w:ind w:firstLine="851"/>
                    <w:jc w:val="both"/>
                    <w:rPr>
                      <w:szCs w:val="24"/>
                      <w:shd w:val="clear" w:color="auto" w:fill="FFFFFF"/>
                      <w:lang w:eastAsia="lt-LT"/>
                    </w:rPr>
                  </w:pPr>
                  <w:sdt>
                    <w:sdtPr>
                      <w:alias w:val="Numeris"/>
                      <w:tag w:val="nr_d3851559355544e1bb8b205ad67565da"/>
                      <w:lock w:val="sdtLocked"/>
                      <w:richText/>
                    </w:sdtPr>
                    <w:sdtContent>
                      <w:r>
                        <w:rPr>
                          <w:color w:val="000000"/>
                          <w:szCs w:val="24"/>
                          <w:lang w:eastAsia="lt-LT"/>
                        </w:rPr>
                        <w:t>16</w:t>
                      </w:r>
                    </w:sdtContent>
                  </w:sdt>
                  <w:r>
                    <w:rPr>
                      <w:color w:val="000000"/>
                      <w:szCs w:val="24"/>
                      <w:lang w:eastAsia="lt-LT"/>
                    </w:rPr>
                    <w:t xml:space="preserve">. </w:t>
                  </w:r>
                  <w:r>
                    <w:rPr>
                      <w:szCs w:val="24"/>
                      <w:shd w:val="clear" w:color="auto" w:fill="FFFFFF"/>
                      <w:lang w:eastAsia="lt-LT"/>
                    </w:rPr>
                    <w:t xml:space="preserve">Pasibaigus einamųjų metų IV ketvirčiui apmokami, jeigu leidžia PSDF biudžeto galimybės, visi per metus atlikti brangieji tyrimai ir procedūros, priskiriami </w:t>
                  </w:r>
                  <w:r>
                    <w:rPr>
                      <w:szCs w:val="24"/>
                      <w:lang w:eastAsia="lt-LT"/>
                    </w:rPr>
                    <w:t xml:space="preserve">pirmajai apmokėjimo </w:t>
                  </w:r>
                  <w:r>
                    <w:rPr>
                      <w:szCs w:val="24"/>
                      <w:shd w:val="clear" w:color="auto" w:fill="FFFFFF"/>
                      <w:lang w:eastAsia="lt-LT"/>
                    </w:rPr>
                    <w:t>kategorijai.</w:t>
                  </w:r>
                </w:p>
              </w:sdtContent>
            </w:sdt>
            <w:sdt>
              <w:sdtPr>
                <w:alias w:val="17 p."/>
                <w:tag w:val="part_9dd32bc3191f487ca9e5d68c258c7d2f"/>
                <w:lock w:val="sdtLocked"/>
                <w:richText/>
              </w:sdtPr>
              <w:sdtContent>
                <w:p>
                  <w:pPr>
                    <w:ind w:firstLine="851"/>
                    <w:jc w:val="both"/>
                    <w:rPr>
                      <w:szCs w:val="24"/>
                      <w:shd w:val="clear" w:color="auto" w:fill="FFFFFF"/>
                      <w:lang w:eastAsia="lt-LT"/>
                    </w:rPr>
                  </w:pPr>
                  <w:sdt>
                    <w:sdtPr>
                      <w:alias w:val="Numeris"/>
                      <w:tag w:val="nr_9dd32bc3191f487ca9e5d68c258c7d2f"/>
                      <w:lock w:val="sdtLocked"/>
                      <w:richText/>
                    </w:sdtPr>
                    <w:sdtContent>
                      <w:r>
                        <w:rPr>
                          <w:color w:val="000000"/>
                          <w:szCs w:val="24"/>
                          <w:lang w:eastAsia="lt-LT"/>
                        </w:rPr>
                        <w:t>17</w:t>
                      </w:r>
                    </w:sdtContent>
                  </w:sdt>
                  <w:r>
                    <w:rPr>
                      <w:color w:val="000000"/>
                      <w:szCs w:val="24"/>
                      <w:lang w:eastAsia="lt-LT"/>
                    </w:rPr>
                    <w:t xml:space="preserve">. </w:t>
                  </w:r>
                  <w:r>
                    <w:rPr>
                      <w:szCs w:val="24"/>
                    </w:rPr>
                    <w:t xml:space="preserve">Jeigu pasibaigus </w:t>
                  </w:r>
                  <w:r>
                    <w:rPr>
                      <w:szCs w:val="24"/>
                      <w:shd w:val="clear" w:color="auto" w:fill="FFFFFF"/>
                      <w:lang w:eastAsia="lt-LT"/>
                    </w:rPr>
                    <w:t xml:space="preserve">einamųjų metų </w:t>
                  </w:r>
                  <w:r>
                    <w:rPr>
                      <w:szCs w:val="24"/>
                    </w:rPr>
                    <w:t xml:space="preserve">IV ketvirčiui PSDF biudžeto galimybės neleidžia apmokėti </w:t>
                  </w:r>
                  <w:r>
                    <w:rPr>
                      <w:szCs w:val="24"/>
                      <w:shd w:val="clear" w:color="auto" w:fill="FFFFFF"/>
                    </w:rPr>
                    <w:t>visų per metus atliktų</w:t>
                  </w:r>
                  <w:r>
                    <w:rPr>
                      <w:szCs w:val="24"/>
                    </w:rPr>
                    <w:t xml:space="preserve"> pirmajai apmokėjimo kategorijai priskiriamų </w:t>
                  </w:r>
                  <w:r>
                    <w:rPr>
                      <w:szCs w:val="24"/>
                      <w:lang w:eastAsia="lt-LT"/>
                    </w:rPr>
                    <w:t>brangiųjų tyrimų ir procedūrų</w:t>
                  </w:r>
                  <w:r>
                    <w:rPr>
                      <w:szCs w:val="24"/>
                    </w:rPr>
                    <w:t xml:space="preserve">, konkrečiai ASPĮ mokėtina suma už </w:t>
                  </w:r>
                  <w:r>
                    <w:rPr>
                      <w:szCs w:val="24"/>
                      <w:lang w:eastAsia="lt-LT"/>
                    </w:rPr>
                    <w:t>viršsutartinius</w:t>
                  </w:r>
                  <w:r>
                    <w:rPr>
                      <w:szCs w:val="24"/>
                    </w:rPr>
                    <w:t xml:space="preserve"> kiekvienos </w:t>
                  </w:r>
                  <w:r>
                    <w:rPr>
                      <w:szCs w:val="24"/>
                      <w:lang w:eastAsia="lt-LT"/>
                    </w:rPr>
                    <w:t>grupės brangiuosius tyrimus ir procedūras, priskiriamus</w:t>
                  </w:r>
                  <w:r>
                    <w:rPr>
                      <w:szCs w:val="24"/>
                    </w:rPr>
                    <w:t xml:space="preserve"> šiai</w:t>
                  </w:r>
                  <w:r>
                    <w:rPr>
                      <w:szCs w:val="24"/>
                      <w:lang w:eastAsia="lt-LT"/>
                    </w:rPr>
                    <w:t xml:space="preserve"> apmokėjimo kategorijai,</w:t>
                  </w:r>
                  <w:r>
                    <w:rPr>
                      <w:szCs w:val="24"/>
                    </w:rPr>
                    <w:t xml:space="preserve"> mažinama proporcingai </w:t>
                  </w:r>
                  <w:r>
                    <w:rPr>
                      <w:szCs w:val="24"/>
                      <w:lang w:eastAsia="lt-LT"/>
                    </w:rPr>
                    <w:t xml:space="preserve">šiems viršsutartiniams </w:t>
                  </w:r>
                  <w:r>
                    <w:rPr>
                      <w:szCs w:val="24"/>
                      <w:shd w:val="clear" w:color="auto" w:fill="FFFFFF"/>
                      <w:lang w:eastAsia="lt-LT"/>
                    </w:rPr>
                    <w:t>tyrimams ir procedūroms skiriamai lėšų sumai</w:t>
                  </w:r>
                  <w:r>
                    <w:rPr>
                      <w:szCs w:val="24"/>
                    </w:rPr>
                    <w:t>.</w:t>
                  </w:r>
                </w:p>
              </w:sdtContent>
            </w:sdt>
            <w:sdt>
              <w:sdtPr>
                <w:alias w:val="18 p."/>
                <w:tag w:val="part_fb81900ce9a54b82997ed85b02c362ae"/>
                <w:lock w:val="sdtLocked"/>
                <w:richText/>
              </w:sdtPr>
              <w:sdtContent>
                <w:p>
                  <w:pPr>
                    <w:ind w:firstLine="851"/>
                    <w:jc w:val="both"/>
                    <w:rPr>
                      <w:szCs w:val="24"/>
                      <w:shd w:val="clear" w:color="auto" w:fill="FFFFFF"/>
                      <w:lang w:eastAsia="lt-LT"/>
                    </w:rPr>
                  </w:pPr>
                  <w:sdt>
                    <w:sdtPr>
                      <w:alias w:val="Numeris"/>
                      <w:tag w:val="nr_fb81900ce9a54b82997ed85b02c362ae"/>
                      <w:lock w:val="sdtLocked"/>
                      <w:richText/>
                    </w:sdtPr>
                    <w:sdtContent>
                      <w:r>
                        <w:rPr>
                          <w:color w:val="000000"/>
                          <w:szCs w:val="24"/>
                          <w:lang w:eastAsia="lt-LT"/>
                        </w:rPr>
                        <w:t>18</w:t>
                      </w:r>
                    </w:sdtContent>
                  </w:sdt>
                  <w:r>
                    <w:rPr>
                      <w:color w:val="000000"/>
                      <w:szCs w:val="24"/>
                      <w:lang w:eastAsia="lt-LT"/>
                    </w:rPr>
                    <w:t xml:space="preserve">. </w:t>
                  </w:r>
                  <w:r>
                    <w:rPr>
                      <w:szCs w:val="24"/>
                      <w:lang w:eastAsia="lt-LT"/>
                    </w:rPr>
                    <w:t>Apmokėjus</w:t>
                  </w:r>
                  <w:r>
                    <w:rPr>
                      <w:szCs w:val="24"/>
                      <w:shd w:val="clear" w:color="auto" w:fill="FFFFFF"/>
                      <w:lang w:eastAsia="lt-LT"/>
                    </w:rPr>
                    <w:t xml:space="preserve"> Aprašo 16 punkte nustatyta tvarka pirmajai apmokėjimo kategorijai priskiriamus brangiuosius tyrimus ir procedūras, apmokami, jei leidžia PSDF biudžeto galimybės, per metus atlikti viršsutartiniai antrajai apmokėjimo kategorijai priskiriami brangieji tyrimai ir procedūros.</w:t>
                  </w:r>
                </w:p>
              </w:sdtContent>
            </w:sdt>
            <w:sdt>
              <w:sdtPr>
                <w:alias w:val="19 p."/>
                <w:tag w:val="part_4d88d625771b476cabfaa1ef0d3b624a"/>
                <w:lock w:val="sdtLocked"/>
                <w:richText/>
              </w:sdtPr>
              <w:sdtContent>
                <w:p>
                  <w:pPr>
                    <w:ind w:firstLine="851"/>
                    <w:jc w:val="both"/>
                    <w:rPr>
                      <w:szCs w:val="24"/>
                      <w:shd w:val="clear" w:color="auto" w:fill="FFFFFF"/>
                      <w:lang w:eastAsia="lt-LT"/>
                    </w:rPr>
                  </w:pPr>
                  <w:sdt>
                    <w:sdtPr>
                      <w:alias w:val="Numeris"/>
                      <w:tag w:val="nr_4d88d625771b476cabfaa1ef0d3b624a"/>
                      <w:lock w:val="sdtLocked"/>
                      <w:richText/>
                    </w:sdtPr>
                    <w:sdtContent>
                      <w:r>
                        <w:rPr>
                          <w:color w:val="000000"/>
                          <w:szCs w:val="24"/>
                          <w:lang w:eastAsia="lt-LT"/>
                        </w:rPr>
                        <w:t>19</w:t>
                      </w:r>
                    </w:sdtContent>
                  </w:sdt>
                  <w:r>
                    <w:rPr>
                      <w:color w:val="000000"/>
                      <w:szCs w:val="24"/>
                      <w:lang w:eastAsia="lt-LT"/>
                    </w:rPr>
                    <w:t xml:space="preserve">. </w:t>
                  </w:r>
                  <w:r>
                    <w:rPr>
                      <w:szCs w:val="24"/>
                      <w:shd w:val="clear" w:color="auto" w:fill="FFFFFF"/>
                      <w:lang w:eastAsia="lt-LT"/>
                    </w:rPr>
                    <w:t>Už viršsutartinius kiekvienos grupės brangiuosius tyrimus ir procedūras, priskiriamus antrajai apmokėjimo kategorijai, mokama iki 70 proc. sumos, už kurią per metus buvo atlikta šių viršsutartinių tyrimų ir procedūrų. Šiame papunktyje nustatyta tvarka mokėtina suma apskaičiuojama nuo sumos, neviršijančios 50 proc. numatytos metinės sumos atitinkamos grupės brangiesiems tyrimams ir procedūroms, priskiriamiems antrajai apmokėjimo kategorijai, apmokėti.</w:t>
                  </w:r>
                </w:p>
              </w:sdtContent>
            </w:sdt>
            <w:sdt>
              <w:sdtPr>
                <w:alias w:val="20 p."/>
                <w:tag w:val="part_6d76959179cd44d99bed6eaca7dd8ebb"/>
                <w:lock w:val="sdtLocked"/>
                <w:richText/>
              </w:sdtPr>
              <w:sdtContent>
                <w:p>
                  <w:pPr>
                    <w:ind w:firstLine="851"/>
                    <w:jc w:val="both"/>
                    <w:rPr>
                      <w:szCs w:val="24"/>
                      <w:shd w:val="clear" w:color="auto" w:fill="FFFFFF"/>
                      <w:lang w:eastAsia="lt-LT"/>
                    </w:rPr>
                  </w:pPr>
                  <w:sdt>
                    <w:sdtPr>
                      <w:alias w:val="Numeris"/>
                      <w:tag w:val="nr_6d76959179cd44d99bed6eaca7dd8ebb"/>
                      <w:lock w:val="sdtLocked"/>
                      <w:richText/>
                    </w:sdtPr>
                    <w:sdtContent>
                      <w:r>
                        <w:rPr>
                          <w:color w:val="000000"/>
                          <w:szCs w:val="24"/>
                          <w:lang w:eastAsia="lt-LT"/>
                        </w:rPr>
                        <w:t>20</w:t>
                      </w:r>
                    </w:sdtContent>
                  </w:sdt>
                  <w:r>
                    <w:rPr>
                      <w:color w:val="000000"/>
                      <w:szCs w:val="24"/>
                      <w:lang w:eastAsia="lt-LT"/>
                    </w:rPr>
                    <w:t xml:space="preserve">. </w:t>
                  </w:r>
                  <w:r>
                    <w:rPr>
                      <w:szCs w:val="24"/>
                      <w:shd w:val="clear" w:color="auto" w:fill="FFFFFF"/>
                      <w:lang w:eastAsia="lt-LT"/>
                    </w:rPr>
                    <w:t xml:space="preserve">Jeigu PSDF biudžeto galimybės neleidžia Aprašo 19 punkte nustatyta tvarka apmokėti viršsutartinių antrajai apmokėjimo kategorijai priskiriamų brangiųjų tyrimų ir procedūrų, konkrečiai ASPĮ mokėtina suma už viršsutartinius kiekvienos grupės brangiuosius tyrimus ir procedūras, priskiriamus šiai apmokėjimo kategorijai, mažinama proporcingai </w:t>
                  </w:r>
                  <w:r>
                    <w:rPr>
                      <w:szCs w:val="24"/>
                      <w:lang w:eastAsia="lt-LT"/>
                    </w:rPr>
                    <w:t xml:space="preserve">šiems viršsutartiniams </w:t>
                  </w:r>
                  <w:r>
                    <w:rPr>
                      <w:szCs w:val="24"/>
                      <w:shd w:val="clear" w:color="auto" w:fill="FFFFFF"/>
                      <w:lang w:eastAsia="lt-LT"/>
                    </w:rPr>
                    <w:t>tyrimams ir procedūroms skiriamai lėšų sumai.</w:t>
                  </w:r>
                </w:p>
              </w:sdtContent>
            </w:sdt>
            <w:sdt>
              <w:sdtPr>
                <w:alias w:val="21 p."/>
                <w:tag w:val="part_cf325066ed7c46e69851c9f57143f2a8"/>
                <w:lock w:val="sdtLocked"/>
                <w:richText/>
              </w:sdtPr>
              <w:sdtContent>
                <w:p>
                  <w:pPr>
                    <w:ind w:firstLine="851"/>
                    <w:jc w:val="both"/>
                    <w:rPr>
                      <w:color w:val="000000"/>
                      <w:szCs w:val="24"/>
                      <w:lang w:eastAsia="lt-LT"/>
                    </w:rPr>
                  </w:pPr>
                  <w:sdt>
                    <w:sdtPr>
                      <w:alias w:val="Numeris"/>
                      <w:tag w:val="nr_cf325066ed7c46e69851c9f57143f2a8"/>
                      <w:lock w:val="sdtLocked"/>
                      <w:richText/>
                    </w:sdtPr>
                    <w:sdtContent>
                      <w:r>
                        <w:rPr>
                          <w:color w:val="000000"/>
                          <w:szCs w:val="24"/>
                          <w:lang w:eastAsia="lt-LT"/>
                        </w:rPr>
                        <w:t>21</w:t>
                      </w:r>
                    </w:sdtContent>
                  </w:sdt>
                  <w:r>
                    <w:rPr>
                      <w:color w:val="000000"/>
                      <w:szCs w:val="24"/>
                      <w:lang w:eastAsia="lt-LT"/>
                    </w:rPr>
                    <w:t>. Jei tam pačiam pacientui vieno ambulatorinio tyrimo ir (ar) gydymo, ilgalaikio gydymo bei medicininės reabilitacijos ir sanatorinio (antirecidyvinio) gydymo epizodo metu dėl tos pačios priežasties atliekami keli kompiuterinės tomografijos ar magnetinio rezonanso tomografijos tyrimai, už jų atlikimą, įvertinimą, tyrimų vaizdo (-ų) aprašymą ir tyrimų vaizdo (-ų) kopiją (-as) mokama kaip už vieną kompiuterinės tomografijos ar magnetinio rezonanso tomografijos tyrimą.</w:t>
                  </w:r>
                </w:p>
              </w:sdtContent>
            </w:sdt>
            <w:sdt>
              <w:sdtPr>
                <w:alias w:val="22 p."/>
                <w:tag w:val="part_0332c2497cea49ceb3a12c7f77a6ff15"/>
                <w:lock w:val="sdtLocked"/>
                <w:richText/>
              </w:sdtPr>
              <w:sdtContent>
                <w:p>
                  <w:pPr>
                    <w:ind w:firstLine="851"/>
                    <w:jc w:val="both"/>
                    <w:rPr>
                      <w:iCs/>
                      <w:szCs w:val="24"/>
                      <w:lang w:eastAsia="lt-LT"/>
                    </w:rPr>
                  </w:pPr>
                  <w:sdt>
                    <w:sdtPr>
                      <w:alias w:val="Numeris"/>
                      <w:tag w:val="nr_0332c2497cea49ceb3a12c7f77a6ff15"/>
                      <w:lock w:val="sdtLocked"/>
                      <w:richText/>
                    </w:sdtPr>
                    <w:sdtContent>
                      <w:r>
                        <w:rPr>
                          <w:iCs/>
                          <w:color w:val="000000"/>
                          <w:szCs w:val="24"/>
                          <w:lang w:eastAsia="lt-LT"/>
                        </w:rPr>
                        <w:t>22</w:t>
                      </w:r>
                    </w:sdtContent>
                  </w:sdt>
                  <w:r>
                    <w:rPr>
                      <w:iCs/>
                      <w:color w:val="000000"/>
                      <w:szCs w:val="24"/>
                      <w:lang w:eastAsia="lt-LT"/>
                    </w:rPr>
                    <w:t xml:space="preserve">. </w:t>
                  </w:r>
                  <w:r>
                    <w:rPr>
                      <w:iCs/>
                      <w:szCs w:val="24"/>
                      <w:lang w:eastAsia="lt-LT"/>
                    </w:rPr>
                    <w:t xml:space="preserve">Jei tam pačiam pacientui vieno ambulatorinio tyrimo ir (ar) gydymo, ilgalaikio gydymo bei medicininės reabilitacijos ir sanatorinio (antirecidyvinio) gydymo epizodo metu dėl tos pačios priežasties atliekami keli kompiuterinės tomografijos tyrimai, kai vienas iš jų yra kompiuterinės tomografijos angiografijos tyrimas, ar keli magnetinio rezonanso tomografijos tyrimai, kai </w:t>
                  </w:r>
                  <w:r>
                    <w:rPr>
                      <w:szCs w:val="24"/>
                      <w:lang w:eastAsia="lt-LT"/>
                    </w:rPr>
                    <w:t>vienas iš jų</w:t>
                  </w:r>
                  <w:r>
                    <w:rPr>
                      <w:iCs/>
                      <w:szCs w:val="24"/>
                      <w:lang w:eastAsia="lt-LT"/>
                    </w:rPr>
                    <w:t xml:space="preserve"> yra magnetinio rezonanso angiografijos tyrimas, už jų atlikimą, įvertinimą, tyrimų vaizdo (-ų) aprašymą ir tyrimų vaizdo (-ų) kopiją (-as) mokama kaip už vieną kompiuterinės tomografijos angiografijos ar magnetinio rezonanso angiografijos </w:t>
                  </w:r>
                  <w:r>
                    <w:rPr>
                      <w:szCs w:val="24"/>
                      <w:lang w:eastAsia="lt-LT"/>
                    </w:rPr>
                    <w:t>tyrimą</w:t>
                  </w:r>
                  <w:r>
                    <w:rPr>
                      <w:iCs/>
                      <w:szCs w:val="24"/>
                      <w:lang w:eastAsia="lt-LT"/>
                    </w:rPr>
                    <w:t>.</w:t>
                  </w:r>
                </w:p>
              </w:sdtContent>
            </w:sdt>
            <w:sdt>
              <w:sdtPr>
                <w:alias w:val="23 p."/>
                <w:tag w:val="part_de411e9fed524601aaa6d0d85bcddfec"/>
                <w:lock w:val="sdtLocked"/>
                <w:richText/>
              </w:sdtPr>
              <w:sdtContent>
                <w:p>
                  <w:pPr>
                    <w:ind w:firstLine="851"/>
                    <w:jc w:val="both"/>
                    <w:rPr>
                      <w:szCs w:val="24"/>
                      <w:lang w:eastAsia="lt-LT"/>
                    </w:rPr>
                  </w:pPr>
                  <w:sdt>
                    <w:sdtPr>
                      <w:alias w:val="Numeris"/>
                      <w:tag w:val="nr_de411e9fed524601aaa6d0d85bcddfec"/>
                      <w:lock w:val="sdtLocked"/>
                      <w:richText/>
                    </w:sdtPr>
                    <w:sdtContent>
                      <w:r>
                        <w:rPr>
                          <w:color w:val="000000"/>
                          <w:szCs w:val="24"/>
                          <w:lang w:eastAsia="lt-LT"/>
                        </w:rPr>
                        <w:t>23</w:t>
                      </w:r>
                    </w:sdtContent>
                  </w:sdt>
                  <w:r>
                    <w:rPr>
                      <w:color w:val="000000"/>
                      <w:szCs w:val="24"/>
                      <w:lang w:eastAsia="lt-LT"/>
                    </w:rPr>
                    <w:t xml:space="preserve">. </w:t>
                  </w:r>
                  <w:r>
                    <w:rPr>
                      <w:szCs w:val="24"/>
                      <w:lang w:eastAsia="lt-LT"/>
                    </w:rPr>
                    <w:t>Jei brangieji tyrimai ir (ar) procedūros atliekami teikiant skubiosios medicinos pagalbos paslaugą ir (ar) stebėjimo paslaugą ir po to pacientas hospitalizuojamas toje pačioje ASPĮ, atskirai stebėjimo paslaugos teikimo metu atliktų</w:t>
                  </w:r>
                  <w:r>
                    <w:rPr>
                      <w:color w:val="000000"/>
                      <w:szCs w:val="24"/>
                      <w:lang w:eastAsia="lt-LT"/>
                    </w:rPr>
                    <w:t xml:space="preserve"> </w:t>
                  </w:r>
                  <w:r>
                    <w:rPr>
                      <w:szCs w:val="24"/>
                      <w:lang w:eastAsia="lt-LT"/>
                    </w:rPr>
                    <w:t>brangiųjų tyrimų ir (ar) procedūrų išlaidos nėra apmokamos.</w:t>
                  </w:r>
                  <w:r>
                    <w:rPr>
                      <w:rFonts w:ascii="Arial" w:hAnsi="Arial" w:cs="Arial"/>
                      <w:color w:val="000000"/>
                      <w:szCs w:val="24"/>
                      <w:shd w:val="clear" w:color="auto" w:fill="FFFFFF"/>
                    </w:rPr>
                    <w:t xml:space="preserve"> </w:t>
                  </w:r>
                  <w:r>
                    <w:rPr>
                      <w:iCs/>
                      <w:szCs w:val="24"/>
                      <w:lang w:eastAsia="lt-LT"/>
                    </w:rPr>
                    <w:t xml:space="preserve">Šių </w:t>
                  </w:r>
                  <w:r>
                    <w:rPr>
                      <w:szCs w:val="24"/>
                      <w:lang w:eastAsia="lt-LT"/>
                    </w:rPr>
                    <w:t>paslaugų išlaidos įskaičiuojamos į gydymo stacionare išlaidas.</w:t>
                  </w:r>
                </w:p>
              </w:sdtContent>
            </w:sdt>
            <w:sdt>
              <w:sdtPr>
                <w:alias w:val="24 p."/>
                <w:tag w:val="part_5587881c203b44d596c3537cff8f6366"/>
                <w:lock w:val="sdtLocked"/>
                <w:richText/>
              </w:sdtPr>
              <w:sdtContent>
                <w:p>
                  <w:pPr>
                    <w:ind w:firstLine="851"/>
                    <w:jc w:val="both"/>
                    <w:rPr>
                      <w:szCs w:val="24"/>
                      <w:lang w:eastAsia="lt-LT"/>
                    </w:rPr>
                  </w:pPr>
                  <w:sdt>
                    <w:sdtPr>
                      <w:alias w:val="Numeris"/>
                      <w:tag w:val="nr_5587881c203b44d596c3537cff8f6366"/>
                      <w:lock w:val="sdtLocked"/>
                      <w:richText/>
                    </w:sdtPr>
                    <w:sdtContent>
                      <w:r>
                        <w:rPr>
                          <w:color w:val="000000"/>
                          <w:szCs w:val="24"/>
                          <w:lang w:eastAsia="lt-LT"/>
                        </w:rPr>
                        <w:t>24</w:t>
                      </w:r>
                    </w:sdtContent>
                  </w:sdt>
                  <w:r>
                    <w:rPr>
                      <w:color w:val="000000"/>
                      <w:szCs w:val="24"/>
                      <w:lang w:eastAsia="lt-LT"/>
                    </w:rPr>
                    <w:t xml:space="preserve">. </w:t>
                  </w:r>
                  <w:r>
                    <w:rPr>
                      <w:szCs w:val="24"/>
                      <w:lang w:eastAsia="lt-LT"/>
                    </w:rPr>
                    <w:t>Jei suteikus gydytojo radiologo konsultaciją, kai atliekamas scintigrafijos tyrimas, arba gydytojo radiologo konsultaciją, kai atliekamas scintigrafijos tyrimas naudojant radiofarmakologinį preparatą, tą pačią dieną tam pačiam pacientui atliekamas ir radionuklidinės kompiuterinės tomografijos tyrimas, už šiuos tyrimus mokama kaip už vieną radionuklidinės kompiuterinės tomografijos tyrimą</w:t>
                  </w:r>
                  <w:r>
                    <w:rPr>
                      <w:color w:val="000000"/>
                      <w:szCs w:val="24"/>
                      <w:lang w:eastAsia="lt-LT"/>
                    </w:rPr>
                    <w:t xml:space="preserve">, nurodytą Aprašo </w:t>
                  </w:r>
                  <w:r>
                    <w:rPr>
                      <w:szCs w:val="24"/>
                      <w:shd w:val="clear" w:color="auto" w:fill="FFFFFF"/>
                      <w:lang w:eastAsia="lt-LT"/>
                    </w:rPr>
                    <w:t>2 punkto lentelės 1.12.6–1.12.8 papunkčiuose.</w:t>
                  </w:r>
                </w:p>
              </w:sdtContent>
            </w:sdt>
            <w:sdt>
              <w:sdtPr>
                <w:alias w:val="25 p."/>
                <w:tag w:val="part_60f6e58510d64cb69d012519a83f3ad2"/>
                <w:lock w:val="sdtLocked"/>
                <w:richText/>
              </w:sdtPr>
              <w:sdtContent>
                <w:p>
                  <w:pPr>
                    <w:ind w:firstLine="851"/>
                    <w:jc w:val="both"/>
                    <w:rPr>
                      <w:szCs w:val="24"/>
                      <w:lang w:eastAsia="lt-LT"/>
                    </w:rPr>
                  </w:pPr>
                  <w:sdt>
                    <w:sdtPr>
                      <w:alias w:val="Numeris"/>
                      <w:tag w:val="nr_60f6e58510d64cb69d012519a83f3ad2"/>
                      <w:lock w:val="sdtLocked"/>
                      <w:richText/>
                    </w:sdtPr>
                    <w:sdtContent>
                      <w:r>
                        <w:rPr>
                          <w:color w:val="000000"/>
                          <w:szCs w:val="24"/>
                          <w:lang w:eastAsia="lt-LT"/>
                        </w:rPr>
                        <w:t>25</w:t>
                      </w:r>
                    </w:sdtContent>
                  </w:sdt>
                  <w:r>
                    <w:rPr>
                      <w:color w:val="000000"/>
                      <w:szCs w:val="24"/>
                      <w:lang w:eastAsia="lt-LT"/>
                    </w:rPr>
                    <w:t>. Jei tą pačią dieną tam pačiam pacientui atliekami keli radionuklidinės kompiuterinės tomografijos tyrimai, apmokami</w:t>
                  </w:r>
                  <w:r>
                    <w:rPr>
                      <w:color w:val="000000"/>
                      <w:szCs w:val="24"/>
                      <w:shd w:val="clear" w:color="auto" w:fill="FFFFFF"/>
                      <w:lang w:eastAsia="lt-LT"/>
                    </w:rPr>
                    <w:t xml:space="preserve"> tie iš šių tyrimų</w:t>
                  </w:r>
                  <w:r>
                    <w:rPr>
                      <w:color w:val="000000"/>
                      <w:szCs w:val="24"/>
                      <w:lang w:eastAsia="lt-LT"/>
                    </w:rPr>
                    <w:t>, kuriuos atliekant buvo</w:t>
                  </w:r>
                  <w:r>
                    <w:rPr>
                      <w:szCs w:val="24"/>
                      <w:lang w:eastAsia="lt-LT"/>
                    </w:rPr>
                    <w:t xml:space="preserve"> naudojamas radiofarmakologinis preparatas.</w:t>
                  </w:r>
                </w:p>
              </w:sdtContent>
            </w:sdt>
          </w:sdtContent>
        </w:sdt>
        <w:sdt>
          <w:sdtPr>
            <w:alias w:val="pabaiga"/>
            <w:tag w:val="part_b7eec9c9362a4b1ca37c461457dfbce0"/>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0B613C8BCF8">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2005-10-27,
Žin., 2005, Nr.
128-4626 (2005-10-29), i. k. 1052250ISAK000V-804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665B39C9CF2">
            <w:r w:rsidRPr="00532B9F">
              <w:rPr>
                <w:rFonts w:ascii="Times New Roman" w:eastAsia="MS Mincho" w:hAnsi="Times New Roman"/>
                <w:sz w:val="20"/>
                <w:iCs/>
                <w:color w:val="0000FF" w:themeColor="hyperlink"/>
                <w:u w:val="single"/>
              </w:rPr>
              <w:t>V-223</w:t>
            </w:r>
          </w:fldSimple>
          <w:r>
            <w:rPr>
              <w:rFonts w:ascii="Times New Roman" w:eastAsia="MS Mincho" w:hAnsi="Times New Roman"/>
              <w:sz w:val="20"/>
              <w:iCs/>
            </w:rPr>
            <w:t>,
2006-03-28,
Žin., 2006, Nr.
38-1351 (2006-04-06), i. k. 1062250ISAK000V-223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95CF80D1510">
            <w:r w:rsidRPr="00532B9F">
              <w:rPr>
                <w:rFonts w:ascii="Times New Roman" w:eastAsia="MS Mincho" w:hAnsi="Times New Roman"/>
                <w:sz w:val="20"/>
                <w:iCs/>
                <w:color w:val="0000FF" w:themeColor="hyperlink"/>
                <w:u w:val="single"/>
              </w:rPr>
              <w:t>V-326</w:t>
            </w:r>
          </w:fldSimple>
          <w:r>
            <w:rPr>
              <w:rFonts w:ascii="Times New Roman" w:eastAsia="MS Mincho" w:hAnsi="Times New Roman"/>
              <w:sz w:val="20"/>
              <w:iCs/>
            </w:rPr>
            <w:t>,
2006-04-27,
Žin., 2006, Nr.
48-1731 (2006-04-29), i. k. 1062250ISAK000V-326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80B39E54D9">
            <w:r w:rsidRPr="00532B9F">
              <w:rPr>
                <w:rFonts w:ascii="Times New Roman" w:eastAsia="MS Mincho" w:hAnsi="Times New Roman"/>
                <w:sz w:val="20"/>
                <w:iCs/>
                <w:color w:val="0000FF" w:themeColor="hyperlink"/>
                <w:u w:val="single"/>
              </w:rPr>
              <w:t>V-242</w:t>
            </w:r>
          </w:fldSimple>
          <w:r>
            <w:rPr>
              <w:rFonts w:ascii="Times New Roman" w:eastAsia="MS Mincho" w:hAnsi="Times New Roman"/>
              <w:sz w:val="20"/>
              <w:iCs/>
            </w:rPr>
            <w:t>,
2007-04-05,
Žin., 2007, Nr.
42-1599 (2007-04-14), i. k. 1072250ISAK000V-242                </w:t>
          </w:r>
        </w:p>
        <w:p>
          <w:pPr>
            <w:jc w:val="both"/>
            <w:rPr>
              <w:rFonts w:ascii="Times New Roman" w:hAnsi="Times New Roman"/>
            </w:rPr>
          </w:pPr>
          <w:r>
            <w:rPr>
              <w:rFonts w:ascii="Times New Roman" w:hAnsi="Times New Roman"/>
              <w:sz w:val="20"/>
            </w:rPr>
            <w:t>Dėl Lietuvos Respublikos sveikatos apsaugos ministro 2006 m. balandžio 27 d. įsakymo Nr. V-326 "Dėl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B2DA3112B1">
            <w:r w:rsidRPr="00532B9F">
              <w:rPr>
                <w:rFonts w:ascii="Times New Roman" w:eastAsia="MS Mincho" w:hAnsi="Times New Roman"/>
                <w:sz w:val="20"/>
                <w:iCs/>
                <w:color w:val="0000FF" w:themeColor="hyperlink"/>
                <w:u w:val="single"/>
              </w:rPr>
              <w:t>V-322</w:t>
            </w:r>
          </w:fldSimple>
          <w:r>
            <w:rPr>
              <w:rFonts w:ascii="Times New Roman" w:eastAsia="MS Mincho" w:hAnsi="Times New Roman"/>
              <w:sz w:val="20"/>
              <w:iCs/>
            </w:rPr>
            <w:t>,
2007-05-03,
Žin., 2007, Nr.
50-1959 (2007-05-10), i. k. 1072250ISAK000V-322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EF114D18702">
            <w:r w:rsidRPr="00532B9F">
              <w:rPr>
                <w:rFonts w:ascii="Times New Roman" w:eastAsia="MS Mincho" w:hAnsi="Times New Roman"/>
                <w:sz w:val="20"/>
                <w:iCs/>
                <w:color w:val="0000FF" w:themeColor="hyperlink"/>
                <w:u w:val="single"/>
              </w:rPr>
              <w:t>V-47</w:t>
            </w:r>
          </w:fldSimple>
          <w:r>
            <w:rPr>
              <w:rFonts w:ascii="Times New Roman" w:eastAsia="MS Mincho" w:hAnsi="Times New Roman"/>
              <w:sz w:val="20"/>
              <w:iCs/>
            </w:rPr>
            <w:t>,
2008-01-17,
Žin., 2008, Nr.
14-486 (2008-02-02), i. k. 1082250ISAK0000V-47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33C7E55824D">
            <w:r w:rsidRPr="00532B9F">
              <w:rPr>
                <w:rFonts w:ascii="Times New Roman" w:eastAsia="MS Mincho" w:hAnsi="Times New Roman"/>
                <w:sz w:val="20"/>
                <w:iCs/>
                <w:color w:val="0000FF" w:themeColor="hyperlink"/>
                <w:u w:val="single"/>
              </w:rPr>
              <w:t>V-426</w:t>
            </w:r>
          </w:fldSimple>
          <w:r>
            <w:rPr>
              <w:rFonts w:ascii="Times New Roman" w:eastAsia="MS Mincho" w:hAnsi="Times New Roman"/>
              <w:sz w:val="20"/>
              <w:iCs/>
            </w:rPr>
            <w:t>,
2008-05-09,
Žin., 2008, Nr.
54-2019 (2008-05-13), i. k. 1082250ISAK000V-426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EEDA6CAD40">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2011-12-27,
Žin., 2011, Nr.
164-7835 (2011-12-31), i. k. 1112250ISAK00V-1144                </w:t>
          </w:r>
        </w:p>
        <w:p>
          <w:pPr>
            <w:jc w:val="both"/>
            <w:rPr>
              <w:rFonts w:ascii="Times New Roman" w:hAnsi="Times New Roman"/>
            </w:rPr>
          </w:pPr>
          <w:r>
            <w:rPr>
              <w:rFonts w:ascii="Times New Roman" w:hAnsi="Times New Roman"/>
              <w:sz w:val="20"/>
            </w:rPr>
            <w:t>Dėl Lietuvos Respublikos sveikatos apsaugos ministro 2005 m. balandžio 27 d. įsakymo Nr. V-304 "Dėl Iš Privalomojo sveikatos draudimo fondo biudžeto lėšų apmokamų brangiųjų tyrimų ir procedūrų sąrašo ir bazinių kainų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3A34EDAAA5">
            <w:r w:rsidRPr="00532B9F">
              <w:rPr>
                <w:rFonts w:ascii="Times New Roman" w:eastAsia="MS Mincho" w:hAnsi="Times New Roman"/>
                <w:sz w:val="20"/>
                <w:iCs/>
                <w:color w:val="0000FF" w:themeColor="hyperlink"/>
                <w:u w:val="single"/>
              </w:rPr>
              <w:t>V-933</w:t>
            </w:r>
          </w:fldSimple>
          <w:r>
            <w:rPr>
              <w:rFonts w:ascii="Times New Roman" w:eastAsia="MS Mincho" w:hAnsi="Times New Roman"/>
              <w:sz w:val="20"/>
              <w:iCs/>
            </w:rPr>
            <w:t>,
2012-10-15,
Žin., 2012, Nr.
122-6160 (2012-10-20), i. k. 1122250ISAK000V-933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D61CCA4E1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2012-12-11,
Žin., 2012, Nr.
149-7656 (2012-12-20), i. k. 1122250ISAK00V-1140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3E8119275D0">
            <w:r w:rsidRPr="00532B9F">
              <w:rPr>
                <w:rFonts w:ascii="Times New Roman" w:eastAsia="MS Mincho" w:hAnsi="Times New Roman"/>
                <w:sz w:val="20"/>
                <w:iCs/>
                <w:color w:val="0000FF" w:themeColor="hyperlink"/>
                <w:u w:val="single"/>
              </w:rPr>
              <w:t>V-1012</w:t>
            </w:r>
          </w:fldSimple>
          <w:r>
            <w:rPr>
              <w:rFonts w:ascii="Times New Roman" w:eastAsia="MS Mincho" w:hAnsi="Times New Roman"/>
              <w:sz w:val="20"/>
              <w:iCs/>
            </w:rPr>
            <w:t>,
2013-10-31,
Žin., 2013, Nr.
116-5820 (2013-11-09), i. k. 1132250ISAK00V-1012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a564208ffe11e3b8c2b7f6275e41d6">
            <w:r w:rsidRPr="00532B9F">
              <w:rPr>
                <w:rFonts w:ascii="Times New Roman" w:eastAsia="MS Mincho" w:hAnsi="Times New Roman"/>
                <w:sz w:val="20"/>
                <w:iCs/>
                <w:color w:val="0000FF" w:themeColor="hyperlink"/>
                <w:u w:val="single"/>
              </w:rPr>
              <w:t>V-167</w:t>
            </w:r>
          </w:fldSimple>
          <w:r>
            <w:rPr>
              <w:rFonts w:ascii="Times New Roman" w:eastAsia="MS Mincho" w:hAnsi="Times New Roman"/>
              <w:sz w:val="20"/>
              <w:iCs/>
            </w:rPr>
            <w:t>,
2014-02-04,
paskelbta TAR 2014-02-07, i. k. 2014-01241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d97440cbba11e387b1ebf12f4d03ee">
            <w:r w:rsidRPr="00532B9F">
              <w:rPr>
                <w:rFonts w:ascii="Times New Roman" w:eastAsia="MS Mincho" w:hAnsi="Times New Roman"/>
                <w:sz w:val="20"/>
                <w:iCs/>
                <w:color w:val="0000FF" w:themeColor="hyperlink"/>
                <w:u w:val="single"/>
              </w:rPr>
              <w:t>V-497</w:t>
            </w:r>
          </w:fldSimple>
          <w:r>
            <w:rPr>
              <w:rFonts w:ascii="Times New Roman" w:eastAsia="MS Mincho" w:hAnsi="Times New Roman"/>
              <w:sz w:val="20"/>
              <w:iCs/>
            </w:rPr>
            <w:t>,
2014-04-23,
paskelbta TAR 2014-04-25, i. k. 2014-04775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be5730792211e49adea948c356b2ec">
            <w:r w:rsidRPr="00532B9F">
              <w:rPr>
                <w:rFonts w:ascii="Times New Roman" w:eastAsia="MS Mincho" w:hAnsi="Times New Roman"/>
                <w:sz w:val="20"/>
                <w:iCs/>
                <w:color w:val="0000FF" w:themeColor="hyperlink"/>
                <w:u w:val="single"/>
              </w:rPr>
              <w:t>V-1198</w:t>
            </w:r>
          </w:fldSimple>
          <w:r>
            <w:rPr>
              <w:rFonts w:ascii="Times New Roman" w:eastAsia="MS Mincho" w:hAnsi="Times New Roman"/>
              <w:sz w:val="20"/>
              <w:iCs/>
            </w:rPr>
            <w:t>,
2014-11-17,
paskelbta TAR 2014-12-01, i. k. 2014-18271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79df0b34411e4bac1f5e3773cda3e">
            <w:r w:rsidRPr="00532B9F">
              <w:rPr>
                <w:rFonts w:ascii="Times New Roman" w:eastAsia="MS Mincho" w:hAnsi="Times New Roman"/>
                <w:sz w:val="20"/>
                <w:iCs/>
                <w:color w:val="0000FF" w:themeColor="hyperlink"/>
                <w:u w:val="single"/>
              </w:rPr>
              <w:t>V-187</w:t>
            </w:r>
          </w:fldSimple>
          <w:r>
            <w:rPr>
              <w:rFonts w:ascii="Times New Roman" w:eastAsia="MS Mincho" w:hAnsi="Times New Roman"/>
              <w:sz w:val="20"/>
              <w:iCs/>
            </w:rPr>
            <w:t>,
2015-02-10,
paskelbta TAR 2015-02-13, i. k. 2015-02144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6aee0f57e11e4927fda1d051299fb">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2015-05-04,
paskelbta TAR 2015-05-08, i. k. 2015-07026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92ea0294f11e5a2d7e5e47b869348">
            <w:r w:rsidRPr="00532B9F">
              <w:rPr>
                <w:rFonts w:ascii="Times New Roman" w:eastAsia="MS Mincho" w:hAnsi="Times New Roman"/>
                <w:sz w:val="20"/>
                <w:iCs/>
                <w:color w:val="0000FF" w:themeColor="hyperlink"/>
                <w:u w:val="single"/>
              </w:rPr>
              <w:t>V-851</w:t>
            </w:r>
          </w:fldSimple>
          <w:r>
            <w:rPr>
              <w:rFonts w:ascii="Times New Roman" w:eastAsia="MS Mincho" w:hAnsi="Times New Roman"/>
              <w:sz w:val="20"/>
              <w:iCs/>
            </w:rPr>
            <w:t>,
2015-07-10,
paskelbta TAR 2015-07-13, i. k. 2015-11284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80d170afc611e5b12fbb7dc920ee2c">
            <w:r w:rsidRPr="00532B9F">
              <w:rPr>
                <w:rFonts w:ascii="Times New Roman" w:eastAsia="MS Mincho" w:hAnsi="Times New Roman"/>
                <w:sz w:val="20"/>
                <w:iCs/>
                <w:color w:val="0000FF" w:themeColor="hyperlink"/>
                <w:u w:val="single"/>
              </w:rPr>
              <w:t>V-1553</w:t>
            </w:r>
          </w:fldSimple>
          <w:r>
            <w:rPr>
              <w:rFonts w:ascii="Times New Roman" w:eastAsia="MS Mincho" w:hAnsi="Times New Roman"/>
              <w:sz w:val="20"/>
              <w:iCs/>
            </w:rPr>
            <w:t>,
2015-12-30,
paskelbta TAR 2015-12-31, i. k. 2015-21312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8994100dfe11e6bae4eb98746971fa">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2016-04-29,
paskelbta TAR 2016-04-29, i. k. 2016-10800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55d5e0377f11e69101aaab2992cbcd">
            <w:r w:rsidRPr="00532B9F">
              <w:rPr>
                <w:rFonts w:ascii="Times New Roman" w:eastAsia="MS Mincho" w:hAnsi="Times New Roman"/>
                <w:sz w:val="20"/>
                <w:iCs/>
                <w:color w:val="0000FF" w:themeColor="hyperlink"/>
                <w:u w:val="single"/>
              </w:rPr>
              <w:t>V-782</w:t>
            </w:r>
          </w:fldSimple>
          <w:r>
            <w:rPr>
              <w:rFonts w:ascii="Times New Roman" w:eastAsia="MS Mincho" w:hAnsi="Times New Roman"/>
              <w:sz w:val="20"/>
              <w:iCs/>
            </w:rPr>
            <w:t>,
2016-06-14,
paskelbta TAR 2016-06-21, i. k. 2016-17304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0cf8501f5711e78397ae072f58c508">
            <w:r w:rsidRPr="00532B9F">
              <w:rPr>
                <w:rFonts w:ascii="Times New Roman" w:eastAsia="MS Mincho" w:hAnsi="Times New Roman"/>
                <w:sz w:val="20"/>
                <w:iCs/>
                <w:color w:val="0000FF" w:themeColor="hyperlink"/>
                <w:u w:val="single"/>
              </w:rPr>
              <w:t>V-404</w:t>
            </w:r>
          </w:fldSimple>
          <w:r>
            <w:rPr>
              <w:rFonts w:ascii="Times New Roman" w:eastAsia="MS Mincho" w:hAnsi="Times New Roman"/>
              <w:sz w:val="20"/>
              <w:iCs/>
            </w:rPr>
            <w:t>,
2017-04-11,
paskelbta TAR 2017-04-13, i. k. 2017-06268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bd93a054b911e7846ef01bfffb9b64">
            <w:r w:rsidRPr="00532B9F">
              <w:rPr>
                <w:rFonts w:ascii="Times New Roman" w:eastAsia="MS Mincho" w:hAnsi="Times New Roman"/>
                <w:sz w:val="20"/>
                <w:iCs/>
                <w:color w:val="0000FF" w:themeColor="hyperlink"/>
                <w:u w:val="single"/>
              </w:rPr>
              <w:t>V-719</w:t>
            </w:r>
          </w:fldSimple>
          <w:r>
            <w:rPr>
              <w:rFonts w:ascii="Times New Roman" w:eastAsia="MS Mincho" w:hAnsi="Times New Roman"/>
              <w:sz w:val="20"/>
              <w:iCs/>
            </w:rPr>
            <w:t>,
2017-06-14,
paskelbta TAR 2017-06-19, i. k. 2017-10202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e7eda0e57c11e7acd7ea182930b17f">
            <w:r w:rsidRPr="00532B9F">
              <w:rPr>
                <w:rFonts w:ascii="Times New Roman" w:eastAsia="MS Mincho" w:hAnsi="Times New Roman"/>
                <w:sz w:val="20"/>
                <w:iCs/>
                <w:color w:val="0000FF" w:themeColor="hyperlink"/>
                <w:u w:val="single"/>
              </w:rPr>
              <w:t>V-1464</w:t>
            </w:r>
          </w:fldSimple>
          <w:r>
            <w:rPr>
              <w:rFonts w:ascii="Times New Roman" w:eastAsia="MS Mincho" w:hAnsi="Times New Roman"/>
              <w:sz w:val="20"/>
              <w:iCs/>
            </w:rPr>
            <w:t>,
2017-12-19,
paskelbta TAR 2017-12-20, i. k. 2017-20541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73010447e11e8ad2f97b2a095557a">
            <w:r w:rsidRPr="00532B9F">
              <w:rPr>
                <w:rFonts w:ascii="Times New Roman" w:eastAsia="MS Mincho" w:hAnsi="Times New Roman"/>
                <w:sz w:val="20"/>
                <w:iCs/>
                <w:color w:val="0000FF" w:themeColor="hyperlink"/>
                <w:u w:val="single"/>
              </w:rPr>
              <w:t>V-463</w:t>
            </w:r>
          </w:fldSimple>
          <w:r>
            <w:rPr>
              <w:rFonts w:ascii="Times New Roman" w:eastAsia="MS Mincho" w:hAnsi="Times New Roman"/>
              <w:sz w:val="20"/>
              <w:iCs/>
            </w:rPr>
            <w:t>,
2018-04-19,
paskelbta TAR 2018-04-20, i. k. 2018-06357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6f2bb0640211e8acbae39398545bed">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2018-05-29,
paskelbta TAR 2018-05-30, i. k. 2018-08772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f2c507b8b11e9863cb9ed35b4647a">
            <w:r w:rsidRPr="00532B9F">
              <w:rPr>
                <w:rFonts w:ascii="Times New Roman" w:eastAsia="MS Mincho" w:hAnsi="Times New Roman"/>
                <w:sz w:val="20"/>
                <w:iCs/>
                <w:color w:val="0000FF" w:themeColor="hyperlink"/>
                <w:u w:val="single"/>
              </w:rPr>
              <w:t>V-576</w:t>
            </w:r>
          </w:fldSimple>
          <w:r>
            <w:rPr>
              <w:rFonts w:ascii="Times New Roman" w:eastAsia="MS Mincho" w:hAnsi="Times New Roman"/>
              <w:sz w:val="20"/>
              <w:iCs/>
            </w:rPr>
            <w:t>,
2019-05-17,
paskelbta TAR 2019-05-21, i. k. 2019-08024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b5f2f0a9f911e9964cdd77475976b0">
            <w:r w:rsidRPr="00532B9F">
              <w:rPr>
                <w:rFonts w:ascii="Times New Roman" w:eastAsia="MS Mincho" w:hAnsi="Times New Roman"/>
                <w:sz w:val="20"/>
                <w:iCs/>
                <w:color w:val="0000FF" w:themeColor="hyperlink"/>
                <w:u w:val="single"/>
              </w:rPr>
              <w:t>V-851</w:t>
            </w:r>
          </w:fldSimple>
          <w:r>
            <w:rPr>
              <w:rFonts w:ascii="Times New Roman" w:eastAsia="MS Mincho" w:hAnsi="Times New Roman"/>
              <w:sz w:val="20"/>
              <w:iCs/>
            </w:rPr>
            <w:t>,
2019-07-18,
paskelbta TAR 2019-07-19, i. k. 2019-11914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1eee60c4e311e9840ec0427c781bac">
            <w:r w:rsidRPr="00532B9F">
              <w:rPr>
                <w:rFonts w:ascii="Times New Roman" w:eastAsia="MS Mincho" w:hAnsi="Times New Roman"/>
                <w:sz w:val="20"/>
                <w:iCs/>
                <w:color w:val="0000FF" w:themeColor="hyperlink"/>
                <w:u w:val="single"/>
              </w:rPr>
              <w:t>V-1008</w:t>
            </w:r>
          </w:fldSimple>
          <w:r>
            <w:rPr>
              <w:rFonts w:ascii="Times New Roman" w:eastAsia="MS Mincho" w:hAnsi="Times New Roman"/>
              <w:sz w:val="20"/>
              <w:iCs/>
            </w:rPr>
            <w:t>,
2019-08-20,
paskelbta TAR 2019-08-23, i. k. 2019-13399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8abc508a1f11eab005936df725feed">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2020-04-29,
paskelbta TAR 2020-04-29, i. k. 2020-09063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b35ff0943711ea9515f752ff221ec9">
            <w:r w:rsidRPr="00532B9F">
              <w:rPr>
                <w:rFonts w:ascii="Times New Roman" w:eastAsia="MS Mincho" w:hAnsi="Times New Roman"/>
                <w:sz w:val="20"/>
                <w:iCs/>
                <w:color w:val="0000FF" w:themeColor="hyperlink"/>
                <w:u w:val="single"/>
              </w:rPr>
              <w:t>V-1110</w:t>
            </w:r>
          </w:fldSimple>
          <w:r>
            <w:rPr>
              <w:rFonts w:ascii="Times New Roman" w:eastAsia="MS Mincho" w:hAnsi="Times New Roman"/>
              <w:sz w:val="20"/>
              <w:iCs/>
            </w:rPr>
            <w:t>,
2020-05-11,
paskelbta TAR 2020-05-12, i. k. 2020-10132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c0a230c29311ea9815f635b9c0dcef">
            <w:r w:rsidRPr="00532B9F">
              <w:rPr>
                <w:rFonts w:ascii="Times New Roman" w:eastAsia="MS Mincho" w:hAnsi="Times New Roman"/>
                <w:sz w:val="20"/>
                <w:iCs/>
                <w:color w:val="0000FF" w:themeColor="hyperlink"/>
                <w:u w:val="single"/>
              </w:rPr>
              <w:t>V-1622</w:t>
            </w:r>
          </w:fldSimple>
          <w:r>
            <w:rPr>
              <w:rFonts w:ascii="Times New Roman" w:eastAsia="MS Mincho" w:hAnsi="Times New Roman"/>
              <w:sz w:val="20"/>
              <w:iCs/>
            </w:rPr>
            <w:t>,
2020-07-09,
paskelbta TAR 2020-07-10, i. k. 2020-15527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0c70cc1e11ea997c9ee767e856b4">
            <w:r w:rsidRPr="00532B9F">
              <w:rPr>
                <w:rFonts w:ascii="Times New Roman" w:eastAsia="MS Mincho" w:hAnsi="Times New Roman"/>
                <w:sz w:val="20"/>
                <w:iCs/>
                <w:color w:val="0000FF" w:themeColor="hyperlink"/>
                <w:u w:val="single"/>
              </w:rPr>
              <w:t>V-1703</w:t>
            </w:r>
          </w:fldSimple>
          <w:r>
            <w:rPr>
              <w:rFonts w:ascii="Times New Roman" w:eastAsia="MS Mincho" w:hAnsi="Times New Roman"/>
              <w:sz w:val="20"/>
              <w:iCs/>
            </w:rPr>
            <w:t>,
2020-07-22,
paskelbta TAR 2020-07-22, i. k. 2020-16243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7d030fcd511ea88f28eae672e5b40">
            <w:r w:rsidRPr="00532B9F">
              <w:rPr>
                <w:rFonts w:ascii="Times New Roman" w:eastAsia="MS Mincho" w:hAnsi="Times New Roman"/>
                <w:sz w:val="20"/>
                <w:iCs/>
                <w:color w:val="0000FF" w:themeColor="hyperlink"/>
                <w:u w:val="single"/>
              </w:rPr>
              <w:t>V-2076</w:t>
            </w:r>
          </w:fldSimple>
          <w:r>
            <w:rPr>
              <w:rFonts w:ascii="Times New Roman" w:eastAsia="MS Mincho" w:hAnsi="Times New Roman"/>
              <w:sz w:val="20"/>
              <w:iCs/>
            </w:rPr>
            <w:t>,
2020-09-22,
paskelbta TAR 2020-09-22, i. k. 2020-19627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734ed0606a11eb9dc7b575f08e8bea">
            <w:r w:rsidRPr="00532B9F">
              <w:rPr>
                <w:rFonts w:ascii="Times New Roman" w:eastAsia="MS Mincho" w:hAnsi="Times New Roman"/>
                <w:sz w:val="20"/>
                <w:iCs/>
                <w:color w:val="0000FF" w:themeColor="hyperlink"/>
                <w:u w:val="single"/>
              </w:rPr>
              <w:t>V-157</w:t>
            </w:r>
          </w:fldSimple>
          <w:r>
            <w:rPr>
              <w:rFonts w:ascii="Times New Roman" w:eastAsia="MS Mincho" w:hAnsi="Times New Roman"/>
              <w:sz w:val="20"/>
              <w:iCs/>
            </w:rPr>
            <w:t>,
2021-01-27,
paskelbta TAR 2021-01-27, i. k. 2021-01384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f43b40649611eb9dc7b575f08e8bea">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2021-02-01,
paskelbta TAR 2021-02-01, i. k. 2021-01882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fa39d0c76511eba2bad9a0748ee64d">
            <w:r w:rsidRPr="00532B9F">
              <w:rPr>
                <w:rFonts w:ascii="Times New Roman" w:eastAsia="MS Mincho" w:hAnsi="Times New Roman"/>
                <w:sz w:val="20"/>
                <w:iCs/>
                <w:color w:val="0000FF" w:themeColor="hyperlink"/>
                <w:u w:val="single"/>
              </w:rPr>
              <w:t>V-1342</w:t>
            </w:r>
          </w:fldSimple>
          <w:r>
            <w:rPr>
              <w:rFonts w:ascii="Times New Roman" w:eastAsia="MS Mincho" w:hAnsi="Times New Roman"/>
              <w:sz w:val="20"/>
              <w:iCs/>
            </w:rPr>
            <w:t>,
2021-06-07,
paskelbta TAR 2021-06-07, i. k. 2021-13002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64860f6be11eb9f09e7df20500045">
            <w:r w:rsidRPr="00532B9F">
              <w:rPr>
                <w:rFonts w:ascii="Times New Roman" w:eastAsia="MS Mincho" w:hAnsi="Times New Roman"/>
                <w:sz w:val="20"/>
                <w:iCs/>
                <w:color w:val="0000FF" w:themeColor="hyperlink"/>
                <w:u w:val="single"/>
              </w:rPr>
              <w:t>V-1820</w:t>
            </w:r>
          </w:fldSimple>
          <w:r>
            <w:rPr>
              <w:rFonts w:ascii="Times New Roman" w:eastAsia="MS Mincho" w:hAnsi="Times New Roman"/>
              <w:sz w:val="20"/>
              <w:iCs/>
            </w:rPr>
            <w:t>,
2021-08-06,
paskelbta TAR 2021-08-06, i. k. 2021-17193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c20c401a2611ec93af8a5fb475d9bd">
            <w:r w:rsidRPr="00532B9F">
              <w:rPr>
                <w:rFonts w:ascii="Times New Roman" w:eastAsia="MS Mincho" w:hAnsi="Times New Roman"/>
                <w:sz w:val="20"/>
                <w:iCs/>
                <w:color w:val="0000FF" w:themeColor="hyperlink"/>
                <w:u w:val="single"/>
              </w:rPr>
              <w:t>V-2117</w:t>
            </w:r>
          </w:fldSimple>
          <w:r>
            <w:rPr>
              <w:rFonts w:ascii="Times New Roman" w:eastAsia="MS Mincho" w:hAnsi="Times New Roman"/>
              <w:sz w:val="20"/>
              <w:iCs/>
            </w:rPr>
            <w:t>,
2021-09-20,
paskelbta TAR 2021-09-20, i. k. 2021-19698                </w:t>
          </w:r>
        </w:p>
        <w:p>
          <w:pPr>
            <w:jc w:val="both"/>
            <w:rPr>
              <w:rFonts w:ascii="Times New Roman" w:hAnsi="Times New Roman"/>
            </w:rPr>
          </w:pPr>
          <w:r>
            <w:rPr>
              <w:rFonts w:ascii="Times New Roman" w:hAnsi="Times New Roman"/>
              <w:sz w:val="20"/>
            </w:rPr>
            <w:t>Dėl Lietuvos Respublikos sveikatos apsaugos ministro 2005 m. balandžio 27 d. įsakymo Nr. B-304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cd6d06a0611eca9ac839120d251c4">
            <w:r w:rsidRPr="00532B9F">
              <w:rPr>
                <w:rFonts w:ascii="Times New Roman" w:eastAsia="MS Mincho" w:hAnsi="Times New Roman"/>
                <w:sz w:val="20"/>
                <w:iCs/>
                <w:color w:val="0000FF" w:themeColor="hyperlink"/>
                <w:u w:val="single"/>
              </w:rPr>
              <w:t>V-3002</w:t>
            </w:r>
          </w:fldSimple>
          <w:r>
            <w:rPr>
              <w:rFonts w:ascii="Times New Roman" w:eastAsia="MS Mincho" w:hAnsi="Times New Roman"/>
              <w:sz w:val="20"/>
              <w:iCs/>
            </w:rPr>
            <w:t>,
2021-12-31,
paskelbta TAR 2021-12-31, i. k. 2021-27875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824830882711ec902c973ca77da22a">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2022-02-07,
paskelbta TAR 2022-02-07, i. k. 2022-02157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4cfa005b8211edbc04912defe897d1">
            <w:r w:rsidRPr="00532B9F">
              <w:rPr>
                <w:rFonts w:ascii="Times New Roman" w:eastAsia="MS Mincho" w:hAnsi="Times New Roman"/>
                <w:sz w:val="20"/>
                <w:iCs/>
                <w:color w:val="0000FF" w:themeColor="hyperlink"/>
                <w:u w:val="single"/>
              </w:rPr>
              <w:t>V-1629</w:t>
            </w:r>
          </w:fldSimple>
          <w:r>
            <w:rPr>
              <w:rFonts w:ascii="Times New Roman" w:eastAsia="MS Mincho" w:hAnsi="Times New Roman"/>
              <w:sz w:val="20"/>
              <w:iCs/>
            </w:rPr>
            <w:t>,
2022-11-03,
paskelbta TAR 2022-11-03, i. k. 2022-22356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a179b0765911edbc04912defe897d1">
            <w:r w:rsidRPr="00532B9F">
              <w:rPr>
                <w:rFonts w:ascii="Times New Roman" w:eastAsia="MS Mincho" w:hAnsi="Times New Roman"/>
                <w:sz w:val="20"/>
                <w:iCs/>
                <w:color w:val="0000FF" w:themeColor="hyperlink"/>
                <w:u w:val="single"/>
              </w:rPr>
              <w:t>V-1829</w:t>
            </w:r>
          </w:fldSimple>
          <w:r>
            <w:rPr>
              <w:rFonts w:ascii="Times New Roman" w:eastAsia="MS Mincho" w:hAnsi="Times New Roman"/>
              <w:sz w:val="20"/>
              <w:iCs/>
            </w:rPr>
            <w:t>,
2022-12-07,
paskelbta TAR 2022-12-07, i. k. 2022-24970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deb2b0874411ed8df094f359a60216">
            <w:r w:rsidRPr="00532B9F">
              <w:rPr>
                <w:rFonts w:ascii="Times New Roman" w:eastAsia="MS Mincho" w:hAnsi="Times New Roman"/>
                <w:sz w:val="20"/>
                <w:iCs/>
                <w:color w:val="0000FF" w:themeColor="hyperlink"/>
                <w:u w:val="single"/>
              </w:rPr>
              <w:t>V-1979</w:t>
            </w:r>
          </w:fldSimple>
          <w:r>
            <w:rPr>
              <w:rFonts w:ascii="Times New Roman" w:eastAsia="MS Mincho" w:hAnsi="Times New Roman"/>
              <w:sz w:val="20"/>
              <w:iCs/>
            </w:rPr>
            <w:t>,
2022-12-29,
paskelbta TAR 2022-12-29, i. k. 2022-27228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kurių išlaidos apmokamos Privalomojo sveikatos draudimo fondo biudžeto lėšomis, ir jų bazinių kainų sąrašo bei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5563d0cfb411ed9978886e85107ab2">
            <w:r w:rsidRPr="00532B9F">
              <w:rPr>
                <w:rFonts w:ascii="Times New Roman" w:eastAsia="MS Mincho" w:hAnsi="Times New Roman"/>
                <w:sz w:val="20"/>
                <w:iCs/>
                <w:color w:val="0000FF" w:themeColor="hyperlink"/>
                <w:u w:val="single"/>
              </w:rPr>
              <w:t>V-398</w:t>
            </w:r>
          </w:fldSimple>
          <w:r>
            <w:rPr>
              <w:rFonts w:ascii="Times New Roman" w:eastAsia="MS Mincho" w:hAnsi="Times New Roman"/>
              <w:sz w:val="20"/>
              <w:iCs/>
            </w:rPr>
            <w:t>,
2023-03-31,
paskelbta TAR 2023-03-31, i. k. 2023-06114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82360cbf711eea5a28c81c82193a8">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2024-02-15,
paskelbta TAR 2024-02-15, i. k. 2024-02908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7de340061211efbcbfb318996800a8">
            <w:r w:rsidRPr="00532B9F">
              <w:rPr>
                <w:rFonts w:ascii="Times New Roman" w:eastAsia="MS Mincho" w:hAnsi="Times New Roman"/>
                <w:sz w:val="20"/>
                <w:iCs/>
                <w:color w:val="0000FF" w:themeColor="hyperlink"/>
                <w:u w:val="single"/>
              </w:rPr>
              <w:t>V-484</w:t>
            </w:r>
          </w:fldSimple>
          <w:r>
            <w:rPr>
              <w:rFonts w:ascii="Times New Roman" w:eastAsia="MS Mincho" w:hAnsi="Times New Roman"/>
              <w:sz w:val="20"/>
              <w:iCs/>
            </w:rPr>
            <w:t>,
2024-04-29,
paskelbta TAR 2024-04-29, i. k. 2024-07881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ab40906f3211efa9a4c2046a78b308">
            <w:r w:rsidRPr="00532B9F">
              <w:rPr>
                <w:rFonts w:ascii="Times New Roman" w:eastAsia="MS Mincho" w:hAnsi="Times New Roman"/>
                <w:sz w:val="20"/>
                <w:iCs/>
                <w:color w:val="0000FF" w:themeColor="hyperlink"/>
                <w:u w:val="single"/>
              </w:rPr>
              <w:t>V-885</w:t>
            </w:r>
          </w:fldSimple>
          <w:r>
            <w:rPr>
              <w:rFonts w:ascii="Times New Roman" w:eastAsia="MS Mincho" w:hAnsi="Times New Roman"/>
              <w:sz w:val="20"/>
              <w:iCs/>
            </w:rPr>
            <w:t>,
2024-09-10,
paskelbta TAR 2024-09-10, i. k. 2024-15897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ba406aaf911ef90b5ee8931e5ce5e">
            <w:r w:rsidRPr="00532B9F">
              <w:rPr>
                <w:rFonts w:ascii="Times New Roman" w:eastAsia="MS Mincho" w:hAnsi="Times New Roman"/>
                <w:sz w:val="20"/>
                <w:iCs/>
                <w:color w:val="0000FF" w:themeColor="hyperlink"/>
                <w:u w:val="single"/>
              </w:rPr>
              <w:t>V-1160</w:t>
            </w:r>
          </w:fldSimple>
          <w:r>
            <w:rPr>
              <w:rFonts w:ascii="Times New Roman" w:eastAsia="MS Mincho" w:hAnsi="Times New Roman"/>
              <w:sz w:val="20"/>
              <w:iCs/>
            </w:rPr>
            <w:t>,
2024-11-25,
paskelbta TAR 2024-11-25, i. k. 2024-20448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49ae61c73811efa5ddd96c482819f5">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2024-12-31,
paskelbta TAR 2024-12-31, i. k. 2024-23549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0ba316f27011ef8bf78f8ccc0e0474">
            <w:r w:rsidRPr="00532B9F">
              <w:rPr>
                <w:rFonts w:ascii="Times New Roman" w:eastAsia="MS Mincho" w:hAnsi="Times New Roman"/>
                <w:sz w:val="20"/>
                <w:iCs/>
                <w:color w:val="0000FF" w:themeColor="hyperlink"/>
                <w:u w:val="single"/>
              </w:rPr>
              <w:t>V-138</w:t>
            </w:r>
          </w:fldSimple>
          <w:r>
            <w:rPr>
              <w:rFonts w:ascii="Times New Roman" w:eastAsia="MS Mincho" w:hAnsi="Times New Roman"/>
              <w:sz w:val="20"/>
              <w:iCs/>
            </w:rPr>
            <w:t>,
2025-02-24,
paskelbta TAR 2025-02-24, i. k. 2025-02868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90d302cac11f08fdabd4950271e2c">
            <w:r w:rsidRPr="00532B9F">
              <w:rPr>
                <w:rFonts w:ascii="Times New Roman" w:eastAsia="MS Mincho" w:hAnsi="Times New Roman"/>
                <w:sz w:val="20"/>
                <w:iCs/>
                <w:color w:val="0000FF" w:themeColor="hyperlink"/>
                <w:u w:val="single"/>
              </w:rPr>
              <w:t>V-434</w:t>
            </w:r>
          </w:fldSimple>
          <w:r>
            <w:rPr>
              <w:rFonts w:ascii="Times New Roman" w:eastAsia="MS Mincho" w:hAnsi="Times New Roman"/>
              <w:sz w:val="20"/>
              <w:iCs/>
            </w:rPr>
            <w:t>,
2025-05-09,
paskelbta TAR 2025-05-09, i. k. 2025-08335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b2f55655a311f0b070ee7f1ceefc75">
            <w:r w:rsidRPr="00532B9F">
              <w:rPr>
                <w:rFonts w:ascii="Times New Roman" w:eastAsia="MS Mincho" w:hAnsi="Times New Roman"/>
                <w:sz w:val="20"/>
                <w:iCs/>
                <w:color w:val="0000FF" w:themeColor="hyperlink"/>
                <w:u w:val="single"/>
              </w:rPr>
              <w:t>V-610</w:t>
            </w:r>
          </w:fldSimple>
          <w:r>
            <w:rPr>
              <w:rFonts w:ascii="Times New Roman" w:eastAsia="MS Mincho" w:hAnsi="Times New Roman"/>
              <w:sz w:val="20"/>
              <w:iCs/>
            </w:rPr>
            <w:t>,
2025-06-30,
paskelbta TAR 2025-06-30, i. k. 2025-11917                </w:t>
          </w:r>
        </w:p>
        <w:p>
          <w:pPr>
            <w:jc w:val="both"/>
            <w:rPr>
              <w:rFonts w:ascii="Times New Roman" w:hAnsi="Times New Roman"/>
            </w:rPr>
          </w:pPr>
          <w:r>
            <w:rPr>
              <w:rFonts w:ascii="Times New Roman" w:hAnsi="Times New Roman"/>
              <w:sz w:val="20"/>
            </w:rPr>
            <w:t>Dėl Lietuvos Respublikos sveikatos apsaugos ministro 2025 m. gegužės 9 d. įsakymo Nr. V-434 „Dėl Lietuvos Respublikos sveikatos apsaugos ministro 2005 m. balandžio 27 d. įsakymo Nr. V-304 „Dėl Brangiųjų tyrimų ir procedūrų išlaidų apmokėjimo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bede76ec8911f09cfce49e7aeb76fe">
            <w:r w:rsidRPr="00532B9F">
              <w:rPr>
                <w:rFonts w:ascii="Times New Roman" w:eastAsia="MS Mincho" w:hAnsi="Times New Roman"/>
                <w:sz w:val="20"/>
                <w:iCs/>
                <w:color w:val="0000FF" w:themeColor="hyperlink"/>
                <w:u w:val="single"/>
              </w:rPr>
              <w:t>V-15</w:t>
            </w:r>
          </w:fldSimple>
          <w:r>
            <w:rPr>
              <w:rFonts w:ascii="Times New Roman" w:eastAsia="MS Mincho" w:hAnsi="Times New Roman"/>
              <w:sz w:val="20"/>
              <w:iCs/>
            </w:rPr>
            <w:t>,
2026-01-08,
paskelbta TAR 2026-01-08, i. k. 2026-00252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1dd2637b911f180c9c618618421ed">
            <w:r w:rsidRPr="00532B9F">
              <w:rPr>
                <w:rFonts w:ascii="Times New Roman" w:eastAsia="MS Mincho" w:hAnsi="Times New Roman"/>
                <w:sz w:val="20"/>
                <w:iCs/>
                <w:color w:val="0000FF" w:themeColor="hyperlink"/>
                <w:u w:val="single"/>
              </w:rPr>
              <w:t>V-316</w:t>
            </w:r>
          </w:fldSimple>
          <w:r>
            <w:rPr>
              <w:rFonts w:ascii="Times New Roman" w:eastAsia="MS Mincho" w:hAnsi="Times New Roman"/>
              <w:sz w:val="20"/>
              <w:iCs/>
            </w:rPr>
            <w:t>,
2026-04-14,
paskelbta TAR 2026-04-14, i. k. 2026-05991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c599936ed211f1b53dfa020e517810">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2026-06-23,
paskelbta TAR 2026-06-23, i. k. 2026-10793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c026a62c2111f1a552c76556910e9c">
            <w:r w:rsidRPr="00532B9F">
              <w:rPr>
                <w:rFonts w:ascii="Times New Roman" w:eastAsia="MS Mincho" w:hAnsi="Times New Roman"/>
                <w:sz w:val="20"/>
                <w:iCs/>
                <w:color w:val="0000FF" w:themeColor="hyperlink"/>
                <w:u w:val="single"/>
              </w:rPr>
              <w:t>V-276</w:t>
            </w:r>
          </w:fldSimple>
          <w:r>
            <w:rPr>
              <w:rFonts w:ascii="Times New Roman" w:eastAsia="MS Mincho" w:hAnsi="Times New Roman"/>
              <w:sz w:val="20"/>
              <w:iCs/>
            </w:rPr>
            <w:t>,
2026-03-30,
paskelbta TAR 2026-03-30, i. k. 2026-05160                </w:t>
          </w:r>
        </w:p>
        <w:p>
          <w:pPr>
            <w:jc w:val="both"/>
            <w:rPr>
              <w:rFonts w:ascii="Times New Roman" w:hAnsi="Times New Roman"/>
            </w:rPr>
          </w:pPr>
          <w:r>
            <w:rPr>
              <w:rFonts w:ascii="Times New Roman" w:hAnsi="Times New Roman"/>
              <w:sz w:val="20"/>
            </w:rPr>
            <w:t>Dėl Lietuvos Respublikos sveikatos apsaugos ministro 2005 m. balandžio 27 d. įsakymo Nr. V-304 „Dėl Brangiųjų tyrimų ir procedūrų išlaidų apmokėjimo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680"/>
        <w:tab w:val="right" w:pos="9360"/>
      </w:tabs>
      <w:rPr>
        <w:sz w:val="22"/>
        <w:szCs w:val="22"/>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5</w:t>
    </w:r>
    <w:r>
      <w:rPr>
        <w:lang w:val="x-none"/>
      </w:rPr>
      <w:fldChar w:fldCharType="end"/>
    </w:r>
  </w:p>
  <w:p>
    <w:pPr>
      <w:tabs>
        <w:tab w:val="center" w:pos="4153"/>
        <w:tab w:val="right" w:pos="8306"/>
      </w:tabs>
      <w:rPr>
        <w:lang w:val="x-none"/>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5</w:t>
    </w:r>
    <w:r>
      <w:rPr>
        <w:lang w:val="x-none"/>
      </w:rPr>
      <w:fldChar w:fldCharType="end"/>
    </w:r>
  </w:p>
  <w:p>
    <w:pPr>
      <w:tabs>
        <w:tab w:val="center" w:pos="4153"/>
        <w:tab w:val="right" w:pos="8306"/>
      </w:tabs>
      <w:rPr>
        <w:lang w:val="x-none"/>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5</w:t>
    </w:r>
    <w:r>
      <w:rPr>
        <w:lang w:val="x-none"/>
      </w:rPr>
      <w:fldChar w:fldCharType="end"/>
    </w:r>
  </w:p>
  <w:p>
    <w:pPr>
      <w:tabs>
        <w:tab w:val="center" w:pos="4153"/>
        <w:tab w:val="right" w:pos="8306"/>
      </w:tabs>
      <w:rPr>
        <w:lang w:val="x-none"/>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3</w:t>
    </w:r>
    <w:r>
      <w:rPr>
        <w:lang w:val="x-none"/>
      </w:rPr>
      <w:fldChar w:fldCharType="end"/>
    </w:r>
  </w:p>
  <w:p>
    <w:pPr>
      <w:tabs>
        <w:tab w:val="center" w:pos="4153"/>
        <w:tab w:val="right" w:pos="8306"/>
      </w:tabs>
      <w:rPr>
        <w:lang w:val="x-none"/>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x-none"/>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3</w:t>
    </w:r>
    <w:r>
      <w:rPr>
        <w:lang w:val="x-none"/>
      </w:rPr>
      <w:fldChar w:fldCharType="end"/>
    </w:r>
  </w:p>
  <w:p>
    <w:pPr>
      <w:tabs>
        <w:tab w:val="center" w:pos="4153"/>
        <w:tab w:val="right" w:pos="8306"/>
      </w:tabs>
      <w:rPr>
        <w:lang w:val="x-none"/>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5</w:t>
    </w:r>
    <w:r>
      <w:rPr>
        <w:lang w:val="x-none"/>
      </w:rPr>
      <w:fldChar w:fldCharType="end"/>
    </w:r>
  </w:p>
  <w:p>
    <w:pPr>
      <w:tabs>
        <w:tab w:val="center" w:pos="4153"/>
        <w:tab w:val="right" w:pos="8306"/>
      </w:tabs>
      <w:rPr>
        <w:lang w:val="x-none"/>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6</w:t>
    </w:r>
    <w:r>
      <w:rPr>
        <w:lang w:val="x-none"/>
      </w:rPr>
      <w:fldChar w:fldCharType="end"/>
    </w:r>
  </w:p>
  <w:p>
    <w:pPr>
      <w:tabs>
        <w:tab w:val="center" w:pos="4153"/>
        <w:tab w:val="right" w:pos="8306"/>
      </w:tabs>
      <w:rPr>
        <w:lang w:val="x-none"/>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5</w:t>
    </w:r>
    <w:r>
      <w:rPr>
        <w:lang w:val="x-none"/>
      </w:rPr>
      <w:fldChar w:fldCharType="end"/>
    </w:r>
  </w:p>
  <w:p>
    <w:pPr>
      <w:tabs>
        <w:tab w:val="center" w:pos="4153"/>
        <w:tab w:val="right" w:pos="8306"/>
      </w:tabs>
      <w:rPr>
        <w:lang w:val="x-none"/>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pPr>
      <w:tabs>
        <w:tab w:val="center" w:pos="4153"/>
        <w:tab w:val="right" w:pos="8306"/>
      </w:tabs>
      <w:rPr>
        <w:lang w:val="x-none"/>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10</w:t>
    </w:r>
    <w:r>
      <w:rPr>
        <w:lang w:val="x-none"/>
      </w:rPr>
      <w:fldChar w:fldCharType="end"/>
    </w:r>
  </w:p>
  <w:p>
    <w:pPr>
      <w:tabs>
        <w:tab w:val="center" w:pos="4153"/>
        <w:tab w:val="right" w:pos="8306"/>
      </w:tabs>
      <w:rPr>
        <w:lang w:val="x-none"/>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9</w:t>
    </w:r>
    <w:r>
      <w:rPr>
        <w:lang w:val="x-none"/>
      </w:rPr>
      <w:fldChar w:fldCharType="end"/>
    </w:r>
  </w:p>
  <w:p>
    <w:pPr>
      <w:tabs>
        <w:tab w:val="center" w:pos="4153"/>
        <w:tab w:val="right" w:pos="8306"/>
      </w:tabs>
      <w:rPr>
        <w:lang w:val="x-none"/>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8</w:t>
    </w:r>
    <w:r>
      <w:rPr>
        <w:lang w:val="x-none"/>
      </w:rPr>
      <w:fldChar w:fldCharType="end"/>
    </w:r>
  </w:p>
  <w:p>
    <w:pPr>
      <w:tabs>
        <w:tab w:val="center" w:pos="4153"/>
        <w:tab w:val="right" w:pos="8306"/>
      </w:tabs>
      <w:rPr>
        <w:lang w:val="x-none"/>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6</w:t>
    </w:r>
    <w:r>
      <w:rPr>
        <w:lang w:val="x-none"/>
      </w:rPr>
      <w:fldChar w:fldCharType="end"/>
    </w:r>
  </w:p>
  <w:p>
    <w:pPr>
      <w:tabs>
        <w:tab w:val="center" w:pos="4153"/>
        <w:tab w:val="right" w:pos="8306"/>
      </w:tabs>
      <w:rPr>
        <w:lang w:val="x-none"/>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7</w:t>
    </w:r>
    <w:r>
      <w:rPr>
        <w:lang w:val="x-none"/>
      </w:rPr>
      <w:fldChar w:fldCharType="end"/>
    </w:r>
  </w:p>
  <w:p>
    <w:pPr>
      <w:tabs>
        <w:tab w:val="center" w:pos="4153"/>
        <w:tab w:val="right" w:pos="8306"/>
      </w:tabs>
      <w:rPr>
        <w:lang w:val="x-non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11</w:t>
    </w:r>
    <w:r>
      <w:rPr>
        <w:lang w:val="x-none"/>
      </w:rPr>
      <w:fldChar w:fldCharType="end"/>
    </w:r>
  </w:p>
  <w:p>
    <w:pPr>
      <w:tabs>
        <w:tab w:val="center" w:pos="4153"/>
        <w:tab w:val="right" w:pos="8306"/>
      </w:tabs>
      <w:rPr>
        <w:lang w:val="x-none"/>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12</w:t>
    </w:r>
    <w:r>
      <w:rPr>
        <w:lang w:val="x-none"/>
      </w:rPr>
      <w:fldChar w:fldCharType="end"/>
    </w:r>
  </w:p>
  <w:p>
    <w:pPr>
      <w:tabs>
        <w:tab w:val="center" w:pos="4153"/>
        <w:tab w:val="right" w:pos="8306"/>
      </w:tabs>
      <w:rPr>
        <w:lang w:val="x-none"/>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680"/>
        <w:tab w:val="right" w:pos="9360"/>
      </w:tabs>
      <w:rPr>
        <w:sz w:val="22"/>
        <w:szCs w:val="22"/>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x-none"/>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506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D896F0"/>
  <w15:docId w15:val="{BA482D7D-21E3-47FB-9E03-1C8F084D0F6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customStyle="1" w:styleId="ELEXPPriedas">
    <w:name w:val="ELEX_P_Priedas"/>
    <w:basedOn w:val="prastasis"/>
    <w:next w:val="prastasis"/>
    <w:pPr>
      <w:ind w:left="5103" w:firstLine="720"/>
      <w:jc w:val="both"/>
    </w:pPr>
    <w:rPr>
      <w:rFonts w:ascii="Arial" w:hAnsi="Arial" w:cs="Arial"/>
      <w:sz w:val="20"/>
    </w:rPr>
  </w:style>
  <w:style w:type="paragraph" w:customStyle="1" w:styleId="tajtip">
    <w:name w:val="tajtip"/>
    <w:basedOn w:val="prastasis"/>
    <w:pPr>
      <w:spacing w:before="100" w:beforeAutospacing="1" w:after="100" w:afterAutospacing="1"/>
    </w:pPr>
    <w:rPr>
      <w:szCs w:val="24"/>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37163475">
      <w:bodyDiv w:val="1"/>
      <w:marLeft w:val="0"/>
      <w:marRight w:val="0"/>
      <w:marTop w:val="0"/>
      <w:marBottom w:val="0"/>
      <w:divBdr>
        <w:top w:val="none" w:sz="0" w:space="0" w:color="auto"/>
        <w:left w:val="none" w:sz="0" w:space="0" w:color="auto"/>
        <w:bottom w:val="none" w:sz="0" w:space="0" w:color="auto"/>
        <w:right w:val="none" w:sz="0" w:space="0" w:color="auto"/>
      </w:divBdr>
    </w:div>
    <w:div w:id="1498032148">
      <w:bodyDiv w:val="1"/>
      <w:marLeft w:val="0"/>
      <w:marRight w:val="0"/>
      <w:marTop w:val="0"/>
      <w:marBottom w:val="0"/>
      <w:divBdr>
        <w:top w:val="none" w:sz="0" w:space="0" w:color="auto"/>
        <w:left w:val="none" w:sz="0" w:space="0" w:color="auto"/>
        <w:bottom w:val="none" w:sz="0" w:space="0" w:color="auto"/>
        <w:right w:val="none" w:sz="0" w:space="0" w:color="auto"/>
      </w:divBdr>
    </w:div>
    <w:div w:id="1574656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0.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215.xml"/>
  <Relationship Id="rId18" Type="http://schemas.openxmlformats.org/officeDocument/2006/relationships/header" Target="header216.xml"/>
  <Relationship Id="rId19" Type="http://schemas.openxmlformats.org/officeDocument/2006/relationships/footer" Target="footer210.xml"/>
  <Relationship Id="rId2" Type="http://schemas.openxmlformats.org/officeDocument/2006/relationships/header" Target="header121.xml"/>
  <Relationship Id="rId20" Type="http://schemas.openxmlformats.org/officeDocument/2006/relationships/footer" Target="footer211.xml"/>
  <Relationship Id="rId21" Type="http://schemas.openxmlformats.org/officeDocument/2006/relationships/header" Target="header217.xml"/>
  <Relationship Id="rId22" Type="http://schemas.openxmlformats.org/officeDocument/2006/relationships/footer" Target="footer212.xml"/>
  <Relationship Id="rId23" Type="http://schemas.openxmlformats.org/officeDocument/2006/relationships/customXml" Target="../customXml/item1.xml"/>
  <Relationship Id="rId3" Type="http://schemas.openxmlformats.org/officeDocument/2006/relationships/footer" Target="footer119.xml"/>
  <Relationship Id="rId4" Type="http://schemas.openxmlformats.org/officeDocument/2006/relationships/footer" Target="footer120.xml"/>
  <Relationship Id="rId5" Type="http://schemas.openxmlformats.org/officeDocument/2006/relationships/header" Target="header122.xml"/>
  <Relationship Id="rId6" Type="http://schemas.openxmlformats.org/officeDocument/2006/relationships/footer" Target="footer1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110cee2a7b4f2da6aa85f51ea61eca" PartId="2b7a77afa5a44c2f90912b71068afb0c">
    <Part Type="preambule" DocPartId="6fe6d1546eb943a496abd34acbed67b2" PartId="e8f3d85f9ff64c77b426ba4240b24780"/>
    <Part Type="punktas" Nr="1" Abbr="1 p." DocPartId="47d5204c8a6243d593d304455fe607dd" PartId="8589242e55d8409196925557e5559ec1"/>
    <Part Type="punktas" Nr="2" Abbr="2 p." DocPartId="ff7dd8998d5542049420a4a14ce30cf2" PartId="fb4d8289a67c4a3ebcd0775ecf422d7f"/>
    <Part Type="signatura" DocPartId="98f7a7d12d8b4312bf4ea671b9e2f56f" PartId="c68c9e2a81d145ed8af0b3855be8d692"/>
  </Part>
  <Part Type="patvirtinta" Title="BRANGIŲJŲ TYRIMŲ IR PROCEDŪRŲ IŠLAIDŲ APMOKĖJIMO TVARKOS APRAŠAS" DocPartId="fb7bd2c8b43e44fa809127b52de7ef12" PartId="57bdf6d4d54e4bb88d503367a1500861">
    <Part Type="skyrius" Nr="1" Title="BENDROSIOS NUOSTATOS" DocPartId="1fb385975f12438e8a348d1689f04b5a" PartId="69e40605df8249e182f5ea81f201655d">
      <Part Type="punktas" Nr="1" Abbr="1 p." DocPartId="4511a05347ca40e692130807d24f2aad" PartId="ff8799b5ee9946c597fe028dfc0f8c43"/>
      <Part Type="punktas" Nr="2" Abbr="2 p." DocPartId="371df503601f4dbf81316ff31469313c" PartId="0f32ebcb20354397a6b530e84eb69a0f"/>
      <Part Type="punktas" Nr="3" Abbr="3 p." DocPartId="8af3957579bb4888bdeed5beef34d1f0" PartId="88f6e173a06149abb800e8a594c9f2ff"/>
      <Part Type="punktas" Nr="4" Abbr="4 p." DocPartId="53f21e345c3a4fc99e67f3fa38c78c06" PartId="b24a1db1b12a41a8a286ddf91617663b"/>
      <Part Type="punktas" Nr="5" Abbr="5 p." DocPartId="3ca438bb523245dcb6da2839e5385199" PartId="aa37b5a3035e4cfb82cd6882aff1bcb4"/>
      <Part Type="punktas" Nr="6" Abbr="6 p." DocPartId="1017d3fabd0c4ec8a87b75f83d56deb2" PartId="accf1710e965441db68884ab25cd4678"/>
    </Part>
    <Part Type="skyrius" Nr="2" Title="APMOKĖJIMO TVARKA" DocPartId="4dc651d13abd4a36b6ab33cdfd957536" PartId="ee8d8ff178094a96b1a8db05c8e8d1d5">
      <Part Type="punktas" Nr="7" Abbr="7 p." DocPartId="59d28d30e6cb4cdeb18ec08129515bde" PartId="79bb700c18724fc1b5d849397ba8e617"/>
      <Part Type="punktas" Nr="8" Abbr="8 p." DocPartId="26160a6a4619477ca675aa1e39a713bf" PartId="6609b163ca1e4a628096698a125dc94e">
        <Part Type="papunktis" Nr="8.1" Abbr="8.1 pp." DocPartId="001ae5a0d627405bb98052538c567fcc" PartId="92af2b90936c40b1a86d4ecb53a93ae9"/>
        <Part Type="papunktis" Nr="8.2" Abbr="8.2 pp." DocPartId="06a406aebd994d11be0dd54e130149a9" PartId="274f415140e54fd7858563d8e5202d49"/>
      </Part>
      <Part Type="punktas" Nr="9" Abbr="9 p." DocPartId="980f9dc7b9b34825a4f66a4b6f2cf2d2" PartId="a25c7fe256cd46ad85ce677160a33798"/>
      <Part Type="punktas" Nr="10" Abbr="10 p." DocPartId="88c7ba45523343fca39f6f37a96e3945" PartId="cd2c7040d09f471abfc54dfebe883c5b"/>
      <Part Type="punktas" Nr="11" Abbr="11 p." DocPartId="6e3832b5350c47e8968c24a4c381a006" PartId="b468599435244ea3a354a3ae682c8f84"/>
      <Part Type="punktas" Nr="12" Abbr="12 p." DocPartId="e274291385f34e4490ee327cb7da07b9" PartId="7b19a1c19f1140afaa10d761810bf9eb"/>
      <Part Type="punktas" Nr="13" Abbr="13 p." DocPartId="2bbc3706edd04399aa8733499310bff6" PartId="084598d2baab43708c0cc6dc4885f061"/>
      <Part Type="punktas" Nr="14" Abbr="14 p." DocPartId="7e8ad4a6af39481893eb9dc73208b54b" PartId="671cbd98e3a0498187540bf44b49c1d9"/>
      <Part Type="punktas" Nr="15" Abbr="15 p." DocPartId="de59041097db4b96a4ce2367dce71f73" PartId="1dedc55086c74b8caf30b54275df0a0d"/>
      <Part Type="punktas" Nr="16" Abbr="16 p." DocPartId="a809f86636614b528613bf511472b23d" PartId="d3851559355544e1bb8b205ad67565da"/>
      <Part Type="punktas" Nr="17" Abbr="17 p." DocPartId="ce0ee9ea074c4768a86f33bae9c98472" PartId="9dd32bc3191f487ca9e5d68c258c7d2f"/>
      <Part Type="punktas" Nr="18" Abbr="18 p." DocPartId="2334c6cbfb0b46b18ce2677dba109364" PartId="fb81900ce9a54b82997ed85b02c362ae"/>
      <Part Type="punktas" Nr="19" Abbr="19 p." DocPartId="6892fcb4819c4e109bad28ecb9654132" PartId="4d88d625771b476cabfaa1ef0d3b624a"/>
      <Part Type="punktas" Nr="20" Abbr="20 p." DocPartId="f59ff3dac82740bdb5cb7c9cea312731" PartId="6d76959179cd44d99bed6eaca7dd8ebb"/>
      <Part Type="punktas" Nr="21" Abbr="21 p." DocPartId="c0b3f68af097489aa36f02b8918871f0" PartId="cf325066ed7c46e69851c9f57143f2a8"/>
      <Part Type="punktas" Nr="22" Abbr="22 p." DocPartId="d3b938240592472385f3d00eed83661b" PartId="0332c2497cea49ceb3a12c7f77a6ff15"/>
      <Part Type="punktas" Nr="23" Abbr="23 p." DocPartId="7f62c29af57145ffbd88bed2c9f71da0" PartId="de411e9fed524601aaa6d0d85bcddfec"/>
      <Part Type="punktas" Nr="24" Abbr="24 p." DocPartId="cf972ff10689410fa20edead5d74f5a7" PartId="5587881c203b44d596c3537cff8f6366"/>
      <Part Type="punktas" Nr="25" Abbr="25 p." DocPartId="dae157dfac474343b62415b48f723795" PartId="60f6e58510d64cb69d012519a83f3ad2"/>
    </Part>
    <Part Type="pabaiga" DocPartId="0d88d037db4f4f259ee88674ba392d62" PartId="b7eec9c9362a4b1ca37c461457dfbce0"/>
  </Part>
</Parts>
</file>

<file path=customXml/itemProps1.xml><?xml version="1.0" encoding="utf-8"?>
<ds:datastoreItem xmlns:ds="http://schemas.openxmlformats.org/officeDocument/2006/customXml" ds:itemID="{F9440111-6F71-4790-8A11-B98D282F9C31}">
  <ds:schemaRefs>
    <ds:schemaRef ds:uri="http://lrs.lt/TAIS/DocParts"/>
  </ds:schemaRefs>
</ds:datastoreItem>
</file>

<file path=docProps/app.xml><?xml version="1.0" encoding="utf-8"?>
<Properties xmlns="http://schemas.openxmlformats.org/officeDocument/2006/extended-properties">
  <Template>Normal.dotm</Template>
  <TotalTime>128</TotalTime>
  <Pages>22</Pages>
  <Words>34430</Words>
  <Characters>19626</Characters>
  <Application>Microsoft Office Word</Application>
  <DocSecurity>0</DocSecurity>
  <Lines>163</Lines>
  <Paragraphs>107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53949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2015-07-02T16:21:00Z</dcterms:created>
  <dc:creator>User</dc:creator>
  <lastModifiedBy>TAMALIŪNIENĖ Vilija</lastModifiedBy>
  <dcterms:modified xsi:type="dcterms:W3CDTF">2026-07-01T11:22:00Z</dcterms:modified>
  <revision>91</revision>
</coreProperties>
</file>