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cd1172a8aba34db3a81ca80b75d2f14d"/>
        <w:lock w:val="sdtLocked"/>
        <w:richText/>
      </w:sdtPr>
      <w:sdtContent>
        <w:p>
          <w:pPr>
            <w:jc w:val="both"/>
            <w:rPr>
              <w:rFonts w:ascii="Times New Roman" w:hAnsi="Times New Roman"/>
            </w:rPr>
          </w:pPr>
          <w:r>
            <w:rPr>
              <w:rFonts w:ascii="Times New Roman" w:hAnsi="Times New Roman"/>
              <w:b/>
              <w:i/>
            </w:rPr>
            <w:t>Suvestinė redakcija nuo 2024-01-01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Žin. 2005, Nr. </w:t>
          </w:r>
          <w:fldSimple w:instr="HYPERLINK https://www.e-tar.lt/portal/legalAct.html?documentId=TAR.D9152D5A2E18">
            <w:r w:rsidRPr="00532B9F">
              <w:rPr>
                <w:rFonts w:ascii="Times New Roman" w:eastAsia="MS Mincho" w:hAnsi="Times New Roman"/>
                <w:sz w:val="20"/>
                <w:i/>
                <w:iCs/>
                <w:color w:val="0000FF" w:themeColor="hyperlink"/>
                <w:u w:val="single"/>
              </w:rPr>
              <w:t>29-912</w:t>
            </w:r>
          </w:fldSimple>
          <w:r>
            <w:rPr>
              <w:rFonts w:ascii="Times New Roman" w:eastAsia="MS Mincho" w:hAnsi="Times New Roman"/>
              <w:sz w:val="20"/>
              <w:i/>
              <w:iCs/>
            </w:rPr>
            <w:t>, i. k. 1051100NUTA00000217</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2023-04-01:</w:t>
          </w:r>
        </w:p>
        <w:p>
          <w:pPr>
            <w:rPr>
              <w:rFonts w:ascii="Times New Roman" w:hAnsi="Times New Roman"/>
              <w:sz w:val="20"/>
              <w:i/>
            </w:rPr>
          </w:pPr>
          <w:r>
            <w:rPr>
              <w:rFonts w:ascii="Times New Roman" w:hAnsi="Times New Roman"/>
              <w:sz w:val="20"/>
              <w:i/>
            </w:rPr>
            <w:t xml:space="preserve">Nr. </w:t>
          </w:r>
          <w:fldSimple w:instr="HYPERLINK https://www.e-tar.lt/portal/legalAct.html?documentId=d6df5ae0cec311ed9978886e85107ab2">
            <w:r w:rsidRPr="00532B9F">
              <w:rPr>
                <w:rFonts w:ascii="Times New Roman" w:eastAsia="MS Mincho" w:hAnsi="Times New Roman"/>
                <w:sz w:val="20"/>
                <w:i/>
                <w:iCs/>
                <w:color w:val="0000FF" w:themeColor="hyperlink"/>
                <w:u w:val="single"/>
              </w:rPr>
              <w:t>202</w:t>
            </w:r>
          </w:fldSimple>
          <w:r>
            <w:rPr>
              <w:rFonts w:ascii="Times New Roman" w:eastAsia="MS Mincho" w:hAnsi="Times New Roman"/>
              <w:sz w:val="20"/>
              <w:i/>
              <w:iCs/>
            </w:rPr>
            <w:t>,
2023-03-29,
paskelbta TAR 2023-03-30, i. k. 2023-05717                </w:t>
          </w:r>
        </w:p>
        <w:p>
          <w:pPr>
            <w:rPr>
              <w:rFonts w:ascii="Times New Roman" w:hAnsi="Times New Roman"/>
              <w:sz w:val="22"/>
            </w:rPr>
          </w:pPr>
        </w:p>
        <w:p>
          <w:pPr>
            <w:tabs>
              <w:tab w:val="center" w:pos="4153"/>
              <w:tab w:val="right" w:pos="8306"/>
            </w:tabs>
            <w:ind w:firstLine="720"/>
            <w:jc w:val="center"/>
            <w:rPr>
              <w:szCs w:val="24"/>
              <w:lang w:eastAsia="lt-LT"/>
            </w:rPr>
          </w:pPr>
          <w:r>
            <w:rPr>
              <w:b/>
              <w:bCs/>
              <w:szCs w:val="24"/>
              <w:lang w:eastAsia="lt-LT"/>
            </w:rPr>
            <w:t>LIETUVOS RESPUBLIKOS VYRIAUSYBĖ</w:t>
          </w:r>
        </w:p>
        <w:p>
          <w:pPr>
            <w:tabs>
              <w:tab w:val="center" w:pos="4153"/>
              <w:tab w:val="right" w:pos="8306"/>
            </w:tabs>
            <w:ind w:firstLine="720"/>
            <w:jc w:val="center"/>
            <w:rPr>
              <w:szCs w:val="24"/>
              <w:lang w:eastAsia="lt-LT"/>
            </w:rPr>
          </w:pPr>
        </w:p>
        <w:p>
          <w:pPr>
            <w:tabs>
              <w:tab w:val="center" w:pos="4153"/>
              <w:tab w:val="right" w:pos="8306"/>
            </w:tabs>
            <w:ind w:firstLine="720"/>
            <w:jc w:val="center"/>
            <w:rPr>
              <w:b/>
              <w:bCs/>
              <w:szCs w:val="24"/>
              <w:lang w:eastAsia="lt-LT"/>
            </w:rPr>
          </w:pPr>
          <w:r>
            <w:rPr>
              <w:b/>
              <w:bCs/>
              <w:szCs w:val="24"/>
              <w:lang w:eastAsia="lt-LT"/>
            </w:rPr>
            <w:t>NUTARIMAS</w:t>
          </w:r>
        </w:p>
        <w:p>
          <w:pPr>
            <w:tabs>
              <w:tab w:val="center" w:pos="4153"/>
              <w:tab w:val="right" w:pos="8306"/>
            </w:tabs>
            <w:jc w:val="center"/>
            <w:rPr>
              <w:b/>
              <w:bCs/>
              <w:szCs w:val="24"/>
              <w:lang w:eastAsia="lt-LT"/>
            </w:rPr>
          </w:pPr>
          <w:r>
            <w:rPr>
              <w:b/>
              <w:bCs/>
              <w:szCs w:val="24"/>
              <w:lang w:eastAsia="lt-LT"/>
            </w:rPr>
            <w:t>DĖL KOMPENSACINIŲ IŠMOKŲ PROFESIONALIOJO SCENOS MENO ĮSTAIGŲ KŪRYBINIAMS DARBUOTOJAMS SKYRIMO IR MOKĖJIMO TVARKOS APRAŠO PATVIRTINIMO</w:t>
          </w:r>
        </w:p>
        <w:p>
          <w:pPr>
            <w:tabs>
              <w:tab w:val="center" w:pos="4153"/>
              <w:tab w:val="right" w:pos="8306"/>
            </w:tabs>
            <w:jc w:val="center"/>
            <w:rPr>
              <w:b/>
              <w:bCs/>
              <w:szCs w:val="24"/>
              <w:lang w:eastAsia="lt-LT"/>
            </w:rPr>
          </w:pPr>
        </w:p>
        <w:p>
          <w:pPr>
            <w:tabs>
              <w:tab w:val="center" w:pos="4153"/>
              <w:tab w:val="right" w:pos="8306"/>
            </w:tabs>
            <w:jc w:val="center"/>
            <w:rPr>
              <w:b/>
              <w:bCs/>
              <w:szCs w:val="24"/>
              <w:lang w:eastAsia="lt-LT"/>
            </w:rPr>
          </w:pPr>
          <w:r>
            <w:rPr>
              <w:color w:val="000000"/>
            </w:rPr>
            <w:t>2005 m. vasario 24 d. Nr. 217</w:t>
          </w:r>
        </w:p>
        <w:p>
          <w:pPr>
            <w:tabs>
              <w:tab w:val="center" w:pos="4153"/>
              <w:tab w:val="right" w:pos="8306"/>
            </w:tabs>
            <w:jc w:val="center"/>
            <w:rPr>
              <w:bCs/>
              <w:szCs w:val="24"/>
              <w:lang w:eastAsia="lt-LT"/>
            </w:rPr>
          </w:pPr>
          <w:r>
            <w:rPr>
              <w:bCs/>
              <w:szCs w:val="24"/>
              <w:lang w:eastAsia="lt-LT"/>
            </w:rPr>
            <w:t>Vilnius</w:t>
          </w:r>
        </w:p>
        <w:p>
          <w:pPr>
            <w:tabs>
              <w:tab w:val="center" w:pos="4153"/>
              <w:tab w:val="right" w:pos="8306"/>
            </w:tabs>
            <w:ind w:firstLine="720"/>
            <w:rPr>
              <w:szCs w:val="24"/>
              <w:lang w:eastAsia="lt-LT"/>
            </w:rPr>
          </w:pPr>
        </w:p>
        <w:sdt>
          <w:sdtPr>
            <w:alias w:val="preambule"/>
            <w:tag w:val="part_c187416b0b5245a2aefa07d2f4bde39c"/>
            <w:lock w:val="sdtLocked"/>
            <w:richText/>
          </w:sdtPr>
          <w:sdtContent>
            <w:p>
              <w:pPr>
                <w:tabs>
                  <w:tab w:val="left" w:pos="1134"/>
                  <w:tab w:val="left" w:pos="1276"/>
                </w:tabs>
                <w:ind w:firstLine="720"/>
                <w:jc w:val="both"/>
                <w:rPr>
                  <w:szCs w:val="24"/>
                  <w:lang w:eastAsia="lt-LT"/>
                </w:rPr>
              </w:pPr>
              <w:r>
                <w:rPr>
                  <w:szCs w:val="24"/>
                  <w:lang w:eastAsia="lt-LT"/>
                </w:rPr>
                <w:t xml:space="preserve">Vadovaudamasi Lietuvos Respublikos profesionaliojo scenos meno įstatymo </w:t>
              </w:r>
              <w:r>
                <w:rPr>
                  <w:iCs/>
                  <w:szCs w:val="24"/>
                  <w:lang w:eastAsia="lt-LT"/>
                </w:rPr>
                <w:t xml:space="preserve">14 straipsnio 1 dalimi, </w:t>
              </w:r>
              <w:r>
                <w:rPr>
                  <w:szCs w:val="24"/>
                  <w:lang w:eastAsia="lt-LT"/>
                </w:rPr>
                <w:t>Lietuvos Respublikos Vyriausybė</w:t>
              </w:r>
              <w:r>
                <w:rPr>
                  <w:spacing w:val="100"/>
                  <w:szCs w:val="24"/>
                  <w:lang w:eastAsia="lt-LT"/>
                </w:rPr>
                <w:t xml:space="preserve"> nutari</w:t>
              </w:r>
              <w:r>
                <w:rPr>
                  <w:szCs w:val="24"/>
                  <w:lang w:eastAsia="lt-LT"/>
                </w:rPr>
                <w:t>a:</w:t>
              </w:r>
            </w:p>
          </w:sdtContent>
        </w:sdt>
        <w:sdt>
          <w:sdtPr>
            <w:alias w:val="pastraipa"/>
            <w:tag w:val="part_25920ee1fc184ff5abae64de4dd398e8"/>
            <w:lock w:val="sdtLocked"/>
            <w:richText/>
          </w:sdtPr>
          <w:sdtContent>
            <w:p>
              <w:pPr>
                <w:tabs>
                  <w:tab w:val="center" w:pos="4153"/>
                  <w:tab w:val="right" w:pos="8306"/>
                </w:tabs>
                <w:ind w:firstLine="720"/>
                <w:jc w:val="both"/>
              </w:pPr>
              <w:r>
                <w:rPr>
                  <w:szCs w:val="24"/>
                  <w:lang w:eastAsia="lt-LT"/>
                </w:rPr>
                <w:t>Patvirtinti Kompensacinių išmokų profesionaliojo scenos meno įstaigų kūrybiniams darbuotojams skyrimo ir mokėjimo tvarkos aprašą (pridedama).</w:t>
              </w:r>
              <w:r>
                <w:t xml:space="preserve"> </w:t>
              </w:r>
            </w:p>
          </w:sdtContent>
        </w:sdt>
        <w:sdt>
          <w:sdtPr>
            <w:alias w:val="signatura"/>
            <w:tag w:val="part_51eab583fa8a4d7ca7688de827ad7f08"/>
            <w:lock w:val="sdtLocked"/>
            <w:richText/>
          </w:sdtPr>
          <w:sdtContent>
            <w:p>
              <w:pPr>
                <w:tabs>
                  <w:tab w:val="right" w:pos="9639"/>
                </w:tabs>
              </w:pPr>
            </w:p>
            <w:p>
              <w:pPr>
                <w:tabs>
                  <w:tab w:val="right" w:pos="9639"/>
                </w:tabs>
              </w:pPr>
            </w:p>
            <w:p>
              <w:pPr>
                <w:tabs>
                  <w:tab w:val="right" w:pos="9639"/>
                </w:tabs>
              </w:pPr>
            </w:p>
            <w:p>
              <w:pPr>
                <w:tabs>
                  <w:tab w:val="right" w:pos="9639"/>
                </w:tabs>
                <w:rPr>
                  <w:caps/>
                </w:rPr>
              </w:pPr>
              <w:r>
                <w:rPr>
                  <w:caps/>
                </w:rPr>
                <w:t>Ministras Pirmininkas</w:t>
                <w:tab/>
                <w:t>Algirdas Brazauskas</w:t>
              </w:r>
            </w:p>
            <w:p>
              <w:pPr>
                <w:tabs>
                  <w:tab w:val="right" w:pos="9639"/>
                </w:tabs>
                <w:rPr>
                  <w:caps/>
                </w:rPr>
              </w:pPr>
            </w:p>
            <w:p>
              <w:pPr>
                <w:tabs>
                  <w:tab w:val="right" w:pos="9639"/>
                </w:tabs>
                <w:rPr>
                  <w:caps/>
                </w:rPr>
              </w:pPr>
            </w:p>
            <w:p>
              <w:pPr>
                <w:tabs>
                  <w:tab w:val="right" w:pos="9639"/>
                </w:tabs>
                <w:rPr>
                  <w:caps/>
                </w:rPr>
              </w:pPr>
            </w:p>
            <w:p>
              <w:pPr>
                <w:tabs>
                  <w:tab w:val="right" w:pos="9639"/>
                </w:tabs>
              </w:pPr>
              <w:r>
                <w:rPr>
                  <w:caps/>
                </w:rPr>
                <w:t>Kultūros ministras</w:t>
                <w:tab/>
                <w:t>Vladimiras Prudnikovas</w:t>
              </w:r>
            </w:p>
          </w:sdtContent>
        </w:sdt>
        <w:p/>
      </w:sdtContent>
    </w:sdt>
    <w:sdt>
      <w:sdtPr>
        <w:alias w:val="patvirtinta"/>
        <w:tag w:val="part_a8306314dec84d8fa5c608a58c93c9f9"/>
        <w:lock w:val="sdtLocked"/>
        <w:richText/>
      </w:sdtPr>
      <w:sdtContent>
        <w:p>
          <w:pPr>
            <w:ind w:left="4820"/>
            <w:sectPr>
              <w:headerReference w:type="even" r:id="rId8"/>
              <w:headerReference w:type="default" r:id="rId9"/>
              <w:footerReference w:type="even" r:id="rId10"/>
              <w:footerReference w:type="default" r:id="rId11"/>
              <w:headerReference w:type="first" r:id="rId12"/>
              <w:footerReference w:type="first" r:id="rId13"/>
              <w:type w:val="continuous"/>
              <w:pgSz w:w="11906" w:h="16838" w:code="9"/>
              <w:pgMar w:top="1134" w:right="1134" w:bottom="1134" w:left="1701" w:header="567" w:footer="567" w:gutter="0"/>
              <w:cols w:space="1296"/>
              <w:titlePg/>
            </w:sectPr>
          </w:pPr>
        </w:p>
        <w:p>
          <w:pPr>
            <w:ind w:left="4820"/>
            <w:rPr>
              <w:lang w:eastAsia="lt-LT"/>
            </w:rPr>
          </w:pPr>
          <w:r>
            <w:rPr>
              <w:lang w:eastAsia="ar-SA"/>
            </w:rPr>
            <w:t>PATVIRTINTA</w:t>
            <w:br/>
            <w:t>Lietuvos Respublikos Vyriausybės</w:t>
            <w:br/>
          </w:r>
          <w:r>
            <w:rPr>
              <w:lang w:eastAsia="lt-LT"/>
            </w:rPr>
            <w:t>2005 m. vasario 24 d. nutarimu Nr. 217</w:t>
          </w:r>
          <w:r>
            <w:rPr>
              <w:lang w:eastAsia="ar-SA"/>
            </w:rPr>
            <w:br/>
            <w:t>(Lietuvos Respublikos Vyriausybės</w:t>
            <w:br/>
          </w:r>
          <w:r>
            <w:rPr>
              <w:lang w:eastAsia="lt-LT"/>
            </w:rPr>
            <w:t xml:space="preserve">2023 m. kovo 29 d.  </w:t>
          </w:r>
          <w:r>
            <w:rPr>
              <w:lang w:eastAsia="ar-SA"/>
            </w:rPr>
            <w:t xml:space="preserve">nutarimo </w:t>
          </w:r>
          <w:r>
            <w:rPr>
              <w:lang w:eastAsia="lt-LT"/>
            </w:rPr>
            <w:t xml:space="preserve">Nr. 202  redakcija)</w:t>
          </w:r>
        </w:p>
        <w:p>
          <w:pPr>
            <w:tabs>
              <w:tab w:val="center" w:pos="4153"/>
              <w:tab w:val="right" w:pos="8306"/>
            </w:tabs>
            <w:rPr>
              <w:lang w:eastAsia="lt-LT"/>
            </w:rPr>
          </w:pPr>
        </w:p>
        <w:p>
          <w:pPr>
            <w:jc w:val="center"/>
            <w:rPr>
              <w:lang w:eastAsia="lt-LT"/>
            </w:rPr>
          </w:pPr>
          <w:sdt>
            <w:sdtPr>
              <w:alias w:val="Pavadinimas"/>
              <w:tag w:val="title_a8306314dec84d8fa5c608a58c93c9f9"/>
              <w:lock w:val="sdtLocked"/>
              <w:richText/>
            </w:sdtPr>
            <w:sdtContent>
              <w:r>
                <w:rPr>
                  <w:b/>
                  <w:lang w:eastAsia="lt-LT"/>
                </w:rPr>
                <w:t>KOMPENSACINIŲ IŠMOKŲ PROFESIONALIOJO SCENOS MENO ĮSTAIGŲ KŪRYBINIAMS DARBUOTOJAMS</w:t>
              </w:r>
              <w:r>
                <w:rPr>
                  <w:b/>
                  <w:bCs/>
                  <w:caps/>
                  <w:lang w:eastAsia="lt-LT"/>
                </w:rPr>
                <w:t xml:space="preserve"> </w:t>
              </w:r>
              <w:r>
                <w:rPr>
                  <w:b/>
                  <w:caps/>
                  <w:lang w:eastAsia="lt-LT"/>
                </w:rPr>
                <w:t xml:space="preserve">SKYRIMO IR MOKĖJIMO TVARKOS </w:t>
              </w:r>
              <w:r>
                <w:rPr>
                  <w:b/>
                  <w:bCs/>
                  <w:caps/>
                  <w:lang w:eastAsia="lt-LT"/>
                </w:rPr>
                <w:t>APRAŠAS</w:t>
              </w:r>
            </w:sdtContent>
          </w:sdt>
        </w:p>
        <w:p>
          <w:pPr>
            <w:keepNext/>
            <w:outlineLvl w:val="1"/>
            <w:rPr>
              <w:bCs/>
              <w:caps/>
              <w:lang w:eastAsia="lt-LT"/>
            </w:rPr>
          </w:pPr>
        </w:p>
        <w:sdt>
          <w:sdtPr>
            <w:alias w:val="skyrius"/>
            <w:tag w:val="part_7c1d95ad0ac24886a921ca4d6821e7d1"/>
            <w:lock w:val="sdtLocked"/>
            <w:richText/>
          </w:sdtPr>
          <w:sdtContent>
            <w:p>
              <w:pPr>
                <w:keepNext/>
                <w:jc w:val="center"/>
                <w:rPr>
                  <w:b/>
                  <w:bCs/>
                  <w:caps/>
                  <w:lang w:eastAsia="lt-LT"/>
                </w:rPr>
              </w:pPr>
              <w:sdt>
                <w:sdtPr>
                  <w:alias w:val="Numeris"/>
                  <w:tag w:val="nr_7c1d95ad0ac24886a921ca4d6821e7d1"/>
                  <w:lock w:val="sdtLocked"/>
                  <w:richText/>
                </w:sdtPr>
                <w:sdtContent>
                  <w:r>
                    <w:rPr>
                      <w:b/>
                      <w:bCs/>
                      <w:lang w:eastAsia="lt-LT"/>
                    </w:rPr>
                    <w:t>I</w:t>
                  </w:r>
                </w:sdtContent>
              </w:sdt>
              <w:r>
                <w:rPr>
                  <w:b/>
                  <w:bCs/>
                  <w:lang w:eastAsia="lt-LT"/>
                </w:rPr>
                <w:t xml:space="preserve"> SKYRIUS</w:t>
              </w:r>
            </w:p>
            <w:p>
              <w:pPr>
                <w:keepNext/>
                <w:jc w:val="center"/>
                <w:rPr>
                  <w:b/>
                  <w:caps/>
                  <w:lang w:eastAsia="lt-LT"/>
                </w:rPr>
              </w:pPr>
              <w:sdt>
                <w:sdtPr>
                  <w:alias w:val="Pavadinimas"/>
                  <w:tag w:val="title_7c1d95ad0ac24886a921ca4d6821e7d1"/>
                  <w:lock w:val="sdtLocked"/>
                  <w:richText/>
                </w:sdtPr>
                <w:sdtContent>
                  <w:r>
                    <w:rPr>
                      <w:b/>
                      <w:bCs/>
                      <w:lang w:eastAsia="lt-LT"/>
                    </w:rPr>
                    <w:t>BENDROSIOS NUOSTATOS</w:t>
                  </w:r>
                </w:sdtContent>
              </w:sdt>
            </w:p>
            <w:p>
              <w:pPr>
                <w:jc w:val="center"/>
                <w:rPr>
                  <w:lang w:eastAsia="lt-LT"/>
                </w:rPr>
              </w:pPr>
            </w:p>
            <w:sdt>
              <w:sdtPr>
                <w:alias w:val="1 p."/>
                <w:tag w:val="part_ce8ad6dbbe2a4888a98b6667739f7ef9"/>
                <w:lock w:val="sdtLocked"/>
                <w:richText/>
              </w:sdtPr>
              <w:sdtContent>
                <w:p>
                  <w:pPr>
                    <w:ind w:firstLine="720"/>
                    <w:jc w:val="both"/>
                    <w:rPr>
                      <w:bCs/>
                      <w:szCs w:val="24"/>
                      <w:lang w:eastAsia="lt-LT"/>
                    </w:rPr>
                  </w:pPr>
                  <w:sdt>
                    <w:sdtPr>
                      <w:alias w:val="Numeris"/>
                      <w:tag w:val="nr_ce8ad6dbbe2a4888a98b6667739f7ef9"/>
                      <w:lock w:val="sdtLocked"/>
                      <w:richText/>
                    </w:sdtPr>
                    <w:sdtContent>
                      <w:r>
                        <w:rPr>
                          <w:szCs w:val="24"/>
                          <w:lang w:eastAsia="lt-LT"/>
                        </w:rPr>
                        <w:t>1</w:t>
                      </w:r>
                    </w:sdtContent>
                  </w:sdt>
                  <w:r>
                    <w:rPr>
                      <w:szCs w:val="24"/>
                      <w:lang w:eastAsia="lt-LT"/>
                    </w:rPr>
                    <w:t>. Kompensacinių išmokų profesionaliojo scenos meno įstaigų kūrybiniams darbuotojams skyrimo ir mokėjimo tvarkos aprašas (toliau – Aprašas) reglamentuoja Lietuvos Respublikos profesionaliojo scenos meno įstatymo (toliau – Įstatymas) 14 straipsnyje nustatytų kompensacinių išmokų profesionaliojo scenos meno įstaigų kūrybiniams darbuotojams (toliau – išmoka) sky</w:t>
                  </w:r>
                  <w:r>
                    <w:rPr>
                      <w:bCs/>
                      <w:szCs w:val="24"/>
                      <w:lang w:eastAsia="lt-LT"/>
                    </w:rPr>
                    <w:t>rimą ir mokėjimą.</w:t>
                  </w:r>
                </w:p>
              </w:sdtContent>
            </w:sdt>
            <w:sdt>
              <w:sdtPr>
                <w:alias w:val="2 p."/>
                <w:tag w:val="part_6d85559bad624bb1a59c1c6d0a825736"/>
                <w:lock w:val="sdtLocked"/>
                <w:richText/>
              </w:sdtPr>
              <w:sdtContent>
                <w:p>
                  <w:pPr>
                    <w:ind w:firstLine="720"/>
                    <w:jc w:val="both"/>
                    <w:rPr>
                      <w:szCs w:val="24"/>
                      <w:lang w:eastAsia="lt-LT"/>
                    </w:rPr>
                  </w:pPr>
                  <w:sdt>
                    <w:sdtPr>
                      <w:alias w:val="Numeris"/>
                      <w:tag w:val="nr_6d85559bad624bb1a59c1c6d0a825736"/>
                      <w:lock w:val="sdtLocked"/>
                      <w:richText/>
                    </w:sdtPr>
                    <w:sdtContent>
                      <w:r>
                        <w:rPr>
                          <w:szCs w:val="24"/>
                          <w:lang w:eastAsia="lt-LT"/>
                        </w:rPr>
                        <w:t>2</w:t>
                      </w:r>
                    </w:sdtContent>
                  </w:sdt>
                  <w:r>
                    <w:rPr>
                      <w:szCs w:val="24"/>
                      <w:lang w:eastAsia="lt-LT"/>
                    </w:rPr>
                    <w:t xml:space="preserve">. Apraše vartojamos sąvokos suprantamos taip, kaip jos apibrėžtos </w:t>
                  </w:r>
                  <w:r>
                    <w:rPr>
                      <w:szCs w:val="24"/>
                      <w:shd w:val="clear" w:color="auto" w:fill="FFFFFF"/>
                    </w:rPr>
                    <w:t xml:space="preserve">2016 m. balandžio 27 d. Europos Parlamento ir Tarybos reglamente </w:t>
                  </w:r>
                  <w:r>
                    <w:rPr>
                      <w:szCs w:val="24"/>
                    </w:rPr>
                    <w:t xml:space="preserve">(ES) 2016/679 </w:t>
                  </w:r>
                  <w:r>
                    <w:rPr>
                      <w:szCs w:val="24"/>
                      <w:shd w:val="clear" w:color="auto" w:fill="FFFFFF"/>
                    </w:rPr>
                    <w:t>dėl fizinių asmenų apsaugos tvarkant asmens duomenis ir dėl laisvo tokių duomenų judėjimo ir kuriuo panaikinama Direktyva</w:t>
                  </w:r>
                  <w:r>
                    <w:rPr>
                      <w:szCs w:val="24"/>
                    </w:rPr>
                    <w:t xml:space="preserve"> 95/46/EB</w:t>
                  </w:r>
                  <w:r>
                    <w:rPr>
                      <w:szCs w:val="24"/>
                      <w:shd w:val="clear" w:color="auto" w:fill="FFFFFF"/>
                    </w:rPr>
                    <w:t xml:space="preserve"> (Bendrasis duomenų apsaugos reglamentas),</w:t>
                  </w:r>
                  <w:r>
                    <w:rPr>
                      <w:szCs w:val="24"/>
                      <w:lang w:eastAsia="lt-LT"/>
                    </w:rPr>
                    <w:t xml:space="preserve"> Įstatyme, Lietuvos Respublikos darbuotojų saugos ir sveikatos įstatyme, </w:t>
                  </w:r>
                  <w:r>
                    <w:rPr>
                      <w:spacing w:val="2"/>
                      <w:szCs w:val="24"/>
                      <w:shd w:val="clear" w:color="auto" w:fill="FFFFFF"/>
                    </w:rPr>
                    <w:t>Lietuvos Respublikos valstybinio socialinio draudimo įstatyme</w:t>
                  </w:r>
                  <w:r>
                    <w:rPr>
                      <w:szCs w:val="24"/>
                      <w:lang w:eastAsia="lt-LT"/>
                    </w:rPr>
                    <w:t>.</w:t>
                  </w:r>
                </w:p>
                <w:p>
                  <w:pPr>
                    <w:ind w:firstLine="720"/>
                    <w:jc w:val="both"/>
                    <w:rPr>
                      <w:szCs w:val="24"/>
                      <w:lang w:eastAsia="lt-LT"/>
                    </w:rPr>
                  </w:pPr>
                </w:p>
              </w:sdtContent>
            </w:sdt>
          </w:sdtContent>
        </w:sdt>
        <w:sdt>
          <w:sdtPr>
            <w:alias w:val="skyrius"/>
            <w:tag w:val="part_19de32a5807b42e0a9f6b617733b583a"/>
            <w:lock w:val="sdtLocked"/>
            <w:richText/>
          </w:sdtPr>
          <w:sdtContent>
            <w:p>
              <w:pPr>
                <w:keepNext/>
                <w:jc w:val="center"/>
                <w:outlineLvl w:val="1"/>
                <w:rPr>
                  <w:b/>
                  <w:caps/>
                  <w:szCs w:val="24"/>
                  <w:lang w:eastAsia="lt-LT"/>
                </w:rPr>
              </w:pPr>
              <w:sdt>
                <w:sdtPr>
                  <w:alias w:val="Numeris"/>
                  <w:tag w:val="nr_19de32a5807b42e0a9f6b617733b583a"/>
                  <w:lock w:val="sdtLocked"/>
                  <w:richText/>
                </w:sdtPr>
                <w:sdtContent>
                  <w:r>
                    <w:rPr>
                      <w:b/>
                      <w:caps/>
                      <w:szCs w:val="24"/>
                      <w:lang w:eastAsia="lt-LT"/>
                    </w:rPr>
                    <w:t>II</w:t>
                  </w:r>
                </w:sdtContent>
              </w:sdt>
              <w:r>
                <w:rPr>
                  <w:b/>
                  <w:caps/>
                  <w:szCs w:val="24"/>
                  <w:lang w:eastAsia="lt-LT"/>
                </w:rPr>
                <w:t xml:space="preserve"> SKYRIUS </w:t>
              </w:r>
            </w:p>
            <w:p>
              <w:pPr>
                <w:keepNext/>
                <w:jc w:val="center"/>
                <w:outlineLvl w:val="1"/>
                <w:rPr>
                  <w:b/>
                  <w:caps/>
                  <w:szCs w:val="24"/>
                  <w:lang w:eastAsia="lt-LT"/>
                </w:rPr>
              </w:pPr>
              <w:sdt>
                <w:sdtPr>
                  <w:alias w:val="Pavadinimas"/>
                  <w:tag w:val="title_19de32a5807b42e0a9f6b617733b583a"/>
                  <w:lock w:val="sdtLocked"/>
                  <w:richText/>
                </w:sdtPr>
                <w:sdtContent>
                  <w:r>
                    <w:rPr>
                      <w:b/>
                      <w:caps/>
                      <w:szCs w:val="24"/>
                      <w:lang w:eastAsia="lt-LT"/>
                    </w:rPr>
                    <w:t>KREIPIMASIS DĖL IŠMOKOS SKYRIMO</w:t>
                  </w:r>
                </w:sdtContent>
              </w:sdt>
            </w:p>
            <w:p>
              <w:pPr>
                <w:ind w:firstLine="567"/>
                <w:jc w:val="both"/>
                <w:rPr>
                  <w:szCs w:val="24"/>
                  <w:lang w:eastAsia="lt-LT"/>
                </w:rPr>
              </w:pPr>
            </w:p>
            <w:sdt>
              <w:sdtPr>
                <w:alias w:val="3 p."/>
                <w:tag w:val="part_f8e24a2ecf3a4275baccfa677bad9e3b"/>
                <w:lock w:val="sdtLocked"/>
                <w:richText/>
              </w:sdtPr>
              <w:sdtContent>
                <w:p>
                  <w:pPr>
                    <w:tabs>
                      <w:tab w:val="left" w:pos="709"/>
                    </w:tabs>
                    <w:ind w:firstLine="709"/>
                    <w:jc w:val="both"/>
                    <w:rPr>
                      <w:b/>
                      <w:bCs/>
                      <w:szCs w:val="24"/>
                      <w:lang w:eastAsia="lt-LT"/>
                    </w:rPr>
                  </w:pPr>
                  <w:sdt>
                    <w:sdtPr>
                      <w:alias w:val="Numeris"/>
                      <w:tag w:val="nr_f8e24a2ecf3a4275baccfa677bad9e3b"/>
                      <w:lock w:val="sdtLocked"/>
                      <w:richText/>
                    </w:sdtPr>
                    <w:sdtContent>
                      <w:r>
                        <w:rPr>
                          <w:szCs w:val="24"/>
                          <w:lang w:eastAsia="lt-LT"/>
                        </w:rPr>
                        <w:t>3</w:t>
                      </w:r>
                    </w:sdtContent>
                  </w:sdt>
                  <w:r>
                    <w:rPr>
                      <w:szCs w:val="24"/>
                      <w:lang w:eastAsia="lt-LT"/>
                    </w:rPr>
                    <w:t xml:space="preserve">. Profesionaliojo scenos meno įstaigų kūrybiniai darbuotojai, pagal Įstatymo 14 straipsnio 1 ir 2 dalis turintys teisę gauti išmoką (toliau – asmenys), dėl išmokos skyrimo kreipiasi į Lietuvos Respublikos kultūros ministeriją (toliau – išmoką skirianti įstaiga), pateikdami šiuos dokumentus: </w:t>
                  </w:r>
                </w:p>
                <w:sdt>
                  <w:sdtPr>
                    <w:alias w:val="3.1 pp."/>
                    <w:tag w:val="part_1ae592110898424c9d2d44327ba26b68"/>
                    <w:lock w:val="sdtLocked"/>
                    <w:richText/>
                  </w:sdtPr>
                  <w:sdtContent>
                    <w:p>
                      <w:pPr>
                        <w:ind w:firstLine="720"/>
                        <w:jc w:val="both"/>
                        <w:rPr>
                          <w:szCs w:val="24"/>
                          <w:lang w:eastAsia="lt-LT"/>
                        </w:rPr>
                      </w:pPr>
                      <w:sdt>
                        <w:sdtPr>
                          <w:alias w:val="Numeris"/>
                          <w:tag w:val="nr_1ae592110898424c9d2d44327ba26b68"/>
                          <w:lock w:val="sdtLocked"/>
                          <w:richText/>
                        </w:sdtPr>
                        <w:sdtContent>
                          <w:r>
                            <w:rPr>
                              <w:szCs w:val="24"/>
                              <w:lang w:eastAsia="lt-LT"/>
                            </w:rPr>
                            <w:t>3.1</w:t>
                          </w:r>
                        </w:sdtContent>
                      </w:sdt>
                      <w:r>
                        <w:rPr>
                          <w:szCs w:val="24"/>
                          <w:lang w:eastAsia="lt-LT"/>
                        </w:rPr>
                        <w:t xml:space="preserve">. prašymą skirti ir mokėti išmoką, užpildant kultūros ministro patvirtintą prašymo dėl išmokos skyrimo ir mokėjimo formą (toliau – prašymas); </w:t>
                      </w:r>
                    </w:p>
                  </w:sdtContent>
                </w:sdt>
                <w:sdt>
                  <w:sdtPr>
                    <w:alias w:val="3.2 pp."/>
                    <w:tag w:val="part_17bc231de17a4d8f9d1d242dfd76171e"/>
                    <w:lock w:val="sdtLocked"/>
                    <w:richText/>
                  </w:sdtPr>
                  <w:sdtContent>
                    <w:p>
                      <w:pPr>
                        <w:ind w:firstLine="720"/>
                        <w:jc w:val="both"/>
                        <w:rPr>
                          <w:szCs w:val="24"/>
                          <w:lang w:eastAsia="lt-LT"/>
                        </w:rPr>
                      </w:pPr>
                      <w:sdt>
                        <w:sdtPr>
                          <w:alias w:val="Numeris"/>
                          <w:tag w:val="nr_17bc231de17a4d8f9d1d242dfd76171e"/>
                          <w:lock w:val="sdtLocked"/>
                          <w:richText/>
                        </w:sdtPr>
                        <w:sdtContent>
                          <w:r>
                            <w:rPr>
                              <w:szCs w:val="24"/>
                              <w:lang w:eastAsia="lt-LT"/>
                            </w:rPr>
                            <w:t>3.2</w:t>
                          </w:r>
                        </w:sdtContent>
                      </w:sdt>
                      <w:r>
                        <w:rPr>
                          <w:szCs w:val="24"/>
                          <w:lang w:eastAsia="lt-LT"/>
                        </w:rPr>
                        <w:t>. Lietuvos Respublikos piliečio pasą arba asmens tapatybės kortelę, Europos Sąjungos valstybės narės piliečio pasą arba asmens tapatybės kortelę, kitos užsienio valstybės piliečio pasą kartu su dokumentu, suteikiančiu teisę nuolat gyventi Lietuvos Respublikoje.</w:t>
                      </w:r>
                      <w:r>
                        <w:rPr>
                          <w:szCs w:val="24"/>
                        </w:rPr>
                        <w:t xml:space="preserve"> Jeigu teikiamas prašymas  yra</w:t>
                      </w:r>
                      <w:r>
                        <w:rPr>
                          <w:b/>
                          <w:bCs/>
                          <w:szCs w:val="24"/>
                        </w:rPr>
                        <w:t xml:space="preserve"> </w:t>
                      </w:r>
                      <w:r>
                        <w:rPr>
                          <w:szCs w:val="24"/>
                        </w:rPr>
                        <w:t xml:space="preserve">pasirašytas kvalifikuotu elektroniniu parašu, atitinkančiu </w:t>
                      </w:r>
                      <w:r>
                        <w:rPr>
                          <w:color w:val="333333"/>
                          <w:szCs w:val="24"/>
                          <w:shd w:val="clear" w:color="auto" w:fill="FFFFFF"/>
                        </w:rPr>
                        <w:t xml:space="preserve">2014 m. liepos 23 d. Europos Parlamento ir Tarybos reglamente </w:t>
                      </w:r>
                      <w:r>
                        <w:rPr>
                          <w:szCs w:val="24"/>
                        </w:rPr>
                        <w:t xml:space="preserve">(ES) 910/2014 </w:t>
                      </w:r>
                      <w:r>
                        <w:rPr>
                          <w:color w:val="333333"/>
                          <w:szCs w:val="24"/>
                          <w:shd w:val="clear" w:color="auto" w:fill="FFFFFF"/>
                        </w:rPr>
                        <w:t xml:space="preserve">dėl elektroninės atpažinties ir elektroninių operacijų patikimumo užtikrinimo paslaugų vidaus rinkoje, kuriuo panaikinama Direktyva </w:t>
                      </w:r>
                      <w:r>
                        <w:rPr>
                          <w:szCs w:val="24"/>
                          <w:shd w:val="clear" w:color="auto" w:fill="FFFFFF"/>
                        </w:rPr>
                        <w:t>1999/93/EB,</w:t>
                      </w:r>
                      <w:r>
                        <w:rPr>
                          <w:szCs w:val="24"/>
                        </w:rPr>
                        <w:t xml:space="preserve"> </w:t>
                      </w:r>
                      <w:r>
                        <w:rPr>
                          <w:color w:val="000000"/>
                          <w:szCs w:val="24"/>
                        </w:rPr>
                        <w:t xml:space="preserve">nustatytus reikalavimus ir pateiktas </w:t>
                      </w:r>
                      <w:r>
                        <w:rPr>
                          <w:szCs w:val="24"/>
                        </w:rPr>
                        <w:t>elektroninių ryšių priemonėmis</w:t>
                      </w:r>
                      <w:r>
                        <w:rPr>
                          <w:color w:val="000000"/>
                          <w:szCs w:val="24"/>
                        </w:rPr>
                        <w:t>, arba suformuotas tokiu būdu, kuris leidžia prašymą teikiantį asmenį identifikuoti arba patikrinti prašymo autentiškumą, asmens tapatybės dokumentas gali būti neteikiamas</w:t>
                      </w:r>
                      <w:r>
                        <w:rPr>
                          <w:szCs w:val="24"/>
                          <w:lang w:eastAsia="lt-LT"/>
                        </w:rPr>
                        <w:t>;</w:t>
                      </w:r>
                    </w:p>
                  </w:sdtContent>
                </w:sdt>
                <w:sdt>
                  <w:sdtPr>
                    <w:alias w:val="3.3 pp."/>
                    <w:tag w:val="part_4f8a93a1298d4659af1608de438388ee"/>
                    <w:lock w:val="sdtLocked"/>
                    <w:richText/>
                  </w:sdtPr>
                  <w:sdtContent>
                    <w:p>
                      <w:pPr>
                        <w:ind w:firstLine="720"/>
                        <w:jc w:val="both"/>
                        <w:rPr>
                          <w:szCs w:val="24"/>
                          <w:lang w:eastAsia="lt-LT"/>
                        </w:rPr>
                      </w:pPr>
                      <w:sdt>
                        <w:sdtPr>
                          <w:alias w:val="Numeris"/>
                          <w:tag w:val="nr_4f8a93a1298d4659af1608de438388ee"/>
                          <w:lock w:val="sdtLocked"/>
                          <w:richText/>
                        </w:sdtPr>
                        <w:sdtContent>
                          <w:r>
                            <w:rPr>
                              <w:szCs w:val="24"/>
                              <w:lang w:eastAsia="lt-LT"/>
                            </w:rPr>
                            <w:t>3.3</w:t>
                          </w:r>
                        </w:sdtContent>
                      </w:sdt>
                      <w:r>
                        <w:rPr>
                          <w:szCs w:val="24"/>
                          <w:lang w:eastAsia="lt-LT"/>
                        </w:rPr>
                        <w:t xml:space="preserve">. asmens kūrybinio darbo stažą </w:t>
                      </w:r>
                      <w:r>
                        <w:rPr>
                          <w:color w:val="000000"/>
                          <w:szCs w:val="24"/>
                          <w:shd w:val="clear" w:color="auto" w:fill="FFFFFF"/>
                        </w:rPr>
                        <w:t>atliekant profesionaliojo scenos meno kūrinius Lietuvos Respublikoje</w:t>
                      </w:r>
                      <w:r>
                        <w:rPr>
                          <w:szCs w:val="24"/>
                          <w:lang w:eastAsia="lt-LT"/>
                        </w:rPr>
                        <w:t xml:space="preserve"> (toliau – kūrybinio darbo stažas) patvirtinančius dokumentus (ar jų dalies išrašus, </w:t>
                      </w:r>
                      <w:r>
                        <w:t>kuriuose yra duomenys, reikalingi išmoką skiriančios įstaigos sprendimui priimti)</w:t>
                      </w:r>
                      <w:r>
                        <w:rPr>
                          <w:szCs w:val="24"/>
                          <w:lang w:eastAsia="lt-LT"/>
                        </w:rPr>
                        <w:t>, nurodytus Aprašo 9 punkte;</w:t>
                      </w:r>
                    </w:p>
                  </w:sdtContent>
                </w:sdt>
                <w:sdt>
                  <w:sdtPr>
                    <w:alias w:val="3.4 pp."/>
                    <w:tag w:val="part_200c14eeed174dec8dcc7e7f997c26e1"/>
                    <w:lock w:val="sdtLocked"/>
                    <w:richText/>
                  </w:sdtPr>
                  <w:sdtContent>
                    <w:p>
                      <w:pPr>
                        <w:ind w:firstLine="720"/>
                        <w:jc w:val="both"/>
                        <w:rPr>
                          <w:szCs w:val="24"/>
                          <w:lang w:eastAsia="lt-LT"/>
                        </w:rPr>
                      </w:pPr>
                      <w:sdt>
                        <w:sdtPr>
                          <w:alias w:val="Numeris"/>
                          <w:tag w:val="nr_200c14eeed174dec8dcc7e7f997c26e1"/>
                          <w:lock w:val="sdtLocked"/>
                          <w:richText/>
                        </w:sdtPr>
                        <w:sdtContent>
                          <w:r>
                            <w:rPr>
                              <w:szCs w:val="24"/>
                              <w:lang w:eastAsia="lt-LT"/>
                            </w:rPr>
                            <w:t>3.4</w:t>
                          </w:r>
                        </w:sdtContent>
                      </w:sdt>
                      <w:r>
                        <w:rPr>
                          <w:szCs w:val="24"/>
                          <w:lang w:eastAsia="lt-LT"/>
                        </w:rPr>
                        <w:t xml:space="preserve">. jeigu asmuo pakeitė vardą ir (ar) pavardę – vardo ir (ar) pavardės pakeitimo faktą patvirtinančius dokumentus (ar jų dalies išrašus, </w:t>
                      </w:r>
                      <w:r>
                        <w:t>kuriuose yra duomenys, reikalingi išmoką skiriančios įstaigos sprendimui priimti)</w:t>
                      </w:r>
                      <w:r>
                        <w:rPr>
                          <w:szCs w:val="24"/>
                          <w:lang w:eastAsia="lt-LT"/>
                        </w:rPr>
                        <w:t>;</w:t>
                      </w:r>
                    </w:p>
                  </w:sdtContent>
                </w:sdt>
                <w:sdt>
                  <w:sdtPr>
                    <w:alias w:val="3.5 pp."/>
                    <w:tag w:val="part_79ce050f61b849a7b4b677ea1b79681a"/>
                    <w:lock w:val="sdtLocked"/>
                    <w:richText/>
                  </w:sdtPr>
                  <w:sdtContent>
                    <w:p>
                      <w:pPr>
                        <w:ind w:firstLine="720"/>
                        <w:jc w:val="both"/>
                        <w:rPr>
                          <w:szCs w:val="24"/>
                          <w:lang w:eastAsia="lt-LT"/>
                        </w:rPr>
                      </w:pPr>
                      <w:sdt>
                        <w:sdtPr>
                          <w:alias w:val="Numeris"/>
                          <w:tag w:val="nr_79ce050f61b849a7b4b677ea1b79681a"/>
                          <w:lock w:val="sdtLocked"/>
                          <w:richText/>
                        </w:sdtPr>
                        <w:sdtContent>
                          <w:r>
                            <w:rPr>
                              <w:szCs w:val="24"/>
                              <w:lang w:eastAsia="lt-LT"/>
                            </w:rPr>
                            <w:t>3.5</w:t>
                          </w:r>
                        </w:sdtContent>
                      </w:sdt>
                      <w:r>
                        <w:rPr>
                          <w:szCs w:val="24"/>
                          <w:lang w:eastAsia="lt-LT"/>
                        </w:rPr>
                        <w:t xml:space="preserve">. jeigu prašymas pateikiamas per įgaliotą asmenį arba kitą atstovą, – šio asmens tapatybės dokumentą ir įgaliojimą ar kitą atstovavimą patvirtinantį dokumentą (ar jų dalies išrašus, </w:t>
                      </w:r>
                      <w:r>
                        <w:t>kuriuose yra duomenys, reikalingi išmoką skiriančios įstaigos sprendimui priimti)</w:t>
                      </w:r>
                      <w:r>
                        <w:rPr>
                          <w:szCs w:val="24"/>
                          <w:lang w:eastAsia="lt-LT"/>
                        </w:rPr>
                        <w:t>;</w:t>
                      </w:r>
                    </w:p>
                  </w:sdtContent>
                </w:sdt>
              </w:sdtContent>
            </w:sdt>
            <w:sdt>
              <w:sdtPr>
                <w:alias w:val="4 p."/>
                <w:tag w:val="part_9939c30abdc94f0ab4ce97dee802e780"/>
                <w:lock w:val="sdtLocked"/>
                <w:richText/>
              </w:sdtPr>
              <w:sdtContent>
                <w:p>
                  <w:pPr>
                    <w:ind w:firstLine="720"/>
                    <w:jc w:val="both"/>
                    <w:rPr>
                      <w:szCs w:val="24"/>
                    </w:rPr>
                  </w:pPr>
                  <w:sdt>
                    <w:sdtPr>
                      <w:alias w:val="Numeris"/>
                      <w:tag w:val="nr_9939c30abdc94f0ab4ce97dee802e780"/>
                      <w:lock w:val="sdtLocked"/>
                      <w:richText/>
                    </w:sdtPr>
                    <w:sdtContent>
                      <w:r>
                        <w:t>4</w:t>
                      </w:r>
                    </w:sdtContent>
                  </w:sdt>
                  <w:r>
                    <w:t xml:space="preserve">. Asmuo ar jo atstovas turi teisę pateikti Aprašo 3.2–3.5 papunkčiuose nurodytų dokumentų originalus arba kopijas, </w:t>
                  </w:r>
                  <w:r>
                    <w:rPr>
                      <w:szCs w:val="24"/>
                    </w:rPr>
                    <w:t xml:space="preserve">kurios turi būti patvirtintos dokumentą išdavusios Lietuvos Respublikos ar užsienio valstybės institucijos, notaro ar kito asmens, įgalioto atlikti notarinius veiksmus, arba konsulinio pareigūno, arba kito kompetentingos užsienio valstybės pareigūno, arba išmoką skiriančios įstaigos darbuotojo, įgalioto tvirtinti dokumentų kopijų tikrumą. </w:t>
                  </w:r>
                </w:p>
              </w:sdtContent>
            </w:sdt>
            <w:sdt>
              <w:sdtPr>
                <w:alias w:val="5 p."/>
                <w:tag w:val="part_ab1d12d261164097b0e1bcae6d83177c"/>
                <w:lock w:val="sdtLocked"/>
                <w:richText/>
              </w:sdtPr>
              <w:sdtContent>
                <w:p>
                  <w:pPr>
                    <w:ind w:firstLine="720"/>
                    <w:jc w:val="both"/>
                    <w:rPr>
                      <w:strike/>
                      <w:szCs w:val="24"/>
                      <w:lang w:eastAsia="lt-LT"/>
                    </w:rPr>
                  </w:pPr>
                  <w:sdt>
                    <w:sdtPr>
                      <w:alias w:val="Numeris"/>
                      <w:tag w:val="nr_ab1d12d261164097b0e1bcae6d83177c"/>
                      <w:lock w:val="sdtLocked"/>
                      <w:richText/>
                    </w:sdtPr>
                    <w:sdtContent>
                      <w:r>
                        <w:rPr>
                          <w:szCs w:val="24"/>
                        </w:rPr>
                        <w:t>5</w:t>
                      </w:r>
                    </w:sdtContent>
                  </w:sdt>
                  <w:r>
                    <w:rPr>
                      <w:szCs w:val="24"/>
                    </w:rPr>
                    <w:t>. Išmokai skirti ir (ar) mokėti pateikti ne Europos Sąjungos valstybės narėse išduoti dokumentai turi būti išversti į lietuvių kalbą ir legalizuoti arba patvirtinti pažyma (</w:t>
                  </w:r>
                  <w:r>
                    <w:rPr>
                      <w:i/>
                      <w:iCs/>
                      <w:szCs w:val="24"/>
                    </w:rPr>
                    <w:t>Apostille</w:t>
                  </w:r>
                  <w:r>
                    <w:rPr>
                      <w:szCs w:val="24"/>
                    </w:rPr>
                    <w:t>) Lietuvos Respublikos Vyriausybės 2006 m. spalio 30 d. nutarimo Nr. 1079 „Dėl Dokumentų legalizavimo ir tvirtinimo pažyma (</w:t>
                  </w:r>
                  <w:r>
                    <w:rPr>
                      <w:i/>
                      <w:iCs/>
                      <w:szCs w:val="24"/>
                    </w:rPr>
                    <w:t>Apostille</w:t>
                  </w:r>
                  <w:r>
                    <w:rPr>
                      <w:szCs w:val="24"/>
                    </w:rPr>
                    <w:t>) tvarkos aprašo patvirtinimo“ nustatyta tvarka, išskyrus tuos atvejus, kai Lietuvos Respublikos tarptautinės sutartys arba Europos Sąjungos teisės aktai nenumato kitaip.</w:t>
                  </w:r>
                  <w:r>
                    <w:rPr>
                      <w:color w:val="000000"/>
                    </w:rPr>
                    <w:t xml:space="preserve"> </w:t>
                  </w:r>
                </w:p>
              </w:sdtContent>
            </w:sdt>
            <w:sdt>
              <w:sdtPr>
                <w:alias w:val="6 p."/>
                <w:tag w:val="part_01560c2247a9425d8f1163f55ffe3390"/>
                <w:lock w:val="sdtLocked"/>
                <w:richText/>
              </w:sdtPr>
              <w:sdtContent>
                <w:p>
                  <w:pPr>
                    <w:ind w:firstLine="720"/>
                    <w:jc w:val="both"/>
                    <w:rPr>
                      <w:szCs w:val="24"/>
                      <w:lang w:eastAsia="lt-LT"/>
                    </w:rPr>
                  </w:pPr>
                  <w:sdt>
                    <w:sdtPr>
                      <w:alias w:val="Numeris"/>
                      <w:tag w:val="nr_01560c2247a9425d8f1163f55ffe3390"/>
                      <w:lock w:val="sdtLocked"/>
                      <w:richText/>
                    </w:sdtPr>
                    <w:sdtContent>
                      <w:r>
                        <w:rPr>
                          <w:szCs w:val="24"/>
                          <w:lang w:eastAsia="lt-LT"/>
                        </w:rPr>
                        <w:t>6</w:t>
                      </w:r>
                    </w:sdtContent>
                  </w:sdt>
                  <w:r>
                    <w:rPr>
                      <w:szCs w:val="24"/>
                      <w:lang w:eastAsia="lt-LT"/>
                    </w:rPr>
                    <w:t xml:space="preserve">. </w:t>
                  </w:r>
                  <w:r>
                    <w:rPr>
                      <w:szCs w:val="24"/>
                    </w:rPr>
                    <w:t>Asmuo ar jo atstovas Aprašo 3 punkte nurodytus dokumentus (originalus arba jų patvirtintas kopijas) išmokas skiriančiai įstaigai gali pateikti tiesiogiai atvykęs į ją, paštu ar per pasiuntinį, elektroniniu paštu, per Nacionalinę elektroninių siuntų pristatymo naudojant pašto tinklą informacinę sistemą.</w:t>
                  </w:r>
                </w:p>
              </w:sdtContent>
            </w:sdt>
            <w:sdt>
              <w:sdtPr>
                <w:alias w:val="7 p."/>
                <w:tag w:val="part_cb62da9fe41a4de2b21a9f798e8a2995"/>
                <w:lock w:val="sdtLocked"/>
                <w:richText/>
              </w:sdtPr>
              <w:sdtContent>
                <w:p>
                  <w:pPr>
                    <w:ind w:firstLine="720"/>
                    <w:jc w:val="both"/>
                    <w:rPr>
                      <w:color w:val="000000"/>
                    </w:rPr>
                  </w:pPr>
                  <w:sdt>
                    <w:sdtPr>
                      <w:alias w:val="Numeris"/>
                      <w:tag w:val="nr_cb62da9fe41a4de2b21a9f798e8a2995"/>
                      <w:lock w:val="sdtLocked"/>
                      <w:richText/>
                    </w:sdtPr>
                    <w:sdtContent>
                      <w:r>
                        <w:rPr>
                          <w:color w:val="000000"/>
                        </w:rPr>
                        <w:t>7</w:t>
                      </w:r>
                    </w:sdtContent>
                  </w:sdt>
                  <w:r>
                    <w:rPr>
                      <w:color w:val="000000"/>
                    </w:rPr>
                    <w:t>. Asmeniui, pateikusiam dokumentų originalus, padarius šių dokumentų kopijas, išskyrus asmens tapatybę patvirtinančio dokumento, patvirtinamas dokumentų kopijų tikrumas ir dokumentų originalai grąžinami juos pateikusiam asmeniui.</w:t>
                  </w:r>
                </w:p>
              </w:sdtContent>
            </w:sdt>
            <w:sdt>
              <w:sdtPr>
                <w:alias w:val="8 p."/>
                <w:tag w:val="part_03713ac96927427fa570aa6ecdda3a46"/>
                <w:lock w:val="sdtLocked"/>
                <w:richText/>
              </w:sdtPr>
              <w:sdtContent>
                <w:p>
                  <w:pPr>
                    <w:ind w:firstLine="720"/>
                    <w:jc w:val="both"/>
                    <w:rPr>
                      <w:color w:val="000000"/>
                      <w:shd w:val="clear" w:color="auto" w:fill="FFFFFF"/>
                    </w:rPr>
                  </w:pPr>
                  <w:sdt>
                    <w:sdtPr>
                      <w:alias w:val="Numeris"/>
                      <w:tag w:val="nr_03713ac96927427fa570aa6ecdda3a46"/>
                      <w:lock w:val="sdtLocked"/>
                      <w:richText/>
                    </w:sdtPr>
                    <w:sdtContent>
                      <w:r>
                        <w:rPr>
                          <w:color w:val="000000"/>
                          <w:shd w:val="clear" w:color="auto" w:fill="FFFFFF"/>
                        </w:rPr>
                        <w:t>8</w:t>
                      </w:r>
                    </w:sdtContent>
                  </w:sdt>
                  <w:r>
                    <w:rPr>
                      <w:color w:val="000000"/>
                      <w:shd w:val="clear" w:color="auto" w:fill="FFFFFF"/>
                    </w:rPr>
                    <w:t>. Kreipiantis dėl išmokos skyrimo, išmoką skirianti įstaiga iš asmens gali reikalauti 3.3 papunktyje nurodytų dokumentų tais atvejais, jeigu šiuose dokumentuose nurodytų asmens duomenų nėra valstybės ir žinybiniuose registruose ar valstybės informacinėse sistemose. Jeigu šie asmens duomenys yra valstybės ir žinybiniuose registruose ar valstybės informacinėse sistemose, jam šių dokumentų ar juose nurodytų duomenų pateikti nereikia.</w:t>
                  </w:r>
                </w:p>
                <w:p>
                  <w:pPr>
                    <w:ind w:firstLine="720"/>
                    <w:jc w:val="both"/>
                    <w:rPr>
                      <w:color w:val="000000"/>
                    </w:rPr>
                  </w:pPr>
                </w:p>
                <w:p>
                  <w:pPr>
                    <w:ind w:firstLine="720"/>
                    <w:jc w:val="both"/>
                    <w:rPr>
                      <w:szCs w:val="24"/>
                      <w:lang w:eastAsia="lt-LT"/>
                    </w:rPr>
                  </w:pPr>
                </w:p>
              </w:sdtContent>
            </w:sdt>
          </w:sdtContent>
        </w:sdt>
        <w:sdt>
          <w:sdtPr>
            <w:alias w:val="skyrius"/>
            <w:tag w:val="part_91f3d92c8f894b69a9459c881b222d84"/>
            <w:lock w:val="sdtLocked"/>
            <w:richText/>
          </w:sdtPr>
          <w:sdtContent>
            <w:p>
              <w:pPr>
                <w:jc w:val="center"/>
                <w:rPr>
                  <w:b/>
                  <w:szCs w:val="24"/>
                  <w:lang w:eastAsia="lt-LT"/>
                </w:rPr>
              </w:pPr>
              <w:sdt>
                <w:sdtPr>
                  <w:alias w:val="Numeris"/>
                  <w:tag w:val="nr_91f3d92c8f894b69a9459c881b222d84"/>
                  <w:lock w:val="sdtLocked"/>
                  <w:richText/>
                </w:sdtPr>
                <w:sdtContent>
                  <w:r>
                    <w:rPr>
                      <w:b/>
                      <w:szCs w:val="24"/>
                      <w:lang w:eastAsia="lt-LT"/>
                    </w:rPr>
                    <w:t>III</w:t>
                  </w:r>
                </w:sdtContent>
              </w:sdt>
              <w:r>
                <w:rPr>
                  <w:b/>
                  <w:szCs w:val="24"/>
                  <w:lang w:eastAsia="lt-LT"/>
                </w:rPr>
                <w:t xml:space="preserve"> SKYRIUS</w:t>
              </w:r>
            </w:p>
            <w:sdt>
              <w:sdtPr>
                <w:alias w:val="Pavadinimas"/>
                <w:tag w:val="title_91f3d92c8f894b69a9459c881b222d84"/>
                <w:lock w:val="sdtLocked"/>
                <w:richText/>
              </w:sdtPr>
              <w:sdtContent>
                <w:p>
                  <w:pPr>
                    <w:jc w:val="center"/>
                    <w:rPr>
                      <w:b/>
                      <w:szCs w:val="24"/>
                      <w:lang w:eastAsia="lt-LT"/>
                    </w:rPr>
                  </w:pPr>
                  <w:r>
                    <w:rPr>
                      <w:b/>
                      <w:szCs w:val="24"/>
                      <w:lang w:eastAsia="lt-LT"/>
                    </w:rPr>
                    <w:t xml:space="preserve">ASMENS KŪRYBINIO DARBO STAŽĄ ĮRODANTYS DOKUMENTAI, BŪTINI </w:t>
                  </w:r>
                </w:p>
                <w:p>
                  <w:pPr>
                    <w:jc w:val="center"/>
                    <w:rPr>
                      <w:b/>
                      <w:szCs w:val="24"/>
                      <w:lang w:eastAsia="lt-LT"/>
                    </w:rPr>
                  </w:pPr>
                  <w:r>
                    <w:rPr>
                      <w:b/>
                      <w:szCs w:val="24"/>
                      <w:lang w:eastAsia="lt-LT"/>
                    </w:rPr>
                    <w:t>IŠMOKAI SKIRTI</w:t>
                  </w:r>
                </w:p>
              </w:sdtContent>
            </w:sdt>
            <w:p>
              <w:pPr>
                <w:ind w:firstLine="629"/>
                <w:jc w:val="both"/>
                <w:rPr>
                  <w:b/>
                  <w:szCs w:val="24"/>
                  <w:lang w:eastAsia="lt-LT"/>
                </w:rPr>
              </w:pPr>
            </w:p>
            <w:sdt>
              <w:sdtPr>
                <w:alias w:val="9 p."/>
                <w:tag w:val="part_c7efa77def5c410dbdd5e1a062cb9ab3"/>
                <w:lock w:val="sdtLocked"/>
                <w:richText/>
              </w:sdtPr>
              <w:sdtContent>
                <w:p>
                  <w:pPr>
                    <w:ind w:firstLine="720"/>
                    <w:jc w:val="both"/>
                    <w:rPr>
                      <w:szCs w:val="24"/>
                      <w:lang w:eastAsia="lt-LT"/>
                    </w:rPr>
                  </w:pPr>
                  <w:sdt>
                    <w:sdtPr>
                      <w:alias w:val="Numeris"/>
                      <w:tag w:val="nr_c7efa77def5c410dbdd5e1a062cb9ab3"/>
                      <w:lock w:val="sdtLocked"/>
                      <w:richText/>
                    </w:sdtPr>
                    <w:sdtContent>
                      <w:r>
                        <w:rPr>
                          <w:szCs w:val="24"/>
                          <w:lang w:eastAsia="lt-LT"/>
                        </w:rPr>
                        <w:t>9</w:t>
                      </w:r>
                    </w:sdtContent>
                  </w:sdt>
                  <w:r>
                    <w:rPr>
                      <w:szCs w:val="24"/>
                      <w:lang w:eastAsia="lt-LT"/>
                    </w:rPr>
                    <w:t>. Asmens kūrybinio darbo stažas įrodomas šiais dokumentais:</w:t>
                  </w:r>
                </w:p>
                <w:sdt>
                  <w:sdtPr>
                    <w:alias w:val="9.1 pp."/>
                    <w:tag w:val="part_d720eb0f9c6c4a299b0e63a13c0e45bb"/>
                    <w:lock w:val="sdtLocked"/>
                    <w:richText/>
                  </w:sdtPr>
                  <w:sdtContent>
                    <w:p>
                      <w:pPr>
                        <w:ind w:firstLine="720"/>
                        <w:jc w:val="both"/>
                        <w:rPr>
                          <w:szCs w:val="24"/>
                          <w:lang w:eastAsia="lt-LT"/>
                        </w:rPr>
                      </w:pPr>
                      <w:sdt>
                        <w:sdtPr>
                          <w:alias w:val="Numeris"/>
                          <w:tag w:val="nr_d720eb0f9c6c4a299b0e63a13c0e45bb"/>
                          <w:lock w:val="sdtLocked"/>
                          <w:richText/>
                        </w:sdtPr>
                        <w:sdtContent>
                          <w:r>
                            <w:rPr>
                              <w:szCs w:val="24"/>
                              <w:lang w:eastAsia="lt-LT"/>
                            </w:rPr>
                            <w:t>9.1</w:t>
                          </w:r>
                        </w:sdtContent>
                      </w:sdt>
                      <w:r>
                        <w:rPr>
                          <w:szCs w:val="24"/>
                          <w:lang w:eastAsia="lt-LT"/>
                        </w:rPr>
                        <w:t xml:space="preserve">. darbo knygelėmis, įskaitant į kūrybinio darbo stažą tuos darbo laikotarpius, apie kuriuos įrašai darbo knygelėse padaryti remiantis dokumentais (įsakymais dėl priėmimo į darbą ir atleidimo iš jo); </w:t>
                      </w:r>
                    </w:p>
                  </w:sdtContent>
                </w:sdt>
                <w:sdt>
                  <w:sdtPr>
                    <w:alias w:val="9.2 pp."/>
                    <w:tag w:val="part_6cb8b7ec3f8f4ec9b96635e52d211a16"/>
                    <w:lock w:val="sdtLocked"/>
                    <w:richText/>
                  </w:sdtPr>
                  <w:sdtContent>
                    <w:p>
                      <w:pPr>
                        <w:ind w:firstLine="720"/>
                        <w:jc w:val="both"/>
                        <w:rPr>
                          <w:strike/>
                          <w:szCs w:val="24"/>
                          <w:lang w:eastAsia="lt-LT"/>
                        </w:rPr>
                      </w:pPr>
                      <w:sdt>
                        <w:sdtPr>
                          <w:alias w:val="Numeris"/>
                          <w:tag w:val="nr_6cb8b7ec3f8f4ec9b96635e52d211a16"/>
                          <w:lock w:val="sdtLocked"/>
                          <w:richText/>
                        </w:sdtPr>
                        <w:sdtContent>
                          <w:r>
                            <w:rPr>
                              <w:szCs w:val="24"/>
                              <w:lang w:eastAsia="lt-LT"/>
                            </w:rPr>
                            <w:t>9.2</w:t>
                          </w:r>
                        </w:sdtContent>
                      </w:sdt>
                      <w:r>
                        <w:rPr>
                          <w:szCs w:val="24"/>
                          <w:lang w:eastAsia="lt-LT"/>
                        </w:rPr>
                        <w:t>. dokumentais, įrodančiais asmens atitinkamą kūrybinio darbo laikotarpį (-ius) pagal darbo sutartį;</w:t>
                      </w:r>
                    </w:p>
                  </w:sdtContent>
                </w:sdt>
                <w:sdt>
                  <w:sdtPr>
                    <w:alias w:val="9.3 pp."/>
                    <w:tag w:val="part_253c6352e340491bb9b42eef125d10bc"/>
                    <w:lock w:val="sdtLocked"/>
                    <w:richText/>
                  </w:sdtPr>
                  <w:sdtContent>
                    <w:p>
                      <w:pPr>
                        <w:ind w:firstLine="720"/>
                        <w:jc w:val="both"/>
                        <w:rPr>
                          <w:szCs w:val="24"/>
                          <w:lang w:eastAsia="lt-LT"/>
                        </w:rPr>
                      </w:pPr>
                      <w:sdt>
                        <w:sdtPr>
                          <w:alias w:val="Numeris"/>
                          <w:tag w:val="nr_253c6352e340491bb9b42eef125d10bc"/>
                          <w:lock w:val="sdtLocked"/>
                          <w:richText/>
                        </w:sdtPr>
                        <w:sdtContent>
                          <w:r>
                            <w:rPr>
                              <w:szCs w:val="24"/>
                              <w:lang w:eastAsia="lt-LT"/>
                            </w:rPr>
                            <w:t>9.3</w:t>
                          </w:r>
                        </w:sdtContent>
                      </w:sdt>
                      <w:r>
                        <w:rPr>
                          <w:szCs w:val="24"/>
                          <w:lang w:eastAsia="lt-LT"/>
                        </w:rPr>
                        <w:t>. buvusių darbdavių ar jų funkcijų perėmėjų, o jeigu jų nėra, Lietuvos Respublikos dokumentų ir archyvų įstatyme nurodytų institucijų ar įstaigų pateiktomis kūrybinio darbo stažo pažymomis;</w:t>
                      </w:r>
                    </w:p>
                  </w:sdtContent>
                </w:sdt>
                <w:sdt>
                  <w:sdtPr>
                    <w:alias w:val="9.4 pp."/>
                    <w:tag w:val="part_ce40403d98c74afeaa3831b84a8384e6"/>
                    <w:lock w:val="sdtLocked"/>
                    <w:richText/>
                  </w:sdtPr>
                  <w:sdtContent>
                    <w:p>
                      <w:pPr>
                        <w:ind w:firstLine="720"/>
                        <w:jc w:val="both"/>
                        <w:rPr>
                          <w:szCs w:val="24"/>
                          <w:lang w:eastAsia="lt-LT"/>
                        </w:rPr>
                      </w:pPr>
                      <w:sdt>
                        <w:sdtPr>
                          <w:alias w:val="Numeris"/>
                          <w:tag w:val="nr_ce40403d98c74afeaa3831b84a8384e6"/>
                          <w:lock w:val="sdtLocked"/>
                          <w:richText/>
                        </w:sdtPr>
                        <w:sdtContent>
                          <w:r>
                            <w:rPr>
                              <w:szCs w:val="24"/>
                              <w:lang w:eastAsia="lt-LT"/>
                            </w:rPr>
                            <w:t>9.4</w:t>
                          </w:r>
                        </w:sdtContent>
                      </w:sdt>
                      <w:r>
                        <w:rPr>
                          <w:szCs w:val="24"/>
                          <w:lang w:eastAsia="lt-LT"/>
                        </w:rPr>
                        <w:t>. kariniais liudijimais arba Lietuvos Respublikos krašto apsaugos ministerijos išduotais pažymėjimais, kuriuose yra įrašas, patvirtinantis, kad asmuo tarnavo Sovietinės</w:t>
                      </w:r>
                      <w:r>
                        <w:rPr>
                          <w:b/>
                          <w:szCs w:val="24"/>
                          <w:lang w:eastAsia="lt-LT"/>
                        </w:rPr>
                        <w:t xml:space="preserve"> </w:t>
                      </w:r>
                      <w:r>
                        <w:rPr>
                          <w:szCs w:val="24"/>
                          <w:lang w:eastAsia="lt-LT"/>
                        </w:rPr>
                        <w:t>armijos arba dirbo pagal darbo sutartį Lietuvos krašto apsaugos sistemos</w:t>
                      </w:r>
                      <w:r>
                        <w:rPr>
                          <w:bCs/>
                          <w:szCs w:val="24"/>
                          <w:lang w:eastAsia="lt-LT"/>
                        </w:rPr>
                        <w:t xml:space="preserve"> </w:t>
                      </w:r>
                      <w:r>
                        <w:rPr>
                          <w:szCs w:val="24"/>
                          <w:lang w:eastAsia="lt-LT"/>
                        </w:rPr>
                        <w:t>profesionaliame</w:t>
                      </w:r>
                      <w:r>
                        <w:rPr>
                          <w:b/>
                          <w:szCs w:val="24"/>
                          <w:lang w:eastAsia="lt-LT"/>
                        </w:rPr>
                        <w:t xml:space="preserve"> </w:t>
                      </w:r>
                      <w:r>
                        <w:rPr>
                          <w:szCs w:val="24"/>
                          <w:lang w:eastAsia="lt-LT"/>
                        </w:rPr>
                        <w:t>muzikos ar šokio kolektyve;</w:t>
                      </w:r>
                    </w:p>
                  </w:sdtContent>
                </w:sdt>
                <w:sdt>
                  <w:sdtPr>
                    <w:alias w:val="9.5 pp."/>
                    <w:tag w:val="part_014697de00ee4c3aa0687d721cd03ddf"/>
                    <w:lock w:val="sdtLocked"/>
                    <w:richText/>
                  </w:sdtPr>
                  <w:sdtContent>
                    <w:p>
                      <w:pPr>
                        <w:ind w:firstLine="720"/>
                        <w:jc w:val="both"/>
                        <w:rPr>
                          <w:szCs w:val="24"/>
                          <w:lang w:eastAsia="lt-LT"/>
                        </w:rPr>
                      </w:pPr>
                      <w:sdt>
                        <w:sdtPr>
                          <w:alias w:val="Numeris"/>
                          <w:tag w:val="nr_014697de00ee4c3aa0687d721cd03ddf"/>
                          <w:lock w:val="sdtLocked"/>
                          <w:richText/>
                        </w:sdtPr>
                        <w:sdtContent>
                          <w:r>
                            <w:rPr>
                              <w:szCs w:val="24"/>
                              <w:lang w:eastAsia="lt-LT"/>
                            </w:rPr>
                            <w:t>9.5</w:t>
                          </w:r>
                        </w:sdtContent>
                      </w:sdt>
                      <w:r>
                        <w:rPr>
                          <w:szCs w:val="24"/>
                          <w:lang w:eastAsia="lt-LT"/>
                        </w:rPr>
                        <w:t>. teismų sprendimais dėl juridinę reikšmę turinčių faktų nustatymo;</w:t>
                      </w:r>
                    </w:p>
                  </w:sdtContent>
                </w:sdt>
                <w:sdt>
                  <w:sdtPr>
                    <w:alias w:val="9.6 pp."/>
                    <w:tag w:val="part_ef6440cd22a04ea5bf8cfc20bcd24832"/>
                    <w:lock w:val="sdtLocked"/>
                    <w:richText/>
                  </w:sdtPr>
                  <w:sdtContent>
                    <w:p>
                      <w:pPr>
                        <w:ind w:firstLine="720"/>
                        <w:jc w:val="both"/>
                        <w:rPr>
                          <w:szCs w:val="24"/>
                          <w:lang w:eastAsia="lt-LT"/>
                        </w:rPr>
                      </w:pPr>
                      <w:sdt>
                        <w:sdtPr>
                          <w:alias w:val="Numeris"/>
                          <w:tag w:val="nr_ef6440cd22a04ea5bf8cfc20bcd24832"/>
                          <w:lock w:val="sdtLocked"/>
                          <w:richText/>
                        </w:sdtPr>
                        <w:sdtContent>
                          <w:r>
                            <w:rPr>
                              <w:szCs w:val="24"/>
                              <w:lang w:eastAsia="lt-LT"/>
                            </w:rPr>
                            <w:t>9.6</w:t>
                          </w:r>
                        </w:sdtContent>
                      </w:sdt>
                      <w:r>
                        <w:rPr>
                          <w:szCs w:val="24"/>
                          <w:lang w:eastAsia="lt-LT"/>
                        </w:rPr>
                        <w:t>. Asmenų su negalia teisių apsaugos agentūros prie Lietuvos Respublikos socialinės apsaugos ir darbo ministerijos išduotomis dalyvumo lygio dėl nelaimingo atsitikimo darbe ar profesinės ligos pažymomis ar sprendimais, įrodančiais, kad asmeniui buvo nustatytas dalyvumo lygis dėl nelaimingo atsitikimo darbe ar profesinės ligos;</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6df5ae0cec311ed9978886e85107ab2">
                        <w:r w:rsidRPr="00532B9F">
                          <w:rPr>
                            <w:rFonts w:ascii="Times New Roman" w:eastAsia="MS Mincho" w:hAnsi="Times New Roman"/>
                            <w:sz w:val="20"/>
                            <w:i/>
                            <w:iCs/>
                            <w:color w:val="0000FF" w:themeColor="hyperlink"/>
                            <w:u w:val="single"/>
                          </w:rPr>
                          <w:t>202</w:t>
                        </w:r>
                      </w:fldSimple>
                      <w:r>
                        <w:rPr>
                          <w:rFonts w:ascii="Times New Roman" w:eastAsia="MS Mincho" w:hAnsi="Times New Roman"/>
                          <w:sz w:val="20"/>
                          <w:i/>
                          <w:iCs/>
                        </w:rPr>
                        <w:t>,
2023-03-29,
paskelbta TAR 2023-03-30, i. k. 2023-05717            </w:t>
                      </w:r>
                    </w:p>
                    <w:p/>
                  </w:sdtContent>
                </w:sdt>
                <w:sdt>
                  <w:sdtPr>
                    <w:alias w:val="9.7 pp."/>
                    <w:tag w:val="part_9cfe21ea7cb94dc29f22c242128e3f04"/>
                    <w:lock w:val="sdtLocked"/>
                    <w:richText/>
                  </w:sdtPr>
                  <w:sdtContent>
                    <w:p>
                      <w:pPr>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9cfe21ea7cb94dc29f22c242128e3f04"/>
                          <w:lock w:val="sdtLocked"/>
                          <w:richText/>
                        </w:sdtPr>
                        <w:sdtContent>
                          <w:r>
                            <w:rPr>
                              <w:szCs w:val="24"/>
                              <w:lang w:eastAsia="lt-LT"/>
                            </w:rPr>
                            <w:t>9.7</w:t>
                          </w:r>
                        </w:sdtContent>
                      </w:sdt>
                      <w:r>
                        <w:rPr>
                          <w:szCs w:val="24"/>
                          <w:lang w:eastAsia="lt-LT"/>
                        </w:rPr>
                        <w:t>. Valstybinio socialinio draudimo fondo administravimo įstaigos pažym</w:t>
                      </w:r>
                      <w:r>
                        <w:rPr>
                          <w:bCs/>
                          <w:szCs w:val="24"/>
                          <w:lang w:eastAsia="lt-LT"/>
                        </w:rPr>
                        <w:t>a</w:t>
                      </w:r>
                      <w:r>
                        <w:rPr>
                          <w:szCs w:val="24"/>
                          <w:lang w:eastAsia="lt-LT"/>
                        </w:rPr>
                        <w:t>, patvirtinan</w:t>
                      </w:r>
                      <w:r>
                        <w:rPr>
                          <w:bCs/>
                          <w:szCs w:val="24"/>
                          <w:lang w:eastAsia="lt-LT"/>
                        </w:rPr>
                        <w:t>čia</w:t>
                      </w:r>
                      <w:r>
                        <w:rPr>
                          <w:szCs w:val="24"/>
                          <w:lang w:eastAsia="lt-LT"/>
                        </w:rPr>
                        <w:t xml:space="preserve"> socialinio draudimo ištarnauto laiko pensijos, paskirtos iki 1995 m. sausio 1 d. pagal galiojusį buvusios TSRS Ministrų Tarybos 1967 m. gruodžio 27 d. nutarimą Nr. 1169 „Dėl TSRS Vyriausybės sprendimų dėl ištarnauto laiko pensijų teatrų ir kitų teatrinių-žiūrovinių įstaigų bei kolektyvų kai kurių kategorijų artistams suvienijimo“, arba kompensacijos už ypatingas darbo sąlygas, paskirtos po 1995 m. sausio 1 d. pagal Lietuvos Respublikos socialinio draudimo pensijų įstatymo 62 straipsnio 4 dalies 4 punktą, gavimo faktą.</w:t>
                      </w:r>
                    </w:p>
                  </w:sdtContent>
                </w:sdt>
              </w:sdtContent>
            </w:sdt>
            <w:sdt>
              <w:sdtPr>
                <w:alias w:val="10 p."/>
                <w:tag w:val="part_d7be3ea4236d40c8adda6e11952d1edc"/>
                <w:lock w:val="sdtLocked"/>
                <w:richText/>
              </w:sdtPr>
              <w:sdtContent>
                <w:p>
                  <w:pPr>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d7be3ea4236d40c8adda6e11952d1edc"/>
                      <w:lock w:val="sdtLocked"/>
                      <w:richText/>
                    </w:sdtPr>
                    <w:sdtContent>
                      <w:r>
                        <w:rPr>
                          <w:szCs w:val="24"/>
                          <w:lang w:eastAsia="lt-LT"/>
                        </w:rPr>
                        <w:t>10</w:t>
                      </w:r>
                    </w:sdtContent>
                  </w:sdt>
                  <w:r>
                    <w:rPr>
                      <w:szCs w:val="24"/>
                      <w:lang w:eastAsia="lt-LT"/>
                    </w:rPr>
                    <w:t>. Jeigu kūrybinio darbo stažą įrodančiuose dokumentuose nurodyti tik priėmimo į darbą arba darbo baigimo metai, darbo pradžios ir darbo pabaigos data laikoma atitinkamų metų liepos 1 diena. Jeigu kūrybinio darbo stažo dokumente nurodyti tik metai ir mėnuo, darbo pradžios ir pabaigos data laikoma atitinkamo mėnesio 15-oji diena.</w:t>
                  </w:r>
                </w:p>
              </w:sdtContent>
            </w:sdt>
            <w:sdt>
              <w:sdtPr>
                <w:alias w:val="11 p."/>
                <w:tag w:val="part_bad404441bd746a38a31e3cbdc65d833"/>
                <w:lock w:val="sdtLocked"/>
                <w:richText/>
              </w:sdtPr>
              <w:sdtContent>
                <w:p>
                  <w:pPr>
                    <w:ind w:firstLine="709"/>
                    <w:jc w:val="both"/>
                    <w:rPr>
                      <w:szCs w:val="24"/>
                      <w:lang w:eastAsia="lt-LT"/>
                    </w:rPr>
                  </w:pPr>
                  <w:sdt>
                    <w:sdtPr>
                      <w:alias w:val="Numeris"/>
                      <w:tag w:val="nr_bad404441bd746a38a31e3cbdc65d833"/>
                      <w:lock w:val="sdtLocked"/>
                      <w:richText/>
                    </w:sdtPr>
                    <w:sdtContent>
                      <w:r>
                        <w:rPr>
                          <w:color w:val="000000"/>
                          <w:szCs w:val="24"/>
                          <w:lang w:eastAsia="lt-LT"/>
                        </w:rPr>
                        <w:t>11</w:t>
                      </w:r>
                    </w:sdtContent>
                  </w:sdt>
                  <w:r>
                    <w:rPr>
                      <w:color w:val="000000"/>
                      <w:szCs w:val="24"/>
                      <w:lang w:eastAsia="lt-LT"/>
                    </w:rPr>
                    <w:t xml:space="preserve">. </w:t>
                  </w:r>
                  <w:r>
                    <w:rPr>
                      <w:szCs w:val="24"/>
                      <w:lang w:eastAsia="lt-LT"/>
                    </w:rPr>
                    <w:t xml:space="preserve">Jeigu asmuo kartu su prašymu pateikia ne visus dokumentus, nurodytus Aprašo 3 punkte, kurių reikia išmokai skirti, išmoką skirianti įstaiga per 5 darbo dienas nuo prašymo gavimo dienos kreipiasi į asmenį prašydama per nustatytą terminą pateikti trūkstamus dokumentus. Jeigu per nustatytą terminą reikiamų dokumentų asmuo nepateikia, jo prašymas laikomas nepateiktu, o dokumentai grąžinami asmeniui. </w:t>
                  </w:r>
                </w:p>
                <w:p>
                  <w:pPr>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
                      <w:szCs w:val="24"/>
                      <w:lang w:eastAsia="lt-LT"/>
                    </w:rPr>
                  </w:pPr>
                </w:p>
              </w:sdtContent>
            </w:sdt>
          </w:sdtContent>
        </w:sdt>
        <w:sdt>
          <w:sdtPr>
            <w:alias w:val="skyrius"/>
            <w:tag w:val="part_4c48da78797c4c6194fd5d60b29b0676"/>
            <w:lock w:val="sdtLocked"/>
            <w:richText/>
          </w:sdtPr>
          <w:sdtContent>
            <w:p>
              <w:pPr>
                <w:jc w:val="center"/>
                <w:rPr>
                  <w:b/>
                  <w:szCs w:val="24"/>
                  <w:lang w:eastAsia="lt-LT"/>
                </w:rPr>
              </w:pPr>
              <w:sdt>
                <w:sdtPr>
                  <w:alias w:val="Numeris"/>
                  <w:tag w:val="nr_4c48da78797c4c6194fd5d60b29b0676"/>
                  <w:lock w:val="sdtLocked"/>
                  <w:richText/>
                </w:sdtPr>
                <w:sdtContent>
                  <w:r>
                    <w:rPr>
                      <w:b/>
                      <w:szCs w:val="24"/>
                      <w:lang w:eastAsia="lt-LT"/>
                    </w:rPr>
                    <w:t>IV</w:t>
                  </w:r>
                </w:sdtContent>
              </w:sdt>
              <w:r>
                <w:rPr>
                  <w:b/>
                  <w:szCs w:val="24"/>
                  <w:lang w:eastAsia="lt-LT"/>
                </w:rPr>
                <w:t xml:space="preserve"> SKYRIUS</w:t>
              </w:r>
            </w:p>
            <w:p>
              <w:pPr>
                <w:jc w:val="center"/>
                <w:rPr>
                  <w:b/>
                  <w:szCs w:val="24"/>
                  <w:lang w:eastAsia="lt-LT"/>
                </w:rPr>
              </w:pPr>
              <w:sdt>
                <w:sdtPr>
                  <w:alias w:val="Pavadinimas"/>
                  <w:tag w:val="title_4c48da78797c4c6194fd5d60b29b0676"/>
                  <w:lock w:val="sdtLocked"/>
                  <w:richText/>
                </w:sdtPr>
                <w:sdtContent>
                  <w:r>
                    <w:rPr>
                      <w:b/>
                      <w:szCs w:val="24"/>
                      <w:lang w:eastAsia="lt-LT"/>
                    </w:rPr>
                    <w:t>IŠMOKOS SKYRIMAS</w:t>
                  </w:r>
                </w:sdtContent>
              </w:sdt>
            </w:p>
            <w:p>
              <w:pPr>
                <w:jc w:val="center"/>
                <w:rPr>
                  <w:b/>
                  <w:szCs w:val="24"/>
                  <w:lang w:eastAsia="lt-LT"/>
                </w:rPr>
              </w:pPr>
            </w:p>
            <w:sdt>
              <w:sdtPr>
                <w:alias w:val="12 p."/>
                <w:tag w:val="part_0c92ab711d92420f88815189f6ebb2a5"/>
                <w:lock w:val="sdtLocked"/>
                <w:richText/>
              </w:sdtPr>
              <w:sdtContent>
                <w:p>
                  <w:pPr>
                    <w:tabs>
                      <w:tab w:val="left" w:pos="0"/>
                      <w:tab w:val="left" w:pos="42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b/>
                      <w:bCs/>
                      <w:szCs w:val="24"/>
                      <w:lang w:eastAsia="lt-LT"/>
                    </w:rPr>
                  </w:pPr>
                  <w:sdt>
                    <w:sdtPr>
                      <w:alias w:val="Numeris"/>
                      <w:tag w:val="nr_0c92ab711d92420f88815189f6ebb2a5"/>
                      <w:lock w:val="sdtLocked"/>
                      <w:richText/>
                    </w:sdtPr>
                    <w:sdtContent>
                      <w:r>
                        <w:rPr>
                          <w:szCs w:val="24"/>
                          <w:lang w:eastAsia="lt-LT"/>
                        </w:rPr>
                        <w:t>12</w:t>
                      </w:r>
                    </w:sdtContent>
                  </w:sdt>
                  <w:r>
                    <w:rPr>
                      <w:szCs w:val="24"/>
                      <w:lang w:eastAsia="lt-LT"/>
                    </w:rPr>
                    <w:t>. Ne vėliau kaip per 20 darbo dienų nuo kreipimosi dėl išmokos skyrimo</w:t>
                  </w:r>
                  <w:r>
                    <w:rPr>
                      <w:b/>
                      <w:bCs/>
                      <w:szCs w:val="24"/>
                      <w:lang w:eastAsia="lt-LT"/>
                    </w:rPr>
                    <w:t xml:space="preserve"> </w:t>
                  </w:r>
                  <w:r>
                    <w:rPr>
                      <w:szCs w:val="24"/>
                      <w:lang w:eastAsia="lt-LT"/>
                    </w:rPr>
                    <w:t>dienos, kurią išmoką skiriančioje įstaigoje gauti dokumentai, išmoką skiriančios įstaigos vadovas arba jo įgaliotas asmuo priima sprendimą dėl išmokos skyrimo ar atsisakymo ją skirti (nurodant atsisakymo skirti išmoką priežastį),</w:t>
                  </w:r>
                  <w:r>
                    <w:rPr>
                      <w:bCs/>
                      <w:szCs w:val="24"/>
                      <w:lang w:eastAsia="lt-LT"/>
                    </w:rPr>
                    <w:t xml:space="preserve"> </w:t>
                  </w:r>
                  <w:r>
                    <w:rPr>
                      <w:szCs w:val="24"/>
                      <w:lang w:eastAsia="lt-LT"/>
                    </w:rPr>
                    <w:t>ir asmuo apie tai ne vėliau kaip per 3 darbo dienas informuojamas</w:t>
                  </w:r>
                  <w:r>
                    <w:rPr>
                      <w:sz w:val="22"/>
                      <w:szCs w:val="22"/>
                      <w:lang w:eastAsia="lt-LT"/>
                    </w:rPr>
                    <w:t xml:space="preserve"> </w:t>
                  </w:r>
                  <w:r>
                    <w:rPr>
                      <w:szCs w:val="24"/>
                      <w:lang w:eastAsia="lt-LT"/>
                    </w:rPr>
                    <w:t xml:space="preserve">paštu arba asmens nurodytu elektroniniu paštu (pridedama išmoką skiriančios įstaigos vadovo ar jo įgalioto asmens sprendimo kopija). </w:t>
                  </w:r>
                </w:p>
              </w:sdtContent>
            </w:sdt>
            <w:sdt>
              <w:sdtPr>
                <w:alias w:val="13 p."/>
                <w:tag w:val="part_2b51474d00e64b6f9cfd509428f11ed6"/>
                <w:lock w:val="sdtLocked"/>
                <w:richText/>
              </w:sdtPr>
              <w:sdtContent>
                <w:p>
                  <w:pPr>
                    <w:ind w:firstLine="720"/>
                    <w:jc w:val="both"/>
                    <w:rPr>
                      <w:szCs w:val="24"/>
                      <w:lang w:eastAsia="lt-LT"/>
                    </w:rPr>
                  </w:pPr>
                  <w:sdt>
                    <w:sdtPr>
                      <w:alias w:val="Numeris"/>
                      <w:tag w:val="nr_2b51474d00e64b6f9cfd509428f11ed6"/>
                      <w:lock w:val="sdtLocked"/>
                      <w:richText/>
                    </w:sdtPr>
                    <w:sdtContent>
                      <w:r>
                        <w:rPr>
                          <w:szCs w:val="24"/>
                          <w:lang w:eastAsia="lt-LT"/>
                        </w:rPr>
                        <w:t>13</w:t>
                      </w:r>
                    </w:sdtContent>
                  </w:sdt>
                  <w:r>
                    <w:rPr>
                      <w:szCs w:val="24"/>
                      <w:lang w:eastAsia="lt-LT"/>
                    </w:rPr>
                    <w:t>. Išmoką skiriančios įstaigos vadovui arba jo įgaliotam asmeniui priėmus sprendimą skirti išmoką, naudojamomis elektroninių ryšių priemonėmis per 3</w:t>
                  </w:r>
                  <w:r>
                    <w:rPr>
                      <w:b/>
                      <w:szCs w:val="24"/>
                      <w:lang w:eastAsia="lt-LT"/>
                    </w:rPr>
                    <w:t> </w:t>
                  </w:r>
                  <w:r>
                    <w:rPr>
                      <w:szCs w:val="24"/>
                      <w:lang w:eastAsia="lt-LT"/>
                    </w:rPr>
                    <w:t>darbo dienas nuo sprendimo priėmimo dienos Valstybinio socialinio draudimo fondo valdybos prie Lietuvos Respublikos socialinės apsaugos ir darbo ministerijos įgaliotai Valstybinio socialinio draudimo fondo administravimo įstaigai (toliau – išmoką mokanti įstaiga) pateikiamos išmoką skiriančios įstaigos vadovo ar jo įgalioto asmens sprendimo ir išmokos gavėjo prašymo kopijos.</w:t>
                  </w:r>
                </w:p>
                <w:p>
                  <w:pPr>
                    <w:ind w:firstLine="567"/>
                    <w:jc w:val="both"/>
                    <w:rPr>
                      <w:b/>
                      <w:bCs/>
                      <w:szCs w:val="24"/>
                      <w:lang w:eastAsia="lt-LT"/>
                    </w:rPr>
                  </w:pPr>
                </w:p>
              </w:sdtContent>
            </w:sdt>
          </w:sdtContent>
        </w:sdt>
        <w:sdt>
          <w:sdtPr>
            <w:alias w:val="skyrius"/>
            <w:tag w:val="part_d2aa34b6cd0d4cf6b86674ebe950bd9a"/>
            <w:lock w:val="sdtLocked"/>
            <w:richText/>
          </w:sdtPr>
          <w:sdtContent>
            <w:p>
              <w:pPr>
                <w:jc w:val="center"/>
                <w:rPr>
                  <w:b/>
                  <w:bCs/>
                  <w:szCs w:val="24"/>
                  <w:lang w:eastAsia="lt-LT"/>
                </w:rPr>
              </w:pPr>
              <w:sdt>
                <w:sdtPr>
                  <w:alias w:val="Numeris"/>
                  <w:tag w:val="nr_d2aa34b6cd0d4cf6b86674ebe950bd9a"/>
                  <w:lock w:val="sdtLocked"/>
                  <w:richText/>
                </w:sdtPr>
                <w:sdtContent>
                  <w:r>
                    <w:rPr>
                      <w:b/>
                      <w:bCs/>
                      <w:szCs w:val="24"/>
                      <w:lang w:eastAsia="lt-LT"/>
                    </w:rPr>
                    <w:t>V</w:t>
                  </w:r>
                </w:sdtContent>
              </w:sdt>
              <w:r>
                <w:rPr>
                  <w:b/>
                  <w:bCs/>
                  <w:szCs w:val="24"/>
                  <w:lang w:eastAsia="lt-LT"/>
                </w:rPr>
                <w:t xml:space="preserve"> SKYRIUS</w:t>
              </w:r>
            </w:p>
            <w:p>
              <w:pPr>
                <w:jc w:val="center"/>
                <w:rPr>
                  <w:b/>
                  <w:bCs/>
                  <w:szCs w:val="24"/>
                  <w:lang w:eastAsia="lt-LT"/>
                </w:rPr>
              </w:pPr>
              <w:sdt>
                <w:sdtPr>
                  <w:alias w:val="Pavadinimas"/>
                  <w:tag w:val="title_d2aa34b6cd0d4cf6b86674ebe950bd9a"/>
                  <w:lock w:val="sdtLocked"/>
                  <w:richText/>
                </w:sdtPr>
                <w:sdtContent>
                  <w:r>
                    <w:rPr>
                      <w:b/>
                      <w:bCs/>
                      <w:szCs w:val="24"/>
                      <w:lang w:eastAsia="lt-LT"/>
                    </w:rPr>
                    <w:t xml:space="preserve">IŠMOKOS MOKĖJIMAS </w:t>
                  </w:r>
                </w:sdtContent>
              </w:sdt>
            </w:p>
            <w:p>
              <w:pPr>
                <w:ind w:firstLine="627"/>
                <w:jc w:val="both"/>
                <w:rPr>
                  <w:szCs w:val="24"/>
                  <w:lang w:eastAsia="lt-LT"/>
                </w:rPr>
              </w:pPr>
            </w:p>
            <w:sdt>
              <w:sdtPr>
                <w:alias w:val="14 p."/>
                <w:tag w:val="part_11f3528eea0d48a8848273f3b01f5461"/>
                <w:lock w:val="sdtLocked"/>
                <w:richText/>
              </w:sdtPr>
              <w:sdtContent>
                <w:p>
                  <w:pPr>
                    <w:ind w:firstLine="720"/>
                    <w:jc w:val="both"/>
                    <w:rPr>
                      <w:strike/>
                      <w:szCs w:val="24"/>
                      <w:lang w:eastAsia="lt-LT"/>
                    </w:rPr>
                  </w:pPr>
                  <w:sdt>
                    <w:sdtPr>
                      <w:alias w:val="Numeris"/>
                      <w:tag w:val="nr_11f3528eea0d48a8848273f3b01f5461"/>
                      <w:lock w:val="sdtLocked"/>
                      <w:richText/>
                    </w:sdtPr>
                    <w:sdtContent>
                      <w:r>
                        <w:rPr>
                          <w:szCs w:val="24"/>
                          <w:lang w:eastAsia="lt-LT"/>
                        </w:rPr>
                        <w:t>14</w:t>
                      </w:r>
                    </w:sdtContent>
                  </w:sdt>
                  <w:r>
                    <w:rPr>
                      <w:szCs w:val="24"/>
                      <w:lang w:eastAsia="lt-LT"/>
                    </w:rPr>
                    <w:t xml:space="preserve">. Išmoka mokama už praėjusį mėnesį. </w:t>
                  </w:r>
                </w:p>
              </w:sdtContent>
            </w:sdt>
            <w:sdt>
              <w:sdtPr>
                <w:alias w:val="15 p."/>
                <w:tag w:val="part_8db164ec82ea49618a6b8d1b6eccd28a"/>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rFonts w:eastAsia="Calibri"/>
                      <w:bCs/>
                      <w:szCs w:val="24"/>
                    </w:rPr>
                  </w:pPr>
                  <w:sdt>
                    <w:sdtPr>
                      <w:alias w:val="Numeris"/>
                      <w:tag w:val="nr_8db164ec82ea49618a6b8d1b6eccd28a"/>
                      <w:lock w:val="sdtLocked"/>
                      <w:richText/>
                    </w:sdtPr>
                    <w:sdtContent>
                      <w:r>
                        <w:rPr>
                          <w:szCs w:val="24"/>
                          <w:lang w:eastAsia="lt-LT"/>
                        </w:rPr>
                        <w:t>15</w:t>
                      </w:r>
                    </w:sdtContent>
                  </w:sdt>
                  <w:r>
                    <w:rPr>
                      <w:szCs w:val="24"/>
                      <w:lang w:eastAsia="lt-LT"/>
                    </w:rPr>
                    <w:t>. Išmokos gavėjui mirus,</w:t>
                  </w:r>
                  <w:r>
                    <w:rPr>
                      <w:rFonts w:eastAsia="Calibri"/>
                      <w:bCs/>
                      <w:szCs w:val="24"/>
                    </w:rPr>
                    <w:t xml:space="preserve"> jo įpėdiniams, išmokama mirusio išmokos gavėjo negauta praėjusio mėnesio išmoka ir išmoka už tą mėnesį (ar jo dalį), kurį išmokos gavėjas mirė, iki mirties dienos (įskaitytinai). Šiame punkte nurodytos išmokos išmokamos ne vėliau kaip per 3 darbo dienas po išmokos gavėjo įpėdinio laisvos formos prašymo, paveldėjimo teisę įrodančio dokumento ir išmokos gavėjo mirties faktą patvirtinančio dokumento, jeigu duomenų apie mirtį nėra Lietuvos Respublikos gyventojų registre, gavimo išmoką mokančioje įstaigoje.</w:t>
                  </w:r>
                </w:p>
              </w:sdtContent>
            </w:sdt>
            <w:sdt>
              <w:sdtPr>
                <w:alias w:val="16 p."/>
                <w:tag w:val="part_6de0f5506a0d40f0813f7362b2bd964e"/>
                <w:lock w:val="sdtLocked"/>
                <w:richText/>
              </w:sdtPr>
              <w:sdtContent>
                <w:p>
                  <w:pPr>
                    <w:ind w:firstLine="567"/>
                    <w:jc w:val="both"/>
                    <w:rPr>
                      <w:sz w:val="22"/>
                    </w:rPr>
                  </w:pPr>
                  <w:sdt>
                    <w:sdtPr>
                      <w:alias w:val="Numeris"/>
                      <w:tag w:val="nr_6de0f5506a0d40f0813f7362b2bd964e"/>
                      <w:lock w:val="sdtLocked"/>
                      <w:richText/>
                    </w:sdtPr>
                    <w:sdtContent>
                      <w:r>
                        <w:t>16</w:t>
                      </w:r>
                    </w:sdtContent>
                  </w:sdt>
                  <w:r>
                    <w:t>. Jeigu išmokos gavėjo nuolatinės pensinio pobūdžio išmokos ir (ar) pensijų išmokos, nurodytų Įstatymo 14 straipsnio 5 dalyje, dydis (turintiems teisę gauti ar gaunantiems kelias nuolatines pensinio pobūdžio išmokas ir (ar) pensijų išmokas – bendra šių išmokų suma) yra lygus išmokos dydžiui ar didesnis už išmokos dydį, išmokos mokėjimas sustabdomas nuo mėnesio, einančio po to mėnesio, kurį nuolatinė pensinio pobūdžio išmoka ir (ar) pensijų išmoka yra didesnė ar tokio paties dydžio kaip išmoka, pirmos dienos.</w:t>
                  </w:r>
                </w:p>
              </w:sdtContent>
            </w:sdt>
            <w:sdt>
              <w:sdtPr>
                <w:alias w:val="17 p."/>
                <w:tag w:val="part_b36745d29945491d94e3dcbb2f0129c9"/>
                <w:lock w:val="sdtLocked"/>
                <w:richText/>
              </w:sdtPr>
              <w:sdtContent>
                <w:p>
                  <w:pPr>
                    <w:ind w:firstLine="567"/>
                    <w:jc w:val="both"/>
                  </w:pPr>
                  <w:sdt>
                    <w:sdtPr>
                      <w:alias w:val="Numeris"/>
                      <w:tag w:val="nr_b36745d29945491d94e3dcbb2f0129c9"/>
                      <w:lock w:val="sdtLocked"/>
                      <w:richText/>
                    </w:sdtPr>
                    <w:sdtContent>
                      <w:r>
                        <w:t>17</w:t>
                      </w:r>
                    </w:sdtContent>
                  </w:sdt>
                  <w:r>
                    <w:t xml:space="preserve">.  Jeigu išmokos gavėjo nuolatinės pensinio pobūdžio išmokos ir (ar) pensijų išmokos, nurodytų Įstatymo 14 straipsnio 5 dalyje, dydis (turintiems teisę gauti ar gaunantiems kelias nuolatines pensinio pobūdžio išmokas ir (ar) pensijų išmokas – bendra šių išmokų suma) yra mažesnis už išmokos dydį, nuo mėnesio, einančio po to mėnesio, kurį nuolatinė pensinio pobūdžio išmoka ir (ar) pensijų išmoka yra mažesnė už išmoką, pirmos dienos mokama išmokos dalis, lygi skirtumui tarp nuolatinės pensinio pobūdžio išmokos ir (ar) pensijų išmokos, nurodytų Įstatymo 14 straipsnio 5 dalyje (gaunantiems kelias nuolatines pensinio pobūdžio išmokas ir (ar) pensijų išmokas – bendros šių išmokų sumos), ir išmokos. </w:t>
                  </w:r>
                </w:p>
              </w:sdtContent>
            </w:sdt>
            <w:sdt>
              <w:sdtPr>
                <w:alias w:val="18 p."/>
                <w:tag w:val="part_0b99b320dc364cb8bc64138c6fe64bcb"/>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rPr>
                  </w:pPr>
                  <w:sdt>
                    <w:sdtPr>
                      <w:alias w:val="Numeris"/>
                      <w:tag w:val="nr_0b99b320dc364cb8bc64138c6fe64bcb"/>
                      <w:lock w:val="sdtLocked"/>
                      <w:richText/>
                    </w:sdtPr>
                    <w:sdtContent>
                      <w:r>
                        <w:rPr>
                          <w:szCs w:val="24"/>
                          <w:lang w:eastAsia="lt-LT"/>
                        </w:rPr>
                        <w:t>18</w:t>
                      </w:r>
                    </w:sdtContent>
                  </w:sdt>
                  <w:r>
                    <w:rPr>
                      <w:szCs w:val="24"/>
                      <w:lang w:eastAsia="lt-LT"/>
                    </w:rPr>
                    <w:t xml:space="preserve">. </w:t>
                  </w:r>
                  <w:r>
                    <w:rPr>
                      <w:color w:val="000000"/>
                    </w:rPr>
                    <w:t>Išmoką mokančios įstaigos prašymu išmoką skirianti įstaiga per 10 darbo dienų nuo prašymo gavimo patikrina, ar išmokos gavėjas pradėjo dirbti pagal darbo sutartį atitinkamą kūrybinį darbą, už kurį jam paskirta išmoka, ir pateikia dėl to išvadą. Jeigu išmoką skiriančios įstaigos išvadoje nurodoma, kad asmuo pradėjo dirbti pagal darbo sutartį profesionaliojo scenos meno įstaigoje atitinkamą kūrybinį darbą, už kurį jam paskirta išmoka, išmoką mokanti įstaiga per 3 darbo dienas nuo šios išvados gavimo priima sprendimą dėl išmokos mokėjimo sustabdymo nuo dienos, kurią asmuo pradėjo dirbti šį darbą. Išmokos mokėjimas atnaujinamas, kai išmokos gavėjas išmoką mokančiai įstaigai raštu pateikia prašymą ir dokumentą, įrodantį, kad nutraukė kūrybinį darbą pagal darbo sutartį. Išmoką mokanti įstaiga per 3 darbo dienas priima sprendimą atnaujinti išmokos mokėjimą. Išmokos mokėjimas atnaujinamas kitą dieną po darbo sutarties nutraukimo.</w:t>
                  </w:r>
                </w:p>
              </w:sdtContent>
            </w:sdt>
            <w:sdt>
              <w:sdtPr>
                <w:alias w:val="19 p."/>
                <w:tag w:val="part_5d57a0288f9544eab37e1579743acb3d"/>
                <w:lock w:val="sdtLocked"/>
                <w:richText/>
              </w:sdtPr>
              <w:sdtContent>
                <w:p>
                  <w:pPr>
                    <w:ind w:firstLine="709"/>
                    <w:jc w:val="both"/>
                    <w:rPr>
                      <w:rFonts w:eastAsia="Calibri"/>
                      <w:szCs w:val="24"/>
                    </w:rPr>
                  </w:pPr>
                  <w:sdt>
                    <w:sdtPr>
                      <w:alias w:val="Numeris"/>
                      <w:tag w:val="nr_5d57a0288f9544eab37e1579743acb3d"/>
                      <w:lock w:val="sdtLocked"/>
                      <w:richText/>
                    </w:sdtPr>
                    <w:sdtContent>
                      <w:r>
                        <w:rPr>
                          <w:szCs w:val="24"/>
                          <w:lang w:eastAsia="lt-LT"/>
                        </w:rPr>
                        <w:t>19</w:t>
                      </w:r>
                    </w:sdtContent>
                  </w:sdt>
                  <w:r>
                    <w:rPr>
                      <w:szCs w:val="24"/>
                      <w:lang w:eastAsia="lt-LT"/>
                    </w:rPr>
                    <w:t>.</w:t>
                  </w:r>
                  <w:r>
                    <w:rPr>
                      <w:rFonts w:eastAsia="Calibri"/>
                      <w:szCs w:val="24"/>
                    </w:rPr>
                    <w:t xml:space="preserve"> Užsienyje gyvenantys išmokos gavėjai iki kiekvienų metų pabaigos turi atsiųsti (pateikti) išmoką mokančiai įstaigai paties pasirašytą pareiškimą, patvirtinantį, kad gyvena užsienio valstybėje ir nedirba kūrybinio darbo. Pareiškimas, patvirtintas ne anksčiau kaip einamųjų metų spalio 1 d., išmoką mokančiai įstaigai turi būti pateiktas iki einamųjų metų gruodžio 31 d., bet ne anksčiau kaip einamųjų metų spalio 1 d. ir teikiamas elektroninių ryšių priemonėmis, pasirašius jį kvalifikuotu elektroniniu parašu, ar Elektroninės gyventojų aptarnavimo sistemos (EGAS) priemonėmis. </w:t>
                  </w:r>
                  <w:r>
                    <w:rPr>
                      <w:color w:val="000000"/>
                      <w:shd w:val="clear" w:color="auto" w:fill="FFFFFF"/>
                    </w:rPr>
                    <w:t>Jeigu išmoką mokanti įstaiga duomenis apie tai, kad asmuo gyvena užsienio valstybėje, iš kitos valstybės kompetentingos įstaigos gauna tiesiogiai, ji privalo informuoti išmokos gavėją, kad šiame punkte nurodytos informacijos pateikti nereikia.</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r>
                    <w:rPr>
                      <w:rFonts w:eastAsia="Calibri"/>
                      <w:szCs w:val="24"/>
                    </w:rPr>
                    <w:t>Iki kiekvienų metų gruodžio 31 d. nepateikus šiame punkte nurodyto pareiškimo, išmokos mokėjimas sustabdomas nuo ateinančių metų sausio 1 d., o šį pareiškimą pateikus – atnaujinamas nuo mokėjimo sustabdymo dienos, jeigu išmokos gavėjui teisė gauti išmoką buvo išlikusi.</w:t>
                  </w:r>
                </w:p>
              </w:sdtContent>
            </w:sdt>
            <w:sdt>
              <w:sdtPr>
                <w:alias w:val="20 p."/>
                <w:tag w:val="part_d41f3c91282643a3855a7e0f50104c0e"/>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color w:val="000000"/>
                      <w:szCs w:val="24"/>
                    </w:rPr>
                  </w:pPr>
                  <w:sdt>
                    <w:sdtPr>
                      <w:alias w:val="Numeris"/>
                      <w:tag w:val="nr_d41f3c91282643a3855a7e0f50104c0e"/>
                      <w:lock w:val="sdtLocked"/>
                      <w:richText/>
                    </w:sdtPr>
                    <w:sdtContent>
                      <w:r>
                        <w:rPr>
                          <w:szCs w:val="24"/>
                          <w:lang w:eastAsia="lt-LT"/>
                        </w:rPr>
                        <w:t>20</w:t>
                      </w:r>
                    </w:sdtContent>
                  </w:sdt>
                  <w:r>
                    <w:rPr>
                      <w:szCs w:val="24"/>
                      <w:lang w:eastAsia="lt-LT"/>
                    </w:rPr>
                    <w:t xml:space="preserve">. Išmokos suma, negauta dėl </w:t>
                  </w:r>
                  <w:r>
                    <w:rPr>
                      <w:bCs/>
                      <w:szCs w:val="24"/>
                      <w:lang w:eastAsia="lt-LT"/>
                    </w:rPr>
                    <w:t>išmoką mokančios įstaigos</w:t>
                  </w:r>
                  <w:r>
                    <w:rPr>
                      <w:szCs w:val="24"/>
                      <w:lang w:eastAsia="lt-LT"/>
                    </w:rPr>
                    <w:t xml:space="preserve"> kaltės, išmokama </w:t>
                  </w:r>
                  <w:r>
                    <w:rPr>
                      <w:color w:val="000000"/>
                      <w:szCs w:val="24"/>
                    </w:rPr>
                    <w:t xml:space="preserve"> vadovaujantis Įstatymo 14 straipsnio 8 dalies nuostatomis.</w:t>
                  </w:r>
                </w:p>
              </w:sdtContent>
            </w:sdt>
            <w:sdt>
              <w:sdtPr>
                <w:alias w:val="21 p."/>
                <w:tag w:val="part_d455815326d3461d92b8161d3a511e1a"/>
                <w:lock w:val="sdtLocked"/>
                <w:richText/>
              </w:sdtPr>
              <w:sdtContent>
                <w:p>
                  <w:pPr>
                    <w:tabs>
                      <w:tab w:val="left" w:pos="2748"/>
                    </w:tabs>
                    <w:ind w:firstLine="709"/>
                    <w:jc w:val="both"/>
                    <w:rPr>
                      <w:sz w:val="22"/>
                    </w:rPr>
                  </w:pPr>
                  <w:sdt>
                    <w:sdtPr>
                      <w:alias w:val="Numeris"/>
                      <w:tag w:val="nr_d455815326d3461d92b8161d3a511e1a"/>
                      <w:lock w:val="sdtLocked"/>
                      <w:richText/>
                    </w:sdtPr>
                    <w:sdtContent>
                      <w:r>
                        <w:t>21</w:t>
                      </w:r>
                    </w:sdtContent>
                  </w:sdt>
                  <w:r>
                    <w:t xml:space="preserve">. Išmokų permokos, susidariusios dėl šio Aprašo 16–18 punktuose nurodytų priežasčių ar išmokos gavėjui nepranešus apie Įstatymo 14 straipsnio 11 dalyje nustatytas aplinkybes, turinčias įtakos išmokos dydžiui ir (ar) mokėjimui, išieškomos Valstybinio socialinio draudimo įstatymo nustatyta tvarka. </w:t>
                  </w:r>
                </w:p>
                <w:p>
                  <w:pPr>
                    <w:tabs>
                      <w:tab w:val="left" w:pos="6237"/>
                      <w:tab w:val="right" w:pos="8306"/>
                    </w:tabs>
                    <w:rPr>
                      <w:color w:val="000000"/>
                      <w:szCs w:val="24"/>
                      <w:lang w:eastAsia="lt-LT"/>
                    </w:rPr>
                  </w:pPr>
                </w:p>
              </w:sdtContent>
            </w:sdt>
          </w:sdtContent>
        </w:sdt>
        <w:sdt>
          <w:sdtPr>
            <w:alias w:val="skyrius"/>
            <w:tag w:val="part_09f3bd26fe8549a69b9b4873ce6f0f64"/>
            <w:lock w:val="sdtLocked"/>
            <w:richText/>
          </w:sdtPr>
          <w:sdtContent>
            <w:p>
              <w:pPr>
                <w:tabs>
                  <w:tab w:val="left" w:pos="6237"/>
                  <w:tab w:val="right" w:pos="8306"/>
                </w:tabs>
                <w:jc w:val="center"/>
                <w:rPr>
                  <w:b/>
                  <w:bCs/>
                  <w:color w:val="000000"/>
                  <w:szCs w:val="24"/>
                  <w:lang w:eastAsia="lt-LT"/>
                </w:rPr>
              </w:pPr>
              <w:sdt>
                <w:sdtPr>
                  <w:alias w:val="Numeris"/>
                  <w:tag w:val="nr_09f3bd26fe8549a69b9b4873ce6f0f64"/>
                  <w:lock w:val="sdtLocked"/>
                  <w:richText/>
                </w:sdtPr>
                <w:sdtContent>
                  <w:r>
                    <w:rPr>
                      <w:b/>
                      <w:bCs/>
                      <w:color w:val="000000"/>
                      <w:szCs w:val="24"/>
                      <w:lang w:eastAsia="lt-LT"/>
                    </w:rPr>
                    <w:t>VI</w:t>
                  </w:r>
                </w:sdtContent>
              </w:sdt>
              <w:r>
                <w:rPr>
                  <w:b/>
                  <w:bCs/>
                  <w:color w:val="000000"/>
                  <w:szCs w:val="24"/>
                  <w:lang w:eastAsia="lt-LT"/>
                </w:rPr>
                <w:t xml:space="preserve"> SKYRIUS</w:t>
              </w:r>
            </w:p>
            <w:p>
              <w:pPr>
                <w:tabs>
                  <w:tab w:val="left" w:pos="6237"/>
                  <w:tab w:val="right" w:pos="8306"/>
                </w:tabs>
                <w:jc w:val="center"/>
                <w:rPr>
                  <w:b/>
                  <w:bCs/>
                  <w:color w:val="000000"/>
                  <w:szCs w:val="24"/>
                  <w:lang w:eastAsia="lt-LT"/>
                </w:rPr>
              </w:pPr>
              <w:sdt>
                <w:sdtPr>
                  <w:alias w:val="Pavadinimas"/>
                  <w:tag w:val="title_09f3bd26fe8549a69b9b4873ce6f0f64"/>
                  <w:lock w:val="sdtLocked"/>
                  <w:richText/>
                </w:sdtPr>
                <w:sdtContent>
                  <w:r>
                    <w:rPr>
                      <w:b/>
                      <w:bCs/>
                      <w:color w:val="000000"/>
                      <w:szCs w:val="24"/>
                      <w:lang w:eastAsia="lt-LT"/>
                    </w:rPr>
                    <w:t>BAIGIAMOSIOS NUOSTATOS</w:t>
                  </w:r>
                </w:sdtContent>
              </w:sdt>
            </w:p>
            <w:p>
              <w:pPr>
                <w:tabs>
                  <w:tab w:val="left" w:pos="6237"/>
                  <w:tab w:val="right" w:pos="8306"/>
                </w:tabs>
                <w:jc w:val="center"/>
                <w:rPr>
                  <w:color w:val="000000"/>
                  <w:szCs w:val="24"/>
                  <w:lang w:eastAsia="lt-LT"/>
                </w:rPr>
              </w:pPr>
            </w:p>
            <w:sdt>
              <w:sdtPr>
                <w:alias w:val="22 p."/>
                <w:tag w:val="part_cb45b13724404f46a108e9b71b8524e1"/>
                <w:lock w:val="sdtLocked"/>
                <w:richText/>
              </w:sdtPr>
              <w:sdtContent>
                <w:p>
                  <w:pPr>
                    <w:tabs>
                      <w:tab w:val="left" w:pos="6237"/>
                      <w:tab w:val="right" w:pos="8306"/>
                    </w:tabs>
                    <w:ind w:firstLine="709"/>
                    <w:jc w:val="both"/>
                    <w:rPr>
                      <w:color w:val="000000"/>
                      <w:szCs w:val="24"/>
                    </w:rPr>
                  </w:pPr>
                  <w:sdt>
                    <w:sdtPr>
                      <w:alias w:val="Numeris"/>
                      <w:tag w:val="nr_cb45b13724404f46a108e9b71b8524e1"/>
                      <w:lock w:val="sdtLocked"/>
                      <w:richText/>
                    </w:sdtPr>
                    <w:sdtContent>
                      <w:r>
                        <w:rPr>
                          <w:color w:val="000000"/>
                          <w:szCs w:val="24"/>
                          <w:lang w:eastAsia="lt-LT"/>
                        </w:rPr>
                        <w:t>22</w:t>
                      </w:r>
                    </w:sdtContent>
                  </w:sdt>
                  <w:r>
                    <w:rPr>
                      <w:color w:val="000000"/>
                      <w:szCs w:val="24"/>
                      <w:lang w:eastAsia="lt-LT"/>
                    </w:rPr>
                    <w:t xml:space="preserve">. </w:t>
                  </w:r>
                  <w:r>
                    <w:rPr>
                      <w:color w:val="000000"/>
                      <w:szCs w:val="24"/>
                    </w:rPr>
                    <w:t>Asmens duomenys tvarkomi</w:t>
                  </w:r>
                  <w:r>
                    <w:rPr>
                      <w:szCs w:val="24"/>
                    </w:rPr>
                    <w:t xml:space="preserve"> vadovaujantis </w:t>
                  </w:r>
                  <w:r>
                    <w:rPr>
                      <w:color w:val="333333"/>
                      <w:szCs w:val="24"/>
                      <w:shd w:val="clear" w:color="auto" w:fill="FFFFFF"/>
                    </w:rPr>
                    <w:t xml:space="preserve">Reglamentu (ES) 2016/679 </w:t>
                  </w:r>
                  <w:r>
                    <w:rPr>
                      <w:color w:val="000000"/>
                      <w:szCs w:val="24"/>
                    </w:rPr>
                    <w:t>šiais tikslais:</w:t>
                  </w:r>
                </w:p>
                <w:sdt>
                  <w:sdtPr>
                    <w:alias w:val="22.1 pp."/>
                    <w:tag w:val="part_31c598e5271d4ab69037eae3701c81a0"/>
                    <w:lock w:val="sdtLocked"/>
                    <w:richText/>
                  </w:sdtPr>
                  <w:sdtContent>
                    <w:p>
                      <w:pPr>
                        <w:ind w:firstLine="709"/>
                        <w:jc w:val="both"/>
                        <w:rPr>
                          <w:color w:val="000000"/>
                          <w:szCs w:val="24"/>
                          <w:lang w:eastAsia="lt-LT"/>
                        </w:rPr>
                      </w:pPr>
                      <w:sdt>
                        <w:sdtPr>
                          <w:alias w:val="Numeris"/>
                          <w:tag w:val="nr_31c598e5271d4ab69037eae3701c81a0"/>
                          <w:lock w:val="sdtLocked"/>
                          <w:richText/>
                        </w:sdtPr>
                        <w:sdtContent>
                          <w:r>
                            <w:rPr>
                              <w:color w:val="000000"/>
                              <w:szCs w:val="24"/>
                              <w:lang w:eastAsia="lt-LT"/>
                            </w:rPr>
                            <w:t>22.1</w:t>
                          </w:r>
                        </w:sdtContent>
                      </w:sdt>
                      <w:r>
                        <w:rPr>
                          <w:color w:val="000000"/>
                          <w:szCs w:val="24"/>
                          <w:lang w:eastAsia="lt-LT"/>
                        </w:rPr>
                        <w:t xml:space="preserve">. užtikrinti išmokos skyrimą, priimant sprendimus dėl išmokos skyrimo ar atsisakymo ją skirti ir išmokos gavėjo dokumentus persiunčiant </w:t>
                      </w:r>
                      <w:r>
                        <w:rPr>
                          <w:szCs w:val="24"/>
                          <w:lang w:eastAsia="lt-LT"/>
                        </w:rPr>
                        <w:t>išmoką mokančiai įstaigai;</w:t>
                      </w:r>
                    </w:p>
                  </w:sdtContent>
                </w:sdt>
                <w:sdt>
                  <w:sdtPr>
                    <w:alias w:val="22.2 pp."/>
                    <w:tag w:val="part_9c6789180f70450bb6a8ea85454c0bbc"/>
                    <w:lock w:val="sdtLocked"/>
                    <w:richText/>
                  </w:sdtPr>
                  <w:sdtContent>
                    <w:p>
                      <w:pPr>
                        <w:ind w:firstLine="709"/>
                        <w:jc w:val="both"/>
                        <w:rPr>
                          <w:szCs w:val="24"/>
                          <w:lang w:eastAsia="lt-LT"/>
                        </w:rPr>
                      </w:pPr>
                      <w:sdt>
                        <w:sdtPr>
                          <w:alias w:val="Numeris"/>
                          <w:tag w:val="nr_9c6789180f70450bb6a8ea85454c0bbc"/>
                          <w:lock w:val="sdtLocked"/>
                          <w:richText/>
                        </w:sdtPr>
                        <w:sdtContent>
                          <w:r>
                            <w:rPr>
                              <w:szCs w:val="24"/>
                              <w:lang w:eastAsia="lt-LT"/>
                            </w:rPr>
                            <w:t>22.2</w:t>
                          </w:r>
                        </w:sdtContent>
                      </w:sdt>
                      <w:r>
                        <w:rPr>
                          <w:szCs w:val="24"/>
                          <w:lang w:eastAsia="lt-LT"/>
                        </w:rPr>
                        <w:t xml:space="preserve">. užtikrinti išmokos mokėjimą, sustabdyti išmokos mokėjimą jos gavėjui, išmokėti neišmokėtą išmoką išmokos gavėjui mirus; </w:t>
                      </w:r>
                    </w:p>
                  </w:sdtContent>
                </w:sdt>
                <w:sdt>
                  <w:sdtPr>
                    <w:alias w:val="22.3 pp."/>
                    <w:tag w:val="part_b93f8186a4b240d285256c6b63b06281"/>
                    <w:lock w:val="sdtLocked"/>
                    <w:richText/>
                  </w:sdtPr>
                  <w:sdtContent>
                    <w:p>
                      <w:pPr>
                        <w:ind w:firstLine="709"/>
                        <w:jc w:val="both"/>
                        <w:rPr>
                          <w:color w:val="000000"/>
                          <w:szCs w:val="24"/>
                          <w:lang w:eastAsia="lt-LT"/>
                        </w:rPr>
                      </w:pPr>
                      <w:sdt>
                        <w:sdtPr>
                          <w:alias w:val="Numeris"/>
                          <w:tag w:val="nr_b93f8186a4b240d285256c6b63b06281"/>
                          <w:lock w:val="sdtLocked"/>
                          <w:richText/>
                        </w:sdtPr>
                        <w:sdtContent>
                          <w:r>
                            <w:rPr>
                              <w:szCs w:val="24"/>
                              <w:lang w:eastAsia="lt-LT"/>
                            </w:rPr>
                            <w:t>22.3</w:t>
                          </w:r>
                        </w:sdtContent>
                      </w:sdt>
                      <w:r>
                        <w:rPr>
                          <w:szCs w:val="24"/>
                          <w:lang w:eastAsia="lt-LT"/>
                        </w:rPr>
                        <w:t xml:space="preserve">. </w:t>
                      </w:r>
                      <w:r>
                        <w:rPr>
                          <w:color w:val="000000"/>
                          <w:szCs w:val="24"/>
                          <w:lang w:eastAsia="lt-LT"/>
                        </w:rPr>
                        <w:t>užtikrinti lėšų, skirtų ir (ar) panaudotų išmokai mokėti, apskaitą ir apskaitos kontrolę.</w:t>
                      </w:r>
                    </w:p>
                  </w:sdtContent>
                </w:sdt>
              </w:sdtContent>
            </w:sdt>
            <w:sdt>
              <w:sdtPr>
                <w:alias w:val="23 p."/>
                <w:tag w:val="part_387454bcc19a45b0b437c48e63cc3ebe"/>
                <w:lock w:val="sdtLocked"/>
                <w:richText/>
              </w:sdtPr>
              <w:sdtContent>
                <w:p>
                  <w:pPr>
                    <w:tabs>
                      <w:tab w:val="left" w:pos="6237"/>
                      <w:tab w:val="right" w:pos="8306"/>
                    </w:tabs>
                    <w:ind w:firstLine="709"/>
                    <w:jc w:val="both"/>
                    <w:rPr>
                      <w:rFonts w:ascii="Arial" w:hAnsi="Arial" w:cs="Arial"/>
                      <w:color w:val="000000"/>
                      <w:sz w:val="22"/>
                      <w:szCs w:val="22"/>
                      <w:shd w:val="clear" w:color="auto" w:fill="FFFFFF"/>
                    </w:rPr>
                  </w:pPr>
                  <w:sdt>
                    <w:sdtPr>
                      <w:alias w:val="Numeris"/>
                      <w:tag w:val="nr_387454bcc19a45b0b437c48e63cc3ebe"/>
                      <w:lock w:val="sdtLocked"/>
                      <w:richText/>
                    </w:sdtPr>
                    <w:sdtContent>
                      <w:r>
                        <w:rPr>
                          <w:color w:val="000000"/>
                          <w:szCs w:val="24"/>
                        </w:rPr>
                        <w:t>23</w:t>
                      </w:r>
                    </w:sdtContent>
                  </w:sdt>
                  <w:r>
                    <w:rPr>
                      <w:color w:val="000000"/>
                      <w:szCs w:val="24"/>
                    </w:rPr>
                    <w:t xml:space="preserve">. </w:t>
                  </w:r>
                  <w:r>
                    <w:rPr>
                      <w:color w:val="000000"/>
                    </w:rPr>
                    <w:t>Dokumentai, įskaitant dokumentus, kuriuose yra asmens duomenų, saugomi Lietuvos Respublikos dokumentų ir archyvų įstatymo bei Lietuvos vyriausiojo archyvaro nustatyta tvarka ir terminais</w:t>
                  </w:r>
                  <w:r>
                    <w:rPr>
                      <w:rFonts w:ascii="Arial" w:hAnsi="Arial" w:cs="Arial"/>
                      <w:color w:val="000000"/>
                      <w:sz w:val="22"/>
                      <w:szCs w:val="22"/>
                      <w:shd w:val="clear" w:color="auto" w:fill="FFFFFF"/>
                    </w:rPr>
                    <w:t>.</w:t>
                  </w:r>
                </w:p>
              </w:sdtContent>
            </w:sdt>
            <w:sdt>
              <w:sdtPr>
                <w:alias w:val="24 p."/>
                <w:tag w:val="part_29815cbcdb55407cad6f20e710f22516"/>
                <w:lock w:val="sdtLocked"/>
                <w:richText/>
              </w:sdtPr>
              <w:sdtContent>
                <w:p>
                  <w:pPr>
                    <w:tabs>
                      <w:tab w:val="left" w:pos="6237"/>
                      <w:tab w:val="right" w:pos="8306"/>
                    </w:tabs>
                    <w:ind w:firstLine="709"/>
                    <w:jc w:val="both"/>
                    <w:rPr>
                      <w:rFonts w:ascii="Arial" w:hAnsi="Arial" w:cs="Arial"/>
                      <w:color w:val="000000"/>
                      <w:sz w:val="22"/>
                      <w:szCs w:val="22"/>
                      <w:shd w:val="clear" w:color="auto" w:fill="FFFFFF"/>
                    </w:rPr>
                  </w:pPr>
                  <w:sdt>
                    <w:sdtPr>
                      <w:alias w:val="Numeris"/>
                      <w:tag w:val="nr_29815cbcdb55407cad6f20e710f22516"/>
                      <w:lock w:val="sdtLocked"/>
                      <w:richText/>
                    </w:sdtPr>
                    <w:sdtContent>
                      <w:r>
                        <w:rPr>
                          <w:color w:val="000000"/>
                          <w:szCs w:val="24"/>
                          <w:shd w:val="clear" w:color="auto" w:fill="FFFFFF"/>
                        </w:rPr>
                        <w:t>24</w:t>
                      </w:r>
                    </w:sdtContent>
                  </w:sdt>
                  <w:r>
                    <w:rPr>
                      <w:color w:val="000000"/>
                      <w:szCs w:val="24"/>
                      <w:shd w:val="clear" w:color="auto" w:fill="FFFFFF"/>
                    </w:rPr>
                    <w:t>.</w:t>
                  </w:r>
                  <w:r>
                    <w:rPr>
                      <w:color w:val="000000"/>
                      <w:shd w:val="clear" w:color="auto" w:fill="FFFFFF"/>
                    </w:rPr>
                    <w:t xml:space="preserve"> Duomenų subjektų teisės įgyvendinamos duomenų valdytojo, į kurį kreipiamasi dėl duomenų subjekto teisių įgyvendinimo, nustatyta tvarka, vadovaujantis Reglamentu (ES) 2016/679</w:t>
                  </w:r>
                  <w:r>
                    <w:rPr>
                      <w:rFonts w:ascii="Arial" w:hAnsi="Arial" w:cs="Arial"/>
                      <w:color w:val="000000"/>
                      <w:sz w:val="22"/>
                      <w:szCs w:val="22"/>
                      <w:shd w:val="clear" w:color="auto" w:fill="FFFFFF"/>
                    </w:rPr>
                    <w:t>.</w:t>
                  </w:r>
                </w:p>
                <w:p>
                  <w:pPr>
                    <w:tabs>
                      <w:tab w:val="left" w:pos="6237"/>
                      <w:tab w:val="right" w:pos="8306"/>
                    </w:tabs>
                    <w:jc w:val="center"/>
                    <w:rPr>
                      <w:color w:val="000000"/>
                      <w:szCs w:val="24"/>
                      <w:lang w:eastAsia="lt-LT"/>
                    </w:rPr>
                  </w:pPr>
                </w:p>
                <w:p>
                  <w:pPr>
                    <w:tabs>
                      <w:tab w:val="left" w:pos="6237"/>
                      <w:tab w:val="right" w:pos="8306"/>
                    </w:tabs>
                    <w:jc w:val="center"/>
                    <w:rPr>
                      <w:color w:val="000000"/>
                      <w:szCs w:val="24"/>
                      <w:lang w:eastAsia="lt-LT"/>
                    </w:rPr>
                  </w:pPr>
                </w:p>
              </w:sdtContent>
            </w:sdt>
          </w:sdtContent>
        </w:sdt>
        <w:sdt>
          <w:sdtPr>
            <w:alias w:val="pabaiga"/>
            <w:tag w:val="part_0e175a9fa5a84e928d62d1cf9eabb44e"/>
            <w:lock w:val="sdtLocked"/>
            <w:richText/>
          </w:sdtPr>
          <w:sdtContent>
            <w:p>
              <w:pPr>
                <w:tabs>
                  <w:tab w:val="left" w:pos="6237"/>
                  <w:tab w:val="right" w:pos="8306"/>
                </w:tabs>
                <w:jc w:val="center"/>
                <w:rPr>
                  <w:color w:val="000000"/>
                  <w:szCs w:val="24"/>
                  <w:lang w:eastAsia="lt-LT"/>
                </w:rPr>
              </w:pPr>
              <w:r>
                <w:rPr>
                  <w:color w:val="000000"/>
                  <w:szCs w:val="24"/>
                  <w:lang w:eastAsia="lt-LT"/>
                </w:rPr>
                <w:t>––––––––––––––––––––</w:t>
              </w:r>
            </w:p>
            <w:p>
              <w:pPr>
                <w:tabs>
                  <w:tab w:val="center" w:pos="-7800"/>
                  <w:tab w:val="left" w:pos="6237"/>
                  <w:tab w:val="right" w:pos="8306"/>
                </w:tabs>
              </w:pP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121BD1598A0F">
            <w:r w:rsidRPr="00532B9F">
              <w:rPr>
                <w:rFonts w:ascii="Times New Roman" w:eastAsia="MS Mincho" w:hAnsi="Times New Roman"/>
                <w:sz w:val="20"/>
                <w:iCs/>
                <w:color w:val="0000FF" w:themeColor="hyperlink"/>
                <w:u w:val="single"/>
              </w:rPr>
              <w:t>1082</w:t>
            </w:r>
          </w:fldSimple>
          <w:r>
            <w:rPr>
              <w:rFonts w:ascii="Times New Roman" w:eastAsia="MS Mincho" w:hAnsi="Times New Roman"/>
              <w:sz w:val="20"/>
              <w:iCs/>
            </w:rPr>
            <w:t>,
2006-10-30,
Žin., 2006, Nr.
118-4480 (2006-11-04), i. k. 1061100NUTA00001082                </w:t>
          </w:r>
        </w:p>
        <w:p>
          <w:pPr>
            <w:jc w:val="both"/>
            <w:rPr>
              <w:rFonts w:ascii="Times New Roman" w:hAnsi="Times New Roman"/>
            </w:rPr>
          </w:pPr>
          <w:r>
            <w:rPr>
              <w:rFonts w:ascii="Times New Roman" w:hAnsi="Times New Roman"/>
              <w:sz w:val="20"/>
            </w:rPr>
            <w:t>Dėl Lietuvos Respublikos Vyriausybės 2005 m. vasario 24 d. nutarimo Nr. 217 "Dėl Kompensacinių išmokų teatrų ir koncertinių įstaigų kūrybiniams darbuotojams skyrimo ir mokėjimo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7FF58DB8E78A">
            <w:r w:rsidRPr="00532B9F">
              <w:rPr>
                <w:rFonts w:ascii="Times New Roman" w:eastAsia="MS Mincho" w:hAnsi="Times New Roman"/>
                <w:sz w:val="20"/>
                <w:iCs/>
                <w:color w:val="0000FF" w:themeColor="hyperlink"/>
                <w:u w:val="single"/>
              </w:rPr>
              <w:t>207</w:t>
            </w:r>
          </w:fldSimple>
          <w:r>
            <w:rPr>
              <w:rFonts w:ascii="Times New Roman" w:eastAsia="MS Mincho" w:hAnsi="Times New Roman"/>
              <w:sz w:val="20"/>
              <w:iCs/>
            </w:rPr>
            <w:t>,
2013-03-06,
Žin., 2013, Nr.
28-1326 (2013-03-16), i. k. 1131100NUTA00000207                </w:t>
          </w:r>
        </w:p>
        <w:p>
          <w:pPr>
            <w:jc w:val="both"/>
            <w:rPr>
              <w:rFonts w:ascii="Times New Roman" w:hAnsi="Times New Roman"/>
            </w:rPr>
          </w:pPr>
          <w:r>
            <w:rPr>
              <w:rFonts w:ascii="Times New Roman" w:hAnsi="Times New Roman"/>
              <w:sz w:val="20"/>
            </w:rPr>
            <w:t>Dėl Lietuvos Respublikos Vyriausybės 2005 m. vasario 24 d. nutarimo Nr. 217 "Dėl Kompensacinių išmokų teatrų ir koncertinių įstaigų kūrybiniams darbuotojams skyrimo ir mokėjimo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1df20f00636f11e486c8eb493431c0c1">
            <w:r w:rsidRPr="00532B9F">
              <w:rPr>
                <w:rFonts w:ascii="Times New Roman" w:eastAsia="MS Mincho" w:hAnsi="Times New Roman"/>
                <w:sz w:val="20"/>
                <w:iCs/>
                <w:color w:val="0000FF" w:themeColor="hyperlink"/>
                <w:u w:val="single"/>
              </w:rPr>
              <w:t>1192</w:t>
            </w:r>
          </w:fldSimple>
          <w:r>
            <w:rPr>
              <w:rFonts w:ascii="Times New Roman" w:eastAsia="MS Mincho" w:hAnsi="Times New Roman"/>
              <w:sz w:val="20"/>
              <w:iCs/>
            </w:rPr>
            <w:t>,
2014-10-28,
paskelbta TAR 2014-11-04, i. k. 2014-15579                </w:t>
          </w:r>
        </w:p>
        <w:p>
          <w:pPr>
            <w:jc w:val="both"/>
            <w:rPr>
              <w:rFonts w:ascii="Times New Roman" w:hAnsi="Times New Roman"/>
            </w:rPr>
          </w:pPr>
          <w:r>
            <w:rPr>
              <w:rFonts w:ascii="Times New Roman" w:hAnsi="Times New Roman"/>
              <w:sz w:val="20"/>
            </w:rPr>
            <w:t>Dėl Lietuvos Respublikos Vyriausybės 2005 m. vasario 24 d. nutarimo Nr. 217 „Dėl Kompensacinių išmokų teatrų ir koncertinių įstaigų kūrybiniams darbuotojams skyrimo ir mokėjimo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fdf1cb802b4111e78397ae072f58c508">
            <w:r w:rsidRPr="00532B9F">
              <w:rPr>
                <w:rFonts w:ascii="Times New Roman" w:eastAsia="MS Mincho" w:hAnsi="Times New Roman"/>
                <w:sz w:val="20"/>
                <w:iCs/>
                <w:color w:val="0000FF" w:themeColor="hyperlink"/>
                <w:u w:val="single"/>
              </w:rPr>
              <w:t>312</w:t>
            </w:r>
          </w:fldSimple>
          <w:r>
            <w:rPr>
              <w:rFonts w:ascii="Times New Roman" w:eastAsia="MS Mincho" w:hAnsi="Times New Roman"/>
              <w:sz w:val="20"/>
              <w:iCs/>
            </w:rPr>
            <w:t>,
2017-04-26,
paskelbta TAR 2017-04-27, i. k. 2017-07056                </w:t>
          </w:r>
        </w:p>
        <w:p>
          <w:pPr>
            <w:jc w:val="both"/>
            <w:rPr>
              <w:rFonts w:ascii="Times New Roman" w:hAnsi="Times New Roman"/>
            </w:rPr>
          </w:pPr>
          <w:r>
            <w:rPr>
              <w:rFonts w:ascii="Times New Roman" w:hAnsi="Times New Roman"/>
              <w:sz w:val="20"/>
            </w:rPr>
            <w:t>Dėl Lietuvos Respublikos Vyriausybės 2005 m. vasario 24 d. nutarimo Nr. 217 „Dėl Kompensacinių išmokų teatrų ir koncertinių įstaigų kūrybiniams darbuotojams skyrimo ir mokėjimo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d6df5ae0cec311ed9978886e85107ab2">
            <w:r w:rsidRPr="00532B9F">
              <w:rPr>
                <w:rFonts w:ascii="Times New Roman" w:eastAsia="MS Mincho" w:hAnsi="Times New Roman"/>
                <w:sz w:val="20"/>
                <w:iCs/>
                <w:color w:val="0000FF" w:themeColor="hyperlink"/>
                <w:u w:val="single"/>
              </w:rPr>
              <w:t>202</w:t>
            </w:r>
          </w:fldSimple>
          <w:r>
            <w:rPr>
              <w:rFonts w:ascii="Times New Roman" w:eastAsia="MS Mincho" w:hAnsi="Times New Roman"/>
              <w:sz w:val="20"/>
              <w:iCs/>
            </w:rPr>
            <w:t>,
2023-03-29,
paskelbta TAR 2023-03-30, i. k. 2023-05717                </w:t>
          </w:r>
        </w:p>
        <w:p>
          <w:pPr>
            <w:jc w:val="both"/>
            <w:rPr>
              <w:rFonts w:ascii="Times New Roman" w:hAnsi="Times New Roman"/>
            </w:rPr>
          </w:pPr>
          <w:r>
            <w:rPr>
              <w:rFonts w:ascii="Times New Roman" w:hAnsi="Times New Roman"/>
              <w:sz w:val="20"/>
            </w:rPr>
            <w:t>Dėl Lietuvos Respublikos Vyriausybės 2005 m. vasario 24 d. nutarimo Nr. 217 „Dėl Kompensacinių išmokų profesionaliojo scenos meno įstaigų kūrybiniams darbuotojams skyrimo ir mokėjimo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type w:val="continuous"/>
      <w:pgSz w:w="11907" w:h="16839"/>
      <w:pgMar w:top="567" w:right="1134" w:bottom="1701" w:left="1134" w:header="567" w:footer="567"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3</w:t>
    </w:r>
    <w:r>
      <w:rPr>
        <w:lang w:eastAsia="lt-LT"/>
      </w:rPr>
      <w:fldChar w:fldCharType="end"/>
    </w:r>
  </w:p>
  <w:p>
    <w:pPr>
      <w:tabs>
        <w:tab w:val="center" w:pos="4153"/>
        <w:tab w:val="right" w:pos="8306"/>
      </w:tabs>
      <w:spacing w:after="160" w:line="259" w:lineRule="auto"/>
      <w:rPr>
        <w:lang w:eastAsia="lt-LT"/>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7</w:t>
    </w:r>
    <w:r>
      <w:rPr>
        <w:lang w:val="en-GB"/>
      </w:rPr>
      <w:fldChar w:fldCharType="end"/>
    </w:r>
  </w:p>
  <w:p>
    <w:pPr>
      <w:tabs>
        <w:tab w:val="center" w:pos="4153"/>
        <w:tab w:val="right" w:pos="8306"/>
      </w:tabs>
      <w:rPr>
        <w:lang w:val="en-GB"/>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4</w:t>
    </w:r>
    <w:r>
      <w:rPr>
        <w:lang w:eastAsia="lt-LT"/>
      </w:rPr>
      <w:fldChar w:fldCharType="end"/>
    </w:r>
  </w:p>
  <w:p>
    <w:pPr>
      <w:tabs>
        <w:tab w:val="center" w:pos="4153"/>
        <w:tab w:val="right" w:pos="8306"/>
      </w:tabs>
      <w:spacing w:after="160" w:line="259" w:lineRule="auto"/>
      <w:rPr>
        <w:lang w:eastAsia="lt-LT"/>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oofState w:spelling="clean" w:grammar="clean"/>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8"/>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14B46"/>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D611EC8"/>
  <w15:docId w15:val="{F6842553-CFE5-4E5B-BA4F-60189E3A9C34}"/>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2164744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footer" Target="footer10.xml"/>
  <Relationship Id="rId11" Type="http://schemas.openxmlformats.org/officeDocument/2006/relationships/footer" Target="footer11.xml"/>
  <Relationship Id="rId12" Type="http://schemas.openxmlformats.org/officeDocument/2006/relationships/header" Target="header12.xml"/>
  <Relationship Id="rId13" Type="http://schemas.openxmlformats.org/officeDocument/2006/relationships/footer" Target="footer12.xml"/>
  <Relationship Id="rId14"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openxmlformats.org/officeDocument/2006/relationships/theme" Target="theme/theme1.xml"/>
  <Relationship Id="rId7" Type="http://schemas.openxmlformats.org/officeDocument/2006/relationships/webSettings" Target="webSettings.xml"/>
  <Relationship Id="rId8" Type="http://schemas.openxmlformats.org/officeDocument/2006/relationships/header" Target="header10.xml"/>
  <Relationship Id="rId9" Type="http://schemas.openxmlformats.org/officeDocument/2006/relationships/header" Target="header11.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7073c7132b6240ce86e8597b303ec084" PartId="cd1172a8aba34db3a81ca80b75d2f14d">
    <Part Type="preambule" DocPartId="e9fb2005bb144b709a0259806ad6aa51" PartId="c187416b0b5245a2aefa07d2f4bde39c"/>
    <Part Type="pastraipa" DocPartId="43e116c225514d05b86429a93d301ec5" PartId="25920ee1fc184ff5abae64de4dd398e8"/>
    <Part Type="signatura" DocPartId="76a40d4f8d7c45169fd1a61e35b51b3a" PartId="51eab583fa8a4d7ca7688de827ad7f08"/>
  </Part>
  <Part Type="patvirtinta" Title="KOMPENSACINIŲ IŠMOKŲ PROFESIONALIOJO SCENOS MENO ĮSTAIGŲ KŪRYBINIAMS DARBUOTOJAMS SKYRIMO IR MOKĖJIMO TVARKOS APRAŠAS" DocPartId="15441ff984c64784b00c5d2a0eb1d444" PartId="a8306314dec84d8fa5c608a58c93c9f9">
    <Part Type="skyrius" Nr="1" Title="BENDROSIOS NUOSTATOS" DocPartId="eec961cb60974e3c83f3616c90ed3360" PartId="7c1d95ad0ac24886a921ca4d6821e7d1">
      <Part Type="punktas" Nr="1" Abbr="1 p." DocPartId="fdb85c96d2324d2ba89ed2ce66757128" PartId="ce8ad6dbbe2a4888a98b6667739f7ef9"/>
      <Part Type="punktas" Nr="2" Abbr="2 p." DocPartId="50ba04992a8f45ebb9868e0e66e5777e" PartId="6d85559bad624bb1a59c1c6d0a825736"/>
    </Part>
    <Part Type="skyrius" Nr="2" Title="KREIPIMASIS DĖL IŠMOKOS SKYRIMO" DocPartId="fe70368b9b6549faa9c1e33c494acaea" PartId="19de32a5807b42e0a9f6b617733b583a">
      <Part Type="punktas" Nr="3" Abbr="3 p." DocPartId="0566dabe054e4bbaaa699af7ca219d45" PartId="f8e24a2ecf3a4275baccfa677bad9e3b">
        <Part Type="papunktis" Nr="3.1" Abbr="3.1 pp." DocPartId="e0c0377e6c16454aad6e4f86cf82a5c5" PartId="1ae592110898424c9d2d44327ba26b68"/>
        <Part Type="papunktis" Nr="3.2" Abbr="3.2 pp." DocPartId="c4e029f48ddb4fd39df2c360c2f06067" PartId="17bc231de17a4d8f9d1d242dfd76171e"/>
        <Part Type="papunktis" Nr="3.3" Abbr="3.3 pp." DocPartId="49069bba6c46433aa5dc95ef27ab9740" PartId="4f8a93a1298d4659af1608de438388ee"/>
        <Part Type="papunktis" Nr="3.4" Abbr="3.4 pp." DocPartId="6664796321884c998480c4728805c5b8" PartId="200c14eeed174dec8dcc7e7f997c26e1"/>
        <Part Type="papunktis" Nr="3.5" Abbr="3.5 pp." DocPartId="d1c1d1da563147b7877b2ff15497f358" PartId="79ce050f61b849a7b4b677ea1b79681a"/>
      </Part>
      <Part Type="punktas" Nr="4" Abbr="4 p." DocPartId="984d6c8176ee44b2aa08ce638c73e467" PartId="9939c30abdc94f0ab4ce97dee802e780"/>
      <Part Type="punktas" Nr="5" Abbr="5 p." DocPartId="b873a417880d4da9b98227df1947b35f" PartId="ab1d12d261164097b0e1bcae6d83177c"/>
      <Part Type="punktas" Nr="6" Abbr="6 p." DocPartId="9245da18c2654e0cba65619c2fdee61d" PartId="01560c2247a9425d8f1163f55ffe3390"/>
      <Part Type="punktas" Nr="7" Abbr="7 p." DocPartId="4943b8cd3031492098158fbba7abd5ec" PartId="cb62da9fe41a4de2b21a9f798e8a2995"/>
      <Part Type="punktas" Nr="8" Abbr="8 p." DocPartId="fd44a58a360d43b888d5a1c18ad6245e" PartId="03713ac96927427fa570aa6ecdda3a46"/>
    </Part>
    <Part Type="skyrius" Nr="3" Title="ASMENS KŪRYBINIO DARBO STAŽĄ ĮRODANTYS DOKUMENTAI, BŪTINI IŠMOKAI SKIRTI" DocPartId="15e8a331aa634ffbbbde9dbb8f7df40d" PartId="91f3d92c8f894b69a9459c881b222d84">
      <Part Type="punktas" Nr="9" Abbr="9 p." DocPartId="24299da5803449cbb94c45b1d5e4799d" PartId="c7efa77def5c410dbdd5e1a062cb9ab3">
        <Part Type="papunktis" Nr="9.1" Abbr="9.1 pp." DocPartId="04f01d20f5024863bccf73b0d0dd5821" PartId="d720eb0f9c6c4a299b0e63a13c0e45bb"/>
        <Part Type="papunktis" Nr="9.2" Abbr="9.2 pp." DocPartId="3acf82f5d81f4f4197dd60f7cf63faee" PartId="6cb8b7ec3f8f4ec9b96635e52d211a16"/>
        <Part Type="papunktis" Nr="9.3" Abbr="9.3 pp." DocPartId="dd74ac0eabd342f4a63a8c19e6083559" PartId="253c6352e340491bb9b42eef125d10bc"/>
        <Part Type="papunktis" Nr="9.4" Abbr="9.4 pp." DocPartId="faabe721bd0f45cfb5c8ec45ceabc876" PartId="ce40403d98c74afeaa3831b84a8384e6"/>
        <Part Type="papunktis" Nr="9.5" Abbr="9.5 pp." DocPartId="2cfb793fe17846beb17e6e080cd2d34c" PartId="014697de00ee4c3aa0687d721cd03ddf"/>
        <Part Type="papunktis" Nr="9.6" Abbr="9.6 pp." DocPartId="2171f1e480c54966810561ac351bfc2b" PartId="ef6440cd22a04ea5bf8cfc20bcd24832"/>
        <Part Type="papunktis" Nr="9.7" Abbr="9.7 pp." DocPartId="bdc120389673449e9e4ba5e88923316d" PartId="9cfe21ea7cb94dc29f22c242128e3f04"/>
      </Part>
      <Part Type="punktas" Nr="10" Abbr="10 p." DocPartId="4d94269c4c214838ad31a8bb0db9099f" PartId="d7be3ea4236d40c8adda6e11952d1edc"/>
      <Part Type="punktas" Nr="11" Abbr="11 p." DocPartId="c165d43a3efb44569b33c9ddaf5aaa2c" PartId="bad404441bd746a38a31e3cbdc65d833"/>
    </Part>
    <Part Type="skyrius" Nr="4" Title="IŠMOKOS SKYRIMAS" DocPartId="4a2b52cef9f9463bbf559249c6e088b2" PartId="4c48da78797c4c6194fd5d60b29b0676">
      <Part Type="punktas" Nr="12" Abbr="12 p." DocPartId="40271bbb2a3f4e4fb6f0adb5f64046a8" PartId="0c92ab711d92420f88815189f6ebb2a5"/>
      <Part Type="punktas" Nr="13" Abbr="13 p." DocPartId="c6e36f385c1c43dbbb70941d175af6b2" PartId="2b51474d00e64b6f9cfd509428f11ed6"/>
    </Part>
    <Part Type="skyrius" Nr="5" Title="IŠMOKOS MOKĖJIMAS" DocPartId="b56d5388a6604de4b204923e09022f8c" PartId="d2aa34b6cd0d4cf6b86674ebe950bd9a">
      <Part Type="punktas" Nr="14" Abbr="14 p." DocPartId="3da17bcab9c940db9a4302b5910d6a72" PartId="11f3528eea0d48a8848273f3b01f5461"/>
      <Part Type="punktas" Nr="15" Abbr="15 p." DocPartId="1f5563a9d8c649a8a8b14b01a55ba511" PartId="8db164ec82ea49618a6b8d1b6eccd28a"/>
      <Part Type="punktas" Nr="16" Abbr="16 p." DocPartId="ef0031721905418ea8388ad914760757" PartId="6de0f5506a0d40f0813f7362b2bd964e"/>
      <Part Type="punktas" Nr="17" Abbr="17 p." DocPartId="59485084dcab4290a58c9d397f43fdc2" PartId="b36745d29945491d94e3dcbb2f0129c9"/>
      <Part Type="punktas" Nr="18" Abbr="18 p." DocPartId="1c072689b9034b9d9c8f465109790a0d" PartId="0b99b320dc364cb8bc64138c6fe64bcb"/>
      <Part Type="punktas" Nr="19" Abbr="19 p." DocPartId="a564b1d6c14f47c989bf5f9da7187163" PartId="5d57a0288f9544eab37e1579743acb3d"/>
      <Part Type="punktas" Nr="20" Abbr="20 p." DocPartId="e879be2fb9624657ace0605b48af0036" PartId="d41f3c91282643a3855a7e0f50104c0e"/>
      <Part Type="punktas" Nr="21" Abbr="21 p." DocPartId="4b6a8f695d554e23b1d6eed10fcd4b66" PartId="d455815326d3461d92b8161d3a511e1a"/>
    </Part>
    <Part Type="skyrius" Nr="6" Title="BAIGIAMOSIOS NUOSTATOS" DocPartId="8684873c4dc948bc85e0f67961f149f9" PartId="09f3bd26fe8549a69b9b4873ce6f0f64">
      <Part Type="punktas" Nr="22" Abbr="22 p." DocPartId="ad9a730975dc443792381981c9e4aefe" PartId="cb45b13724404f46a108e9b71b8524e1">
        <Part Type="papunktis" Nr="22.1" Abbr="22.1 pp." DocPartId="cff828435f12443fb4315d6961ef827f" PartId="31c598e5271d4ab69037eae3701c81a0"/>
        <Part Type="papunktis" Nr="22.2" Abbr="22.2 pp." DocPartId="ad20d3df872e45cb91e74eb6934595d5" PartId="9c6789180f70450bb6a8ea85454c0bbc"/>
        <Part Type="papunktis" Nr="22.3" Abbr="22.3 pp." DocPartId="0a673dad0d10453b98185f3cf896158c" PartId="b93f8186a4b240d285256c6b63b06281"/>
      </Part>
      <Part Type="punktas" Nr="23" Abbr="23 p." DocPartId="e33870a1568746e695901d18a5a6346f" PartId="387454bcc19a45b0b437c48e63cc3ebe"/>
      <Part Type="punktas" Nr="24" Abbr="24 p." DocPartId="665bc258c94a48bea710a6f93dcdc3c7" PartId="29815cbcdb55407cad6f20e710f22516"/>
    </Part>
    <Part Type="pabaiga" DocPartId="9d7277d91db44bd69719f3b737c14be4" PartId="0e175a9fa5a84e928d62d1cf9eabb44e"/>
  </Part>
</Parts>
</file>

<file path=customXml/itemProps1.xml><?xml version="1.0" encoding="utf-8"?>
<ds:datastoreItem xmlns:ds="http://schemas.openxmlformats.org/officeDocument/2006/customXml" ds:itemID="{D65761BD-49F0-422E-B368-F481012E9936}">
  <ds:schemaRefs>
    <ds:schemaRef ds:uri="http://lrs.lt/TAIS/DocParts"/>
  </ds:schemaRefs>
</ds:datastoreItem>
</file>

<file path=docProps/app.xml><?xml version="1.0" encoding="utf-8"?>
<Properties xmlns="http://schemas.openxmlformats.org/officeDocument/2006/extended-properties">
  <Template>Normal.dotm</Template>
  <TotalTime>20</TotalTime>
  <Pages>6</Pages>
  <Words>9687</Words>
  <Characters>5522</Characters>
  <Application>Microsoft Office Word</Application>
  <DocSecurity>0</DocSecurity>
  <Lines>46</Lines>
  <Paragraphs>30</Paragraphs>
  <ScaleCrop>false</ScaleCrop>
  <Company/>
  <LinksUpToDate>false</LinksUpToDate>
  <CharactersWithSpaces>15179</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2014-11-14T13:31:00Z</dcterms:created>
  <dc:creator>marina.buivid@gmail.com</dc:creator>
  <lastModifiedBy>BODIN Aušra</lastModifiedBy>
  <dcterms:modified xsi:type="dcterms:W3CDTF">2023-03-31T05:44:00Z</dcterms:modified>
  <revision>15</revision>
</coreProperties>
</file>