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d6976fee924a3b978d90019fa1b0e2"/>
        <w:lock w:val="sdtLocked"/>
        <w:richText/>
      </w:sdtPr>
      <w:sdtContent>
        <w:p>
          <w:pPr>
            <w:jc w:val="both"/>
            <w:rPr>
              <w:rFonts w:ascii="Times New Roman" w:hAnsi="Times New Roman"/>
            </w:rPr>
          </w:pPr>
          <w:r>
            <w:rPr>
              <w:rFonts w:ascii="Times New Roman" w:hAnsi="Times New Roman"/>
              <w:b/>
              <w:i/>
            </w:rPr>
            <w:t>Suvestinė redakcija nuo 2015-10-29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2015-10-29:</w:t>
          </w:r>
        </w:p>
        <w:p>
          <w:pPr>
            <w:rPr>
              <w:rFonts w:ascii="Times New Roman" w:hAnsi="Times New Roman"/>
              <w:sz w:val="20"/>
              <w:i/>
            </w:rPr>
          </w:pPr>
          <w:r>
            <w:rPr>
              <w:rFonts w:ascii="Times New Roman" w:hAnsi="Times New Roman"/>
              <w:sz w:val="20"/>
              <w:i/>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Pr>
            <w:rPr>
              <w:rFonts w:ascii="Times New Roman" w:hAnsi="Times New Roman"/>
              <w:sz w:val="22"/>
            </w:rPr>
          </w:pPr>
        </w:p>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p>
          <w:pPr>
            <w:jc w:val="center"/>
            <w:rPr>
              <w:b/>
              <w:color w:val="000000"/>
              <w:spacing w:val="-1"/>
              <w:szCs w:val="24"/>
            </w:rPr>
          </w:pPr>
        </w:p>
        <w:p>
          <w:pPr>
            <w:jc w:val="center"/>
            <w:rPr>
              <w:b/>
              <w:color w:val="000000"/>
              <w:spacing w:val="-1"/>
              <w:szCs w:val="24"/>
            </w:rPr>
          </w:pPr>
          <w:r>
            <w:rPr>
              <w:b/>
              <w:color w:val="000000"/>
              <w:spacing w:val="-1"/>
              <w:szCs w:val="24"/>
            </w:rPr>
            <w:t>ĮSAKYMAS</w:t>
          </w:r>
        </w:p>
        <w:sdt>
          <w:sdtPr>
            <w:alias w:val="Pavadinimas"/>
            <w:tag w:val="title_abd6976fee924a3b978d90019fa1b0e2"/>
            <w:lock w:val="sdtLocked"/>
            <w:richText/>
          </w:sdtPr>
          <w:sdtContent>
            <w:p>
              <w:pPr>
                <w:jc w:val="center"/>
                <w:rPr>
                  <w:rFonts w:ascii="Arial" w:hAnsi="Arial" w:cs="Arial"/>
                  <w:b/>
                  <w:bCs/>
                  <w:color w:val="000000"/>
                  <w:sz w:val="20"/>
                  <w:lang w:eastAsia="lt-LT"/>
                </w:rPr>
              </w:pPr>
              <w:r>
                <w:rPr>
                  <w:rFonts w:eastAsia="Calibri"/>
                  <w:b/>
                  <w:caps/>
                  <w:szCs w:val="22"/>
                  <w:lang w:eastAsia="lt-LT"/>
                </w:rPr>
                <w:t>Dėl Akcizais apmokestinamų prekių, kurioms taikomos akcizų lengvatos, apyvartos ataskaitos pateikimo taisyklių PATVIRTINIMO</w:t>
              </w:r>
            </w:p>
          </w:sdtContent>
        </w:sdt>
        <w:p>
          <w:pPr>
            <w:jc w:val="center"/>
            <w:rPr>
              <w:color w:val="000000"/>
              <w:szCs w:val="24"/>
              <w:lang w:eastAsia="lt-LT"/>
            </w:rPr>
          </w:pPr>
        </w:p>
        <w:p>
          <w:pPr>
            <w:jc w:val="center"/>
            <w:rPr>
              <w:color w:val="000000"/>
            </w:rPr>
          </w:pPr>
          <w:r>
            <w:rPr>
              <w:color w:val="000000"/>
            </w:rPr>
            <w:t>2005 m. vasario 3 d. Nr. VA-16</w:t>
          </w:r>
        </w:p>
        <w:p>
          <w:pPr>
            <w:jc w:val="center"/>
            <w:rPr>
              <w:color w:val="000000"/>
            </w:rPr>
          </w:pPr>
          <w:r>
            <w:rPr>
              <w:color w:val="000000"/>
            </w:rPr>
            <w:t>Vilnius</w:t>
          </w:r>
        </w:p>
        <w:p>
          <w:pPr>
            <w:jc w:val="center"/>
            <w:rPr>
              <w:color w:val="000000"/>
            </w:rPr>
          </w:pPr>
        </w:p>
        <w:p>
          <w:pPr>
            <w:jc w:val="center"/>
            <w:rPr>
              <w:color w:val="000000"/>
              <w:szCs w:val="24"/>
              <w:lang w:eastAsia="lt-LT"/>
            </w:rPr>
          </w:pPr>
        </w:p>
        <w:sdt>
          <w:sdtPr>
            <w:alias w:val="preambule"/>
            <w:tag w:val="part_0a9f89a1b17441ef86beb296a673dd5f"/>
            <w:lock w:val="sdtLocked"/>
            <w:richText/>
          </w:sdtPr>
          <w:sdtContent>
            <w:p>
              <w:pPr>
                <w:ind w:firstLine="709"/>
                <w:jc w:val="both"/>
                <w:rPr>
                  <w:rFonts w:eastAsia="Calibri"/>
                  <w:color w:val="000000"/>
                  <w:szCs w:val="24"/>
                  <w:lang w:eastAsia="lt-LT"/>
                </w:rPr>
              </w:pPr>
              <w:r>
                <w:rPr>
                  <w:rFonts w:eastAsia="Calibri"/>
                  <w:color w:val="000000"/>
                  <w:szCs w:val="24"/>
                  <w:lang w:eastAsia="lt-LT"/>
                </w:rPr>
                <w:t>Vadovaudamasi Valstybinės mokesčių inspekcijos prie Lietuvos Respublikоs finansų ministerijos nuostatų, patvirtintų Lietuvos Respublikos finansų ministro 1997 m. liepos 29 d. įsakymu Nr. 110 „Dėl Valstybinės mokesčių inspekcijos prie Lietuvos Respublikos finansų ministerijos nuostatų patvirtinimo“:</w:t>
              </w:r>
            </w:p>
            <w:sdt>
              <w:sdtPr>
                <w:alias w:val="1 p."/>
                <w:tag w:val="part_d9fa70fdf0ad45de932549993ddb9cd4"/>
                <w:lock w:val="sdtLocked"/>
                <w:richText/>
              </w:sdtPr>
              <w:sdtContent>
                <w:p>
                  <w:pPr>
                    <w:ind w:firstLine="709"/>
                    <w:jc w:val="both"/>
                    <w:rPr>
                      <w:rFonts w:eastAsia="Calibri"/>
                      <w:color w:val="000000"/>
                      <w:szCs w:val="24"/>
                      <w:lang w:eastAsia="lt-LT"/>
                    </w:rPr>
                  </w:pPr>
                  <w:sdt>
                    <w:sdtPr>
                      <w:alias w:val="Numeris"/>
                      <w:tag w:val="nr_d9fa70fdf0ad45de932549993ddb9cd4"/>
                      <w:lock w:val="sdtLocked"/>
                      <w:richText/>
                    </w:sdtPr>
                    <w:sdtContent>
                      <w:r>
                        <w:rPr>
                          <w:rFonts w:eastAsia="Calibri"/>
                          <w:color w:val="000000"/>
                          <w:szCs w:val="24"/>
                          <w:lang w:eastAsia="lt-LT"/>
                        </w:rPr>
                        <w:t>1</w:t>
                      </w:r>
                    </w:sdtContent>
                  </w:sdt>
                  <w:r>
                    <w:rPr>
                      <w:rFonts w:eastAsia="Calibri"/>
                      <w:color w:val="000000"/>
                      <w:szCs w:val="24"/>
                      <w:lang w:eastAsia="lt-LT"/>
                    </w:rPr>
                    <w:t xml:space="preserve">. T v i r t i n u  pridedamas:</w:t>
                  </w:r>
                </w:p>
                <w:sdt>
                  <w:sdtPr>
                    <w:alias w:val="1.1 p."/>
                    <w:tag w:val="part_c67be3b61345476ab162f7f4bf75cba9"/>
                    <w:lock w:val="sdtLocked"/>
                    <w:richText/>
                  </w:sdtPr>
                  <w:sdtContent>
                    <w:p>
                      <w:pPr>
                        <w:ind w:firstLine="709"/>
                        <w:jc w:val="both"/>
                        <w:rPr>
                          <w:rFonts w:eastAsia="Calibri"/>
                          <w:color w:val="000000"/>
                          <w:szCs w:val="24"/>
                          <w:lang w:eastAsia="lt-LT"/>
                        </w:rPr>
                      </w:pPr>
                      <w:sdt>
                        <w:sdtPr>
                          <w:alias w:val="Numeris"/>
                          <w:tag w:val="nr_c67be3b61345476ab162f7f4bf75cba9"/>
                          <w:lock w:val="sdtLocked"/>
                          <w:richText/>
                        </w:sdtPr>
                        <w:sdtContent>
                          <w:r>
                            <w:rPr>
                              <w:rFonts w:eastAsia="Calibri"/>
                              <w:color w:val="000000"/>
                              <w:szCs w:val="24"/>
                              <w:lang w:eastAsia="lt-LT"/>
                            </w:rPr>
                            <w:t>1.1</w:t>
                          </w:r>
                        </w:sdtContent>
                      </w:sdt>
                      <w:r>
                        <w:rPr>
                          <w:rFonts w:eastAsia="Calibri"/>
                          <w:color w:val="000000"/>
                          <w:szCs w:val="24"/>
                          <w:lang w:eastAsia="lt-LT"/>
                        </w:rPr>
                        <w:t>. Akcizais apmokestinamų prekių, kurioms taikomos akcizų lengvatos, apyvartos ataskaitos pateikimo taisykles.</w:t>
                      </w:r>
                    </w:p>
                  </w:sdtContent>
                </w:sdt>
                <w:sdt>
                  <w:sdtPr>
                    <w:alias w:val="1.2 p."/>
                    <w:tag w:val="part_e97c3a4d73a04c64a522a942346385c4"/>
                    <w:lock w:val="sdtLocked"/>
                    <w:richText/>
                  </w:sdtPr>
                  <w:sdtContent>
                    <w:p>
                      <w:pPr>
                        <w:ind w:firstLine="709"/>
                        <w:jc w:val="both"/>
                        <w:rPr>
                          <w:rFonts w:eastAsia="Calibri"/>
                          <w:color w:val="000000"/>
                          <w:szCs w:val="24"/>
                          <w:lang w:eastAsia="lt-LT"/>
                        </w:rPr>
                      </w:pPr>
                      <w:sdt>
                        <w:sdtPr>
                          <w:alias w:val="Numeris"/>
                          <w:tag w:val="nr_e97c3a4d73a04c64a522a942346385c4"/>
                          <w:lock w:val="sdtLocked"/>
                          <w:richText/>
                        </w:sdtPr>
                        <w:sdtContent>
                          <w:r>
                            <w:rPr>
                              <w:rFonts w:eastAsia="Calibri"/>
                              <w:color w:val="000000"/>
                              <w:szCs w:val="24"/>
                              <w:lang w:eastAsia="lt-LT"/>
                            </w:rPr>
                            <w:t>1.2</w:t>
                          </w:r>
                        </w:sdtContent>
                      </w:sdt>
                      <w:r>
                        <w:rPr>
                          <w:rFonts w:eastAsia="Calibri"/>
                          <w:color w:val="000000"/>
                          <w:szCs w:val="24"/>
                          <w:lang w:eastAsia="lt-LT"/>
                        </w:rPr>
                        <w:t>. Akcizais apmokestinamų prekių, kurioms taikomos akcizų lengvatos, apyvartos ataskaitos FR0801 formą (toliau – FR0801 forma).</w:t>
                      </w:r>
                    </w:p>
                  </w:sdtContent>
                </w:sdt>
              </w:sdtContent>
            </w:sdt>
            <w:sdt>
              <w:sdtPr>
                <w:alias w:val="2 p."/>
                <w:tag w:val="part_04e39e3209e54e0693672444388d9d19"/>
                <w:lock w:val="sdtLocked"/>
                <w:richText/>
              </w:sdtPr>
              <w:sdtContent>
                <w:p>
                  <w:pPr>
                    <w:ind w:firstLine="709"/>
                    <w:jc w:val="both"/>
                    <w:rPr>
                      <w:rFonts w:eastAsia="Calibri"/>
                      <w:color w:val="000000"/>
                      <w:szCs w:val="24"/>
                      <w:lang w:eastAsia="lt-LT"/>
                    </w:rPr>
                  </w:pPr>
                  <w:sdt>
                    <w:sdtPr>
                      <w:alias w:val="Numeris"/>
                      <w:tag w:val="nr_04e39e3209e54e0693672444388d9d19"/>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szCs w:val="24"/>
                      <w:lang w:eastAsia="lt-LT"/>
                    </w:rPr>
                    <w:t xml:space="preserve">N u s t a t a u  Valstybinės mokesčių inspekcijos prie Lietuvos Respublikos finansų ministerijos už akcizų administravimą atsakingam administracijos padaliniui </w:t>
                  </w:r>
                  <w:r>
                    <w:rPr>
                      <w:rFonts w:eastAsia="Calibri"/>
                      <w:color w:val="000000"/>
                      <w:szCs w:val="24"/>
                      <w:lang w:eastAsia="lt-LT"/>
                    </w:rPr>
                    <w:t>užtikrinti tinkamą FR0801 formoje pateiktų duomenų paskelbimą Valstybinės mokesčių inspekcijos Akcizų informacinėje sistemoje.</w:t>
                  </w:r>
                </w:p>
              </w:sdtContent>
            </w:sdt>
          </w:sdtContent>
        </w:sdt>
        <w:sdt>
          <w:sdtPr>
            <w:alias w:val="signatura"/>
            <w:tag w:val="part_dce9fd6d4dcd427a811837854930b58f"/>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p/>
      </w:sdtContent>
    </w:sdt>
    <w:sdt>
      <w:sdtPr>
        <w:alias w:val="patvirtinta"/>
        <w:tag w:val="part_6060a285e64b40fb8a2ddc04f2207435"/>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2005 m. vasario 3 d. įsakymu Nr. VA-16</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11 d. </w:t>
          </w:r>
        </w:p>
        <w:p>
          <w:pPr>
            <w:widowControl w:val="0"/>
            <w:suppressAutoHyphens/>
            <w:ind w:firstLine="5102"/>
            <w:rPr>
              <w:color w:val="000000"/>
            </w:rPr>
          </w:pPr>
          <w:r>
            <w:rPr>
              <w:color w:val="000000"/>
            </w:rPr>
            <w:t>įsakymo Nr. VA-44 redakcija)</w:t>
          </w:r>
        </w:p>
        <w:p>
          <w:pPr>
            <w:widowControl w:val="0"/>
            <w:suppressAutoHyphens/>
            <w:jc w:val="both"/>
            <w:rPr>
              <w:color w:val="000000"/>
            </w:rPr>
          </w:pPr>
        </w:p>
        <w:p>
          <w:pPr>
            <w:widowControl w:val="0"/>
            <w:suppressAutoHyphens/>
            <w:jc w:val="center"/>
            <w:rPr>
              <w:b/>
              <w:bCs/>
              <w:caps/>
              <w:color w:val="000000"/>
            </w:rPr>
          </w:pPr>
          <w:sdt>
            <w:sdtPr>
              <w:alias w:val="Pavadinimas"/>
              <w:tag w:val="title_6060a285e64b40fb8a2ddc04f2207435"/>
              <w:lock w:val="sdtLocked"/>
              <w:richText/>
            </w:sdtPr>
            <w:sdtContent>
              <w:r>
                <w:rPr>
                  <w:b/>
                  <w:bCs/>
                  <w:caps/>
                  <w:color w:val="000000"/>
                </w:rPr>
                <w:t>AKCIZAIS APMOKESTINAMŲ PREKIŲ, KURIOMS TAIKOMOS AKCIZŲ LENGVATOS, APYVARTOS ATASKAITŲ PATEIKIMO TAISYKLĖS</w:t>
              </w:r>
            </w:sdtContent>
          </w:sdt>
        </w:p>
        <w:p>
          <w:pPr>
            <w:widowControl w:val="0"/>
            <w:suppressAutoHyphens/>
            <w:jc w:val="center"/>
            <w:rPr>
              <w:b/>
              <w:bCs/>
              <w:caps/>
              <w:color w:val="000000"/>
            </w:rPr>
          </w:pPr>
        </w:p>
        <w:sdt>
          <w:sdtPr>
            <w:alias w:val="skyrius"/>
            <w:tag w:val="part_60a294f5970440bb9ab33d3448d77f45"/>
            <w:lock w:val="sdtLocked"/>
            <w:richText/>
          </w:sdtPr>
          <w:sdtContent>
            <w:p>
              <w:pPr>
                <w:widowControl w:val="0"/>
                <w:suppressAutoHyphens/>
                <w:jc w:val="center"/>
                <w:rPr>
                  <w:b/>
                  <w:bCs/>
                  <w:caps/>
                  <w:color w:val="000000"/>
                </w:rPr>
              </w:pPr>
              <w:sdt>
                <w:sdtPr>
                  <w:alias w:val="Numeris"/>
                  <w:tag w:val="nr_60a294f5970440bb9ab33d3448d77f45"/>
                  <w:lock w:val="sdtLocked"/>
                  <w:richText/>
                </w:sdtPr>
                <w:sdtContent>
                  <w:r>
                    <w:rPr>
                      <w:b/>
                      <w:bCs/>
                      <w:caps/>
                      <w:color w:val="000000"/>
                    </w:rPr>
                    <w:t>I</w:t>
                  </w:r>
                </w:sdtContent>
              </w:sdt>
              <w:r>
                <w:rPr>
                  <w:b/>
                  <w:bCs/>
                  <w:caps/>
                  <w:color w:val="000000"/>
                </w:rPr>
                <w:t xml:space="preserve">. </w:t>
              </w:r>
              <w:sdt>
                <w:sdtPr>
                  <w:alias w:val="Pavadinimas"/>
                  <w:tag w:val="title_60a294f5970440bb9ab33d3448d77f45"/>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c4d8ab040a2d4cc5ae7df59d8ad6b734"/>
                <w:lock w:val="sdtLocked"/>
                <w:richText/>
              </w:sdtPr>
              <w:sdtContent>
                <w:p>
                  <w:pPr>
                    <w:ind w:firstLine="567"/>
                    <w:jc w:val="both"/>
                    <w:rPr>
                      <w:color w:val="000000"/>
                    </w:rPr>
                  </w:pPr>
                  <w:sdt>
                    <w:sdtPr>
                      <w:alias w:val="Numeris"/>
                      <w:tag w:val="nr_c4d8ab040a2d4cc5ae7df59d8ad6b734"/>
                      <w:lock w:val="sdtLocked"/>
                      <w:richText/>
                    </w:sdtPr>
                    <w:sdtContent>
                      <w:r>
                        <w:rPr>
                          <w:rFonts w:eastAsia="Calibri"/>
                          <w:color w:val="000000"/>
                          <w:szCs w:val="24"/>
                        </w:rPr>
                        <w:t>1</w:t>
                      </w:r>
                    </w:sdtContent>
                  </w:sdt>
                  <w:r>
                    <w:rPr>
                      <w:rFonts w:eastAsia="Calibri"/>
                      <w:color w:val="000000"/>
                      <w:szCs w:val="24"/>
                    </w:rPr>
                    <w:t xml:space="preserve">. </w:t>
                  </w:r>
                  <w:r>
                    <w:rPr>
                      <w:color w:val="000000"/>
                      <w:szCs w:val="24"/>
                    </w:rPr>
                    <w:t>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Akcizais apmokestinamų prekių, kurioms taikomos akcizų lengvatos, apyvartos ataskaitos FR0801 formos, patvirtintos įsakymu, kuriuo tvirtinamos taisyklės (toliau – ataskaita), užpildymo ir pateikimo Valstybinei mokesčių inspekcijai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2 p."/>
                <w:tag w:val="part_19a62dd7b7e74ee9899561cf857f0787"/>
                <w:lock w:val="sdtLocked"/>
                <w:richText/>
              </w:sdtPr>
              <w:sdtContent>
                <w:p>
                  <w:pPr>
                    <w:ind w:firstLine="567"/>
                    <w:jc w:val="both"/>
                    <w:rPr>
                      <w:color w:val="000000"/>
                    </w:rPr>
                  </w:pPr>
                  <w:sdt>
                    <w:sdtPr>
                      <w:alias w:val="Numeris"/>
                      <w:tag w:val="nr_19a62dd7b7e74ee9899561cf857f0787"/>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 xml:space="preserve">Taisyklės parengtos, vadovaujantis Lietuvos Respublikos akcizų įstatymu (toliau – Akcizų įstatymas), Lietuvos Respublikos akcizų įstatymo 43 straipsnio 1 dalies 3–8 punktuose nurodytų lengvatų taikymo taisyklėmis, patvirtintomis Lietuvos Respublikos Vyriausybės 2002 m. birželio 4 d. nutarimu Nr. 821 „Dėl Akcizų įstatymo nuostatų įgyvendinimo“, </w:t>
                  </w:r>
                  <w:r>
                    <w:rPr>
                      <w:szCs w:val="24"/>
                    </w:rPr>
                    <w:t>Gazolių, skirtų naudoti žemės ūkio veiklos subjektams žemės ūkio produktų gamybai, įsigijimo taisyklėmis, patvirtintomis</w:t>
                  </w:r>
                  <w:r>
                    <w:rPr>
                      <w:color w:val="000000"/>
                      <w:szCs w:val="24"/>
                    </w:rPr>
                    <w:t xml:space="preserve"> Lietuvos Respublikos Vyriausybės 2015 m. birželio 26 d. nutarimu Nr. 667 „Dėl </w:t>
                  </w:r>
                  <w:r>
                    <w:rPr>
                      <w:bCs/>
                      <w:szCs w:val="24"/>
                      <w:lang w:eastAsia="lt-LT"/>
                    </w:rPr>
                    <w:t xml:space="preserve">Gazolių, skirtų naudoti žemės ūkio veiklos subjektams žemės ūkio produktų gamybai, įsigijimo taisyklių patvirtinimo ir Lietuvos Respublikos Vyriausybės 2003 m. vasario 3 d. nutarimo Nr. 145 „Dėl </w:t>
                  </w:r>
                  <w:r>
                    <w:rPr>
                      <w:color w:val="000000"/>
                      <w:szCs w:val="24"/>
                    </w:rPr>
                    <w:t>Atleistų nuo akcizų dyzelinių degalų, skirtų naudoti žemės ūkyje, taip pat tvenkinių ir kitų vidaus vandenų žuvininkystėje, įsigijimo taisykl</w:t>
                  </w:r>
                  <w:r>
                    <w:rPr>
                      <w:bCs/>
                      <w:szCs w:val="24"/>
                      <w:lang w:eastAsia="lt-LT"/>
                    </w:rPr>
                    <w:t>ių patvirtinimo“</w:t>
                  </w:r>
                  <w:r>
                    <w:rPr>
                      <w:szCs w:val="24"/>
                      <w:lang w:eastAsia="lt-LT"/>
                    </w:rPr>
                    <w:t xml:space="preserve"> </w:t>
                  </w:r>
                  <w:r>
                    <w:rPr>
                      <w:bCs/>
                      <w:szCs w:val="24"/>
                      <w:lang w:eastAsia="lt-LT"/>
                    </w:rPr>
                    <w:t>pripažinimo netekusiu galios“</w:t>
                  </w:r>
                  <w:r>
                    <w:rPr>
                      <w:color w:val="000000"/>
                      <w:szCs w:val="24"/>
                    </w:rPr>
                    <w:t xml:space="preserve">, </w:t>
                  </w:r>
                  <w:r>
                    <w:rPr>
                      <w:szCs w:val="24"/>
                    </w:rPr>
                    <w:t>Gazolių, skirtų naudoti akvakultūros ir verslinę žvejybą vidaus vandenyse vykdančioms įmonėms, žemės ūkio mokslo, studijų ir mokymo įstaigoms, turinčioms mokomuosius (bandymų) ūkius, įsigijimo taisyklėmis, patvirtintomis Lietuvos Respublikos Vyriausybės 2015 m. vasario 4 d. nutarimu Nr. 104 „Dėl Gazolių, skirtų naudoti akvakultūros ir verslinę žvejybą vidaus vandenyse vykdančioms įmonėms, žemės ūkio mokslo, studijų ir mokymo įstaigoms, turinčioms mokomuosius (bandymų) ūkius, įsigijimo taisyklių patvirtinimo“,</w:t>
                  </w:r>
                  <w:r>
                    <w:rPr>
                      <w:rFonts w:ascii="Arial" w:hAnsi="Arial" w:cs="Arial"/>
                      <w:color w:val="000000"/>
                      <w:sz w:val="20"/>
                    </w:rPr>
                    <w:t xml:space="preserve"> </w:t>
                  </w:r>
                  <w:r>
                    <w:rPr>
                      <w:color w:val="000000"/>
                      <w:szCs w:val="24"/>
                    </w:rPr>
                    <w:t xml:space="preserve">1992 m. spalio 19 d. Tarybos direktyvos 92/83/EEB dėl akcizų už alkoholį ir alkoholinius gėrimus struktūrų suderinimo 27 straipsnio 1 dalies b punkto taikymo Lietuvos Respublikoje taisyklėmis, patvirtintomis Lietuvos Respublikos Vyriausybės 2002 m. birželio 13 d. nutarimu Nr. 902 </w:t>
                  </w:r>
                  <w:r>
                    <w:rPr>
                      <w:szCs w:val="24"/>
                    </w:rPr>
                    <w:t>„Dėl denatūruoto etilo alkoholio, kuriam netaikomi akcizai“</w:t>
                  </w:r>
                  <w:r>
                    <w:rPr>
                      <w:color w:val="000000"/>
                      <w:szCs w:val="24"/>
                    </w:rPr>
                    <w:t xml:space="preserve">, Etilo alkoholio, kuriam taikomas Lietuvos Respublikos akcizų įstatymo 27 straipsnio 1 dalies 3 punktas, pardavimo ir atleidimo nuo akcizų taisyklėmis, patvirtintomis Lietuvos Respublikos Vyriausybės 2002 m. birželio 21 d. nutarimu Nr. 960 „Dėl Etilo alkoholio, kuriam taikomas Lietuvos Respublikos akcizų įstatymo 27 straipsnio 1 dalies 3 punktas, pardavimo ir atleidimo nuo akcizų taisyklių patvirtinimo“, Atsargų laivams ir orlaiviams bei degalų, skirtų naudoti orlaivių gamybai, remontui, bandymams, eksploatavimui ir aptarnavimui, tiekimo taisyklėmis, patvirtintomis Lietuvos Respublikos Vyriausybės 2002 m. gegužės 30 d. nutarimu Nr. 792 </w:t>
                  </w:r>
                  <w:r>
                    <w:rPr>
                      <w:szCs w:val="24"/>
                    </w:rPr>
                    <w:t>„Dėl Atsargų laivams ir orlaiviams bei degalų, skirtų naudoti orlaivių gamybai, remontui, bandymams, eksploatavimui ir aptarnavimui, tiekimo taisyklių patvirtinimo“</w:t>
                  </w:r>
                  <w:r>
                    <w:rPr>
                      <w:rFonts w:ascii="Arial" w:hAnsi="Arial" w:cs="Arial"/>
                      <w:color w:val="000000"/>
                      <w:sz w:val="20"/>
                    </w:rPr>
                    <w:t xml:space="preserve"> </w:t>
                  </w:r>
                  <w:r>
                    <w:rPr>
                      <w:color w:val="000000"/>
                      <w:szCs w:val="24"/>
                    </w:rPr>
                    <w:t>ir Etilo alkoholio ir alkoholinių gėrimų, skirtų acto gamybai, atleidimo nuo akcizų taisyklėmis, patvirtintomis Lietuvos Respublikos finansų ministro 2002 m. rugpjūčio 2 d. įsakymu Nr. 251 „Dėl etilo alkoholio ir alkoholinių</w:t>
                  </w:r>
                  <w:r>
                    <w:rPr>
                      <w:szCs w:val="24"/>
                    </w:rPr>
                    <w:t xml:space="preserve"> gėrimų, skirtų acto gamybai, atleidimo nuo akcizų taisyklių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3 p."/>
                <w:tag w:val="part_1d31055c60394493a5453e2a94859256"/>
                <w:lock w:val="sdtLocked"/>
                <w:richText/>
              </w:sdtPr>
              <w:sdtContent>
                <w:p>
                  <w:pPr>
                    <w:tabs>
                      <w:tab w:val="left" w:pos="1134"/>
                    </w:tabs>
                    <w:ind w:firstLine="567"/>
                    <w:jc w:val="both"/>
                    <w:rPr>
                      <w:color w:val="000000"/>
                      <w:spacing w:val="-2"/>
                    </w:rPr>
                  </w:pPr>
                  <w:sdt>
                    <w:sdtPr>
                      <w:alias w:val="Numeris"/>
                      <w:tag w:val="nr_1d31055c60394493a5453e2a94859256"/>
                      <w:lock w:val="sdtLocked"/>
                      <w:richText/>
                    </w:sdtPr>
                    <w:sdtContent>
                      <w:r>
                        <w:rPr>
                          <w:rFonts w:eastAsia="Calibri"/>
                          <w:color w:val="000000"/>
                          <w:szCs w:val="24"/>
                        </w:rPr>
                        <w:t>3</w:t>
                      </w:r>
                    </w:sdtContent>
                  </w:sdt>
                  <w:r>
                    <w:rPr>
                      <w:rFonts w:eastAsia="Calibri"/>
                      <w:color w:val="000000"/>
                      <w:szCs w:val="24"/>
                    </w:rPr>
                    <w:t xml:space="preserve">. </w:t>
                  </w:r>
                  <w:r>
                    <w:rPr>
                      <w:color w:val="000000"/>
                      <w:szCs w:val="24"/>
                    </w:rPr>
                    <w:t>Taisyklėmis turi vadovautis Valstybinės mokesčių inspekcijos prie Lietuvos Respublikos finansų ministerijos valstybės tarnautojai ir pagal darbo sutartį dirbantys bei darbo užmokestį iš Lietuvos Respublikos valstybės biudžeto gaunantys darbuotojai, taip pat asmenys, įsigyjantys, tiekiantys bei naudojantys (kaip tai apibrėžta taisyklių 4 punkte) akcizais apmokestinamas prekes, kurioms taikomos akcizų lengvatos.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4 p."/>
                <w:tag w:val="part_dbcc8240492943329b8f7b2f9cdb31f8"/>
                <w:lock w:val="sdtLocked"/>
                <w:richText/>
              </w:sdtPr>
              <w:sdtContent>
                <w:p>
                  <w:pPr>
                    <w:ind w:firstLine="567"/>
                    <w:jc w:val="both"/>
                    <w:rPr>
                      <w:color w:val="000000"/>
                      <w:szCs w:val="24"/>
                    </w:rPr>
                  </w:pPr>
                  <w:sdt>
                    <w:sdtPr>
                      <w:alias w:val="Numeris"/>
                      <w:tag w:val="nr_dbcc8240492943329b8f7b2f9cdb31f8"/>
                      <w:lock w:val="sdtLocked"/>
                      <w:richText/>
                    </w:sdtPr>
                    <w:sdtContent>
                      <w:r>
                        <w:rPr>
                          <w:color w:val="000000"/>
                          <w:szCs w:val="24"/>
                        </w:rPr>
                        <w:t>4</w:t>
                      </w:r>
                    </w:sdtContent>
                  </w:sdt>
                  <w:r>
                    <w:rPr>
                      <w:color w:val="000000"/>
                      <w:szCs w:val="24"/>
                    </w:rPr>
                    <w:t>. Šiose taisyklėse vartojamos sąvokos:</w:t>
                  </w:r>
                </w:p>
                <w:sdt>
                  <w:sdtPr>
                    <w:alias w:val="4.1 p."/>
                    <w:tag w:val="part_45069ae5736346e0af0bdc895577d178"/>
                    <w:lock w:val="sdtLocked"/>
                    <w:richText/>
                  </w:sdtPr>
                  <w:sdtContent>
                    <w:p>
                      <w:pPr>
                        <w:ind w:firstLine="567"/>
                        <w:jc w:val="both"/>
                        <w:rPr>
                          <w:color w:val="000000"/>
                          <w:szCs w:val="24"/>
                        </w:rPr>
                      </w:pPr>
                      <w:sdt>
                        <w:sdtPr>
                          <w:alias w:val="Numeris"/>
                          <w:tag w:val="nr_45069ae5736346e0af0bdc895577d178"/>
                          <w:lock w:val="sdtLocked"/>
                          <w:richText/>
                        </w:sdtPr>
                        <w:sdtContent>
                          <w:r>
                            <w:rPr>
                              <w:color w:val="000000"/>
                              <w:szCs w:val="24"/>
                            </w:rPr>
                            <w:t>4.1</w:t>
                          </w:r>
                        </w:sdtContent>
                      </w:sdt>
                      <w:r>
                        <w:rPr>
                          <w:color w:val="000000"/>
                          <w:szCs w:val="24"/>
                        </w:rPr>
                        <w:t>.</w:t>
                      </w:r>
                      <w:r>
                        <w:rPr>
                          <w:b/>
                          <w:color w:val="000000"/>
                          <w:szCs w:val="24"/>
                        </w:rPr>
                        <w:t xml:space="preserve"> energiniai produktai</w:t>
                      </w:r>
                      <w:r>
                        <w:rPr>
                          <w:color w:val="000000"/>
                          <w:szCs w:val="24"/>
                        </w:rPr>
                        <w:t xml:space="preserve"> – energiniai produktai, nurodyti Akcizų įstatymo 2 priede (išskyrus degalus ir šildymui skirtą kurą, t. y. Kombinuotosios nomenklatūros (toliau – KN) 2015 m. versijos 2710 12 31, 2710 12 41-2710 12 90, 2710 19 21-2710 19 29, 2710 19 43-2710 19 48, 2710 19 62-2710 19 68, 2710 20 11-2710 20 19, 2710 20 31-2710 20 39 subpozicijose nurodytus energinius produktus) ir KN 2710 19 91-2710 19 99 subpozicijose nurodyti produktai, skirti naudoti kitiems tikslams, bet ne variklių degalams, šildymo kurui arba variklių degalų priedams;</w:t>
                      </w:r>
                    </w:p>
                  </w:sdtContent>
                </w:sdt>
                <w:sdt>
                  <w:sdtPr>
                    <w:alias w:val="4.2 p."/>
                    <w:tag w:val="part_c7a559022c604d49869f8a73b65f07de"/>
                    <w:lock w:val="sdtLocked"/>
                    <w:richText/>
                  </w:sdtPr>
                  <w:sdtContent>
                    <w:p>
                      <w:pPr>
                        <w:ind w:firstLine="567"/>
                        <w:jc w:val="both"/>
                        <w:rPr>
                          <w:color w:val="000000"/>
                          <w:szCs w:val="24"/>
                        </w:rPr>
                      </w:pPr>
                      <w:sdt>
                        <w:sdtPr>
                          <w:alias w:val="Numeris"/>
                          <w:tag w:val="nr_c7a559022c604d49869f8a73b65f07de"/>
                          <w:lock w:val="sdtLocked"/>
                          <w:richText/>
                        </w:sdtPr>
                        <w:sdtContent>
                          <w:r>
                            <w:rPr>
                              <w:color w:val="000000"/>
                              <w:szCs w:val="24"/>
                            </w:rPr>
                            <w:t>4.2</w:t>
                          </w:r>
                        </w:sdtContent>
                      </w:sdt>
                      <w:r>
                        <w:rPr>
                          <w:color w:val="000000"/>
                          <w:szCs w:val="24"/>
                        </w:rPr>
                        <w:t>.</w:t>
                      </w:r>
                      <w:r>
                        <w:rPr>
                          <w:b/>
                          <w:color w:val="000000"/>
                          <w:szCs w:val="24"/>
                        </w:rPr>
                        <w:t xml:space="preserve"> leidimas</w:t>
                      </w:r>
                      <w:r>
                        <w:rPr>
                          <w:color w:val="000000"/>
                          <w:szCs w:val="24"/>
                        </w:rPr>
                        <w:t xml:space="preserve"> – tai dokumentas, patvirtinantis jo turėtojo teisę akcizais apmokestinamas prekes įsigyti, tiekti ir / ar naudoti nemokant akcizų arba mokant sumažinto tarifo akcizus;</w:t>
                      </w:r>
                    </w:p>
                  </w:sdtContent>
                </w:sdt>
                <w:sdt>
                  <w:sdtPr>
                    <w:alias w:val="4.3 p."/>
                    <w:tag w:val="part_6146a71adfe94394a004afce2d1a6977"/>
                    <w:lock w:val="sdtLocked"/>
                    <w:richText/>
                  </w:sdtPr>
                  <w:sdtContent>
                    <w:p>
                      <w:pPr>
                        <w:ind w:firstLine="567"/>
                        <w:jc w:val="both"/>
                        <w:rPr>
                          <w:color w:val="000000"/>
                          <w:szCs w:val="24"/>
                        </w:rPr>
                      </w:pPr>
                      <w:sdt>
                        <w:sdtPr>
                          <w:alias w:val="Numeris"/>
                          <w:tag w:val="nr_6146a71adfe94394a004afce2d1a6977"/>
                          <w:lock w:val="sdtLocked"/>
                          <w:richText/>
                        </w:sdtPr>
                        <w:sdtContent>
                          <w:r>
                            <w:rPr>
                              <w:color w:val="000000"/>
                              <w:szCs w:val="24"/>
                            </w:rPr>
                            <w:t>4.3</w:t>
                          </w:r>
                        </w:sdtContent>
                      </w:sdt>
                      <w:r>
                        <w:rPr>
                          <w:color w:val="000000"/>
                          <w:szCs w:val="24"/>
                        </w:rPr>
                        <w:t>.</w:t>
                      </w:r>
                      <w:r>
                        <w:rPr>
                          <w:b/>
                          <w:color w:val="000000"/>
                          <w:szCs w:val="24"/>
                        </w:rPr>
                        <w:t xml:space="preserve"> prekės</w:t>
                      </w:r>
                      <w:r>
                        <w:rPr>
                          <w:color w:val="000000"/>
                          <w:szCs w:val="24"/>
                        </w:rPr>
                        <w:t xml:space="preserve"> – akcizais apmokestinamos prekės, kurioms taikomos akcizų lengvatos, t. y. prekės, kurios akcizais neapmokestinamos arba apmokestinamos sumažinto tarifo akcizais;</w:t>
                      </w:r>
                    </w:p>
                  </w:sdtContent>
                </w:sdt>
                <w:sdt>
                  <w:sdtPr>
                    <w:alias w:val="4.4 p."/>
                    <w:tag w:val="part_33289ca5967b4a83967e3b217ae7a21f"/>
                    <w:lock w:val="sdtLocked"/>
                    <w:richText/>
                  </w:sdtPr>
                  <w:sdtContent>
                    <w:p>
                      <w:pPr>
                        <w:ind w:firstLine="567"/>
                        <w:jc w:val="both"/>
                        <w:rPr>
                          <w:color w:val="000000"/>
                          <w:szCs w:val="24"/>
                        </w:rPr>
                      </w:pPr>
                      <w:sdt>
                        <w:sdtPr>
                          <w:alias w:val="Numeris"/>
                          <w:tag w:val="nr_33289ca5967b4a83967e3b217ae7a21f"/>
                          <w:lock w:val="sdtLocked"/>
                          <w:richText/>
                        </w:sdtPr>
                        <w:sdtContent>
                          <w:r>
                            <w:rPr>
                              <w:color w:val="000000"/>
                              <w:szCs w:val="24"/>
                            </w:rPr>
                            <w:t>4.4</w:t>
                          </w:r>
                        </w:sdtContent>
                      </w:sdt>
                      <w:r>
                        <w:rPr>
                          <w:color w:val="000000"/>
                          <w:szCs w:val="24"/>
                        </w:rPr>
                        <w:t>.</w:t>
                      </w:r>
                      <w:r>
                        <w:rPr>
                          <w:b/>
                          <w:color w:val="000000"/>
                          <w:szCs w:val="24"/>
                        </w:rPr>
                        <w:t xml:space="preserve"> prekių (su)naudojimas</w:t>
                      </w:r>
                      <w:r>
                        <w:rPr>
                          <w:color w:val="000000"/>
                          <w:szCs w:val="24"/>
                        </w:rPr>
                        <w:t xml:space="preserve"> – energinių produktų, nurodytų Akcizų įstatymo 2 priede (išskyrus KN 2015 m. versijos 2710 12 31, 2710 12 41-2710 12 90, 2710 19 21-2710 19 29, 2710 19 43-2710 19 48, 2710 19 62-2710 19 68, 2710 20 11-2710 20 19, 2710 20 31-2710 20 39 subpozicijose nurodytus energinius produktus) ir KN 2710 19 91-2710 19 99 subpozicijose nurodytų produktų, skirtų naudoti kitiems tikslams, bet ne variklių degalams, šildymo kurui arba variklių degalų priedams, išpilstymas į mažmeninei prekybai skirtą pakuotę, naftos dujų ir dujinių angliavandenilių išpilstymas į buitinius dujų balionus, akmens anglių pardavimas gyventojams, akmens anglių, kokso ir / ar lignito sunaudojimas registruoto tiekėjo savoms reikmėms, neturint nustatyta tvarka išduoto atitinkamo leidimo šiuos produktus naudoti verslo tikslams, arba pardavimas asmenims, neturintiems atitinkamo leidimo, suteikiančio teisę akmens anglis, koksą ir / ar lignitą įsigyti be akcizų arba taikant sumažintus akcizų tarifus.</w:t>
                      </w:r>
                    </w:p>
                    <w:p>
                      <w:pPr>
                        <w:ind w:firstLine="567"/>
                        <w:jc w:val="both"/>
                        <w:rPr>
                          <w:color w:val="000000"/>
                        </w:rPr>
                      </w:pPr>
                      <w:r>
                        <w:rPr>
                          <w:color w:val="000000"/>
                          <w:szCs w:val="24"/>
                        </w:rPr>
                        <w:t>Kitos taisyklėse vartojamos sąvokos atitinka Akcizų įstatyme ir kituose teisės aktuose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Content>
        </w:sdt>
        <w:sdt>
          <w:sdtPr>
            <w:alias w:val="skyrius"/>
            <w:tag w:val="part_a5fa79bfd0d44d418bc0ab363d096dea"/>
            <w:lock w:val="sdtLocked"/>
            <w:richText/>
          </w:sdtPr>
          <w:sdtContent>
            <w:p>
              <w:pPr>
                <w:widowControl w:val="0"/>
                <w:suppressAutoHyphens/>
                <w:jc w:val="center"/>
                <w:rPr>
                  <w:b/>
                  <w:bCs/>
                  <w:caps/>
                  <w:color w:val="000000"/>
                </w:rPr>
              </w:pPr>
              <w:sdt>
                <w:sdtPr>
                  <w:alias w:val="Numeris"/>
                  <w:tag w:val="nr_a5fa79bfd0d44d418bc0ab363d096dea"/>
                  <w:lock w:val="sdtLocked"/>
                  <w:richText/>
                </w:sdtPr>
                <w:sdtContent>
                  <w:r>
                    <w:rPr>
                      <w:b/>
                      <w:bCs/>
                      <w:caps/>
                      <w:color w:val="000000"/>
                    </w:rPr>
                    <w:t>II</w:t>
                  </w:r>
                </w:sdtContent>
              </w:sdt>
              <w:r>
                <w:rPr>
                  <w:b/>
                  <w:bCs/>
                  <w:caps/>
                  <w:color w:val="000000"/>
                </w:rPr>
                <w:t xml:space="preserve">. </w:t>
              </w:r>
              <w:sdt>
                <w:sdtPr>
                  <w:alias w:val="Pavadinimas"/>
                  <w:tag w:val="title_a5fa79bfd0d44d418bc0ab363d096dea"/>
                  <w:lock w:val="sdtLocked"/>
                  <w:richText/>
                </w:sdtPr>
                <w:sdtContent>
                  <w:r>
                    <w:rPr>
                      <w:b/>
                      <w:bCs/>
                      <w:caps/>
                      <w:color w:val="000000"/>
                    </w:rPr>
                    <w:t>ATASKAITOS PATEIKIMAS</w:t>
                  </w:r>
                </w:sdtContent>
              </w:sdt>
            </w:p>
            <w:p>
              <w:pPr>
                <w:widowControl w:val="0"/>
                <w:suppressAutoHyphens/>
                <w:ind w:firstLine="567"/>
                <w:jc w:val="both"/>
                <w:rPr>
                  <w:color w:val="000000"/>
                </w:rPr>
              </w:pPr>
            </w:p>
            <w:sdt>
              <w:sdtPr>
                <w:alias w:val="5 p."/>
                <w:tag w:val="part_35f2094e57ce449e8a067e79b9466f08"/>
                <w:lock w:val="sdtLocked"/>
                <w:richText/>
              </w:sdtPr>
              <w:sdtContent>
                <w:p>
                  <w:pPr>
                    <w:ind w:firstLine="567"/>
                    <w:jc w:val="both"/>
                    <w:rPr>
                      <w:color w:val="000000"/>
                    </w:rPr>
                  </w:pPr>
                  <w:sdt>
                    <w:sdtPr>
                      <w:alias w:val="Numeris"/>
                      <w:tag w:val="nr_35f2094e57ce449e8a067e79b9466f08"/>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color w:val="000000"/>
                      <w:szCs w:val="24"/>
                      <w:shd w:val="clear" w:color="auto" w:fill="FFFFFF"/>
                      <w:lang w:eastAsia="lt-LT"/>
                    </w:rPr>
                    <w:t>Taisyklių 6 punkte išvardyti asmenys ataskaitoje turi pateikti per mokestinį laikotarpį pagal leidimus įsigytų, patiektų ir / ar sunaudotų prekių duomenis</w:t>
                  </w:r>
                  <w:r>
                    <w:rPr>
                      <w:color w:val="000000"/>
                      <w:szCs w:val="24"/>
                      <w:lang w:eastAsia="lt-LT"/>
                    </w:rPr>
                    <w:t>. Ataskaita teikiama Valstybinei mokesčių inspekcijai elektroniniu paštu adresu rpa@vmi.lt, CSV(TXT) arba XML formato failu (šių failų pavyzdžiai pateikti Valstybinės mokesčių inspekcijos interneto svetainėje www.vmi.lt).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 p."/>
                <w:tag w:val="part_50a7062f9305422a931c39d0de9e2b03"/>
                <w:lock w:val="sdtLocked"/>
                <w:richText/>
              </w:sdtPr>
              <w:sdtContent>
                <w:p>
                  <w:pPr>
                    <w:widowControl w:val="0"/>
                    <w:suppressAutoHyphens/>
                    <w:ind w:firstLine="567"/>
                    <w:jc w:val="both"/>
                    <w:rPr>
                      <w:color w:val="000000"/>
                    </w:rPr>
                  </w:pPr>
                  <w:sdt>
                    <w:sdtPr>
                      <w:alias w:val="Numeris"/>
                      <w:tag w:val="nr_50a7062f9305422a931c39d0de9e2b03"/>
                      <w:lock w:val="sdtLocked"/>
                      <w:richText/>
                    </w:sdtPr>
                    <w:sdtContent>
                      <w:r>
                        <w:rPr>
                          <w:color w:val="000000"/>
                        </w:rPr>
                        <w:t>6</w:t>
                      </w:r>
                    </w:sdtContent>
                  </w:sdt>
                  <w:r>
                    <w:rPr>
                      <w:color w:val="000000"/>
                    </w:rPr>
                    <w:t>. Ataskaitas šiose taisyklėse nustatyta tvarka privalo pateikti:</w:t>
                  </w:r>
                </w:p>
                <w:sdt>
                  <w:sdtPr>
                    <w:alias w:val="6.1 p."/>
                    <w:tag w:val="part_a8da1c0e5f7741adb78725d75b6a4370"/>
                    <w:lock w:val="sdtLocked"/>
                    <w:richText/>
                  </w:sdtPr>
                  <w:sdtContent>
                    <w:p>
                      <w:pPr>
                        <w:widowControl w:val="0"/>
                        <w:suppressAutoHyphens/>
                        <w:ind w:firstLine="567"/>
                        <w:jc w:val="both"/>
                        <w:rPr>
                          <w:color w:val="000000"/>
                        </w:rPr>
                      </w:pPr>
                      <w:sdt>
                        <w:sdtPr>
                          <w:alias w:val="Numeris"/>
                          <w:tag w:val="nr_a8da1c0e5f7741adb78725d75b6a4370"/>
                          <w:lock w:val="sdtLocked"/>
                          <w:richText/>
                        </w:sdtPr>
                        <w:sdtContent>
                          <w:r>
                            <w:rPr>
                              <w:color w:val="000000"/>
                            </w:rPr>
                            <w:t>6.1</w:t>
                          </w:r>
                        </w:sdtContent>
                      </w:sdt>
                      <w:r>
                        <w:rPr>
                          <w:color w:val="000000"/>
                        </w:rPr>
                        <w:t>. asmenys, įsigyjantys ir tiekiantys šildymui skirtą žymėtą kurą;</w:t>
                      </w:r>
                    </w:p>
                  </w:sdtContent>
                </w:sdt>
                <w:sdt>
                  <w:sdtPr>
                    <w:alias w:val="6.2 p."/>
                    <w:tag w:val="part_a3350ad28a38415a850384eee4ac810e"/>
                    <w:lock w:val="sdtLocked"/>
                    <w:richText/>
                  </w:sdtPr>
                  <w:sdtContent>
                    <w:p>
                      <w:pPr>
                        <w:tabs>
                          <w:tab w:val="left" w:pos="1134"/>
                        </w:tabs>
                        <w:ind w:firstLine="567"/>
                        <w:jc w:val="both"/>
                        <w:rPr>
                          <w:color w:val="000000"/>
                        </w:rPr>
                      </w:pPr>
                      <w:sdt>
                        <w:sdtPr>
                          <w:alias w:val="Numeris"/>
                          <w:tag w:val="nr_a3350ad28a38415a850384eee4ac810e"/>
                          <w:lock w:val="sdtLocked"/>
                          <w:richText/>
                        </w:sdtPr>
                        <w:sdtContent>
                          <w:r>
                            <w:rPr>
                              <w:color w:val="000000"/>
                              <w:szCs w:val="24"/>
                            </w:rPr>
                            <w:t>6.2</w:t>
                          </w:r>
                        </w:sdtContent>
                      </w:sdt>
                      <w:r>
                        <w:rPr>
                          <w:color w:val="000000"/>
                          <w:szCs w:val="24"/>
                        </w:rPr>
                        <w:t xml:space="preserve">. asmenys, tiekiantys gazolius, </w:t>
                      </w:r>
                      <w:r>
                        <w:rPr>
                          <w:szCs w:val="24"/>
                        </w:rPr>
                        <w:t>kuriems taikoma Lietuvos Respublikos akcizų įstatymo 37 straipsnio 3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3 p."/>
                    <w:tag w:val="part_f696bca631034b3db8f0dba487afaa07"/>
                    <w:lock w:val="sdtLocked"/>
                    <w:richText/>
                  </w:sdtPr>
                  <w:sdtContent>
                    <w:p>
                      <w:pPr>
                        <w:widowControl w:val="0"/>
                        <w:suppressAutoHyphens/>
                        <w:ind w:firstLine="567"/>
                        <w:jc w:val="both"/>
                        <w:rPr>
                          <w:color w:val="000000"/>
                        </w:rPr>
                      </w:pPr>
                      <w:sdt>
                        <w:sdtPr>
                          <w:alias w:val="Numeris"/>
                          <w:tag w:val="nr_f696bca631034b3db8f0dba487afaa07"/>
                          <w:lock w:val="sdtLocked"/>
                          <w:richText/>
                        </w:sdtPr>
                        <w:sdtContent>
                          <w:r>
                            <w:rPr>
                              <w:color w:val="000000"/>
                            </w:rPr>
                            <w:t>6.3</w:t>
                          </w:r>
                        </w:sdtContent>
                      </w:sdt>
                      <w:r>
                        <w:rPr>
                          <w:color w:val="000000"/>
                        </w:rPr>
                        <w:t>. asmenys, įsigyjantys ir tiekiantys nuo akcizų atleistas neišpilstytas naftos dujas ir dujinius angliavandenilius (toliau – suskystintos dujos) buitinėms reikmėms (šildymui, maisto ruošimui ir pan.), kitiems tokių dujų tiekėjams, taip pat suskystintas dujas išpilstantys į buitinius dujų balionus;</w:t>
                      </w:r>
                    </w:p>
                  </w:sdtContent>
                </w:sdt>
                <w:sdt>
                  <w:sdtPr>
                    <w:alias w:val="6.4 p."/>
                    <w:tag w:val="part_6d6fb69eb23a4ad089425cc0c0c6af9a"/>
                    <w:lock w:val="sdtLocked"/>
                    <w:richText/>
                  </w:sdtPr>
                  <w:sdtContent>
                    <w:p>
                      <w:pPr>
                        <w:widowControl w:val="0"/>
                        <w:suppressAutoHyphens/>
                        <w:ind w:firstLine="567"/>
                        <w:jc w:val="both"/>
                        <w:rPr>
                          <w:color w:val="000000"/>
                        </w:rPr>
                      </w:pPr>
                      <w:sdt>
                        <w:sdtPr>
                          <w:alias w:val="Numeris"/>
                          <w:tag w:val="nr_6d6fb69eb23a4ad089425cc0c0c6af9a"/>
                          <w:lock w:val="sdtLocked"/>
                          <w:richText/>
                        </w:sdtPr>
                        <w:sdtContent>
                          <w:r>
                            <w:rPr>
                              <w:color w:val="000000"/>
                            </w:rPr>
                            <w:t>6.4</w:t>
                          </w:r>
                        </w:sdtContent>
                      </w:sdt>
                      <w:r>
                        <w:rPr>
                          <w:color w:val="000000"/>
                        </w:rPr>
                        <w:t>. asmenys, įsigyjantys ir tiekiantys suskystintas dujas į grupinius įrenginius, per kuriuos jie gali būti tiekiami tik buitinėms reikmėms;</w:t>
                      </w:r>
                    </w:p>
                  </w:sdtContent>
                </w:sdt>
                <w:sdt>
                  <w:sdtPr>
                    <w:alias w:val="6.5 p."/>
                    <w:tag w:val="part_d83a4997d0734894a216670a1f40fed1"/>
                    <w:lock w:val="sdtLocked"/>
                    <w:richText/>
                  </w:sdtPr>
                  <w:sdtContent>
                    <w:p>
                      <w:pPr>
                        <w:widowControl w:val="0"/>
                        <w:suppressAutoHyphens/>
                        <w:ind w:firstLine="567"/>
                        <w:jc w:val="both"/>
                        <w:rPr>
                          <w:color w:val="000000"/>
                        </w:rPr>
                      </w:pPr>
                      <w:sdt>
                        <w:sdtPr>
                          <w:alias w:val="Numeris"/>
                          <w:tag w:val="nr_d83a4997d0734894a216670a1f40fed1"/>
                          <w:lock w:val="sdtLocked"/>
                          <w:richText/>
                        </w:sdtPr>
                        <w:sdtContent>
                          <w:r>
                            <w:rPr>
                              <w:color w:val="000000"/>
                            </w:rPr>
                            <w:t>6.5</w:t>
                          </w:r>
                        </w:sdtContent>
                      </w:sdt>
                      <w:r>
                        <w:rPr>
                          <w:color w:val="000000"/>
                        </w:rPr>
                        <w:t>. asmenys, įsigyjantys nuo akcizų atleistus energinius</w:t>
                      </w:r>
                      <w:r>
                        <w:rPr>
                          <w:b/>
                          <w:bCs/>
                          <w:color w:val="000000"/>
                        </w:rPr>
                        <w:t xml:space="preserve"> </w:t>
                      </w:r>
                      <w:r>
                        <w:rPr>
                          <w:color w:val="000000"/>
                        </w:rPr>
                        <w:t>produktus ir juos parduodantys ar kitaip perduodantys nuosavybėn asmenims, turintiems leidimą juos pilstyti į mažmeninei prekybai skirtą pakuotę ir (arba) naudoti kitiems tikslams, bet ne variklių degalams, šildymo kurui arba variklių degalų priedams, bei asmenys, tokius produktus pilstantys į mažmeninei prekybai skirtą pakuotę;</w:t>
                      </w:r>
                    </w:p>
                  </w:sdtContent>
                </w:sdt>
                <w:sdt>
                  <w:sdtPr>
                    <w:alias w:val="6.6 p."/>
                    <w:tag w:val="part_f52f85f6075d410394dbf28b19cf43dc"/>
                    <w:lock w:val="sdtLocked"/>
                    <w:richText/>
                  </w:sdtPr>
                  <w:sdtContent>
                    <w:p>
                      <w:pPr>
                        <w:ind w:firstLine="567"/>
                        <w:jc w:val="both"/>
                        <w:rPr>
                          <w:color w:val="000000"/>
                          <w:spacing w:val="-2"/>
                        </w:rPr>
                      </w:pPr>
                      <w:sdt>
                        <w:sdtPr>
                          <w:alias w:val="Numeris"/>
                          <w:tag w:val="nr_f52f85f6075d410394dbf28b19cf43dc"/>
                          <w:lock w:val="sdtLocked"/>
                          <w:richText/>
                        </w:sdtPr>
                        <w:sdtContent>
                          <w:r>
                            <w:rPr>
                              <w:color w:val="000000"/>
                              <w:szCs w:val="24"/>
                            </w:rPr>
                            <w:t>6.6</w:t>
                          </w:r>
                        </w:sdtContent>
                      </w:sdt>
                      <w:r>
                        <w:rPr>
                          <w:color w:val="000000"/>
                          <w:szCs w:val="24"/>
                        </w:rPr>
                        <w:t>. asmenys, įsigyjantys ir parduodantys nuo akcizų atleistą etilo alkoholį, kuriam taikomas Lietuvos Respublikos akcizų įstatymo 27 straipsnio 1 dalies 3 punktas, taip pat asmenys, įsigyjantys ir acto gamybai parduodantys nuo akcizų atleistą etilo alkoholį ir alkoholinius gėrimus;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7 p."/>
                    <w:tag w:val="part_2b06e9f253934b11846034147c530a90"/>
                    <w:lock w:val="sdtLocked"/>
                    <w:richText/>
                  </w:sdtPr>
                  <w:sdtContent>
                    <w:p>
                      <w:pPr>
                        <w:widowControl w:val="0"/>
                        <w:suppressAutoHyphens/>
                        <w:ind w:firstLine="567"/>
                        <w:jc w:val="both"/>
                        <w:rPr>
                          <w:color w:val="000000"/>
                        </w:rPr>
                      </w:pPr>
                      <w:sdt>
                        <w:sdtPr>
                          <w:alias w:val="Numeris"/>
                          <w:tag w:val="nr_2b06e9f253934b11846034147c530a90"/>
                          <w:lock w:val="sdtLocked"/>
                          <w:richText/>
                        </w:sdtPr>
                        <w:sdtContent>
                          <w:r>
                            <w:rPr>
                              <w:color w:val="000000"/>
                            </w:rPr>
                            <w:t>6.7</w:t>
                          </w:r>
                        </w:sdtContent>
                      </w:sdt>
                      <w:r>
                        <w:rPr>
                          <w:color w:val="000000"/>
                        </w:rPr>
                        <w:t>. asmenys, nedenatūruotą etilo alkoholį ir denatūruotą etilo alkoholį parduodantys gamybos, techninėms reikmėms, mokslo ir tyrimo darbams;</w:t>
                      </w:r>
                    </w:p>
                  </w:sdtContent>
                </w:sdt>
                <w:sdt>
                  <w:sdtPr>
                    <w:alias w:val="6.8 p."/>
                    <w:tag w:val="part_a67c56479050471eaf019e78467122e7"/>
                    <w:lock w:val="sdtLocked"/>
                    <w:richText/>
                  </w:sdtPr>
                  <w:sdtContent>
                    <w:p>
                      <w:pPr>
                        <w:ind w:firstLine="567"/>
                        <w:jc w:val="both"/>
                        <w:rPr>
                          <w:color w:val="000000"/>
                          <w:spacing w:val="-4"/>
                        </w:rPr>
                      </w:pPr>
                      <w:sdt>
                        <w:sdtPr>
                          <w:alias w:val="Numeris"/>
                          <w:tag w:val="nr_a67c56479050471eaf019e78467122e7"/>
                          <w:lock w:val="sdtLocked"/>
                          <w:richText/>
                        </w:sdtPr>
                        <w:sdtContent>
                          <w:r>
                            <w:rPr>
                              <w:color w:val="000000"/>
                              <w:szCs w:val="24"/>
                            </w:rPr>
                            <w:t>6.8</w:t>
                          </w:r>
                        </w:sdtContent>
                      </w:sdt>
                      <w:r>
                        <w:rPr>
                          <w:color w:val="000000"/>
                          <w:szCs w:val="24"/>
                        </w:rPr>
                        <w:t>. akcizais apmokestinamų prekių sandėlių (toliau – sandėliai) savininkai, biodegalų ir (ar) jų komponentų, ir (ar) biokuro gamybai Lietuvos Respublikos atsinaujinančių išteklių energetikos įstatymo nustatyta tvarka sunaudoję dehidratuotą etilo alkoholį, kuriam netaikomas akcizų mokėjimo laikino atidėjimo režimas, ir asmenys, iš sandėlių išgabenantys biodegalų ir (ar) jų komponentų, ir (ar) biokuro gamybai Lietuvos Respublikos atsinaujinančių išteklių energetikos įstatymo nustatyta tvarka skirtą dehidratuotą etilo alkoholį;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9 p."/>
                    <w:tag w:val="part_98919a55b16a4736babc751359c810e4"/>
                    <w:lock w:val="sdtLocked"/>
                    <w:richText/>
                  </w:sdtPr>
                  <w:sdtContent>
                    <w:p>
                      <w:pPr>
                        <w:widowControl w:val="0"/>
                        <w:suppressAutoHyphens/>
                        <w:ind w:firstLine="567"/>
                        <w:jc w:val="both"/>
                        <w:rPr>
                          <w:color w:val="000000"/>
                        </w:rPr>
                      </w:pPr>
                      <w:sdt>
                        <w:sdtPr>
                          <w:alias w:val="Numeris"/>
                          <w:tag w:val="nr_98919a55b16a4736babc751359c810e4"/>
                          <w:lock w:val="sdtLocked"/>
                          <w:richText/>
                        </w:sdtPr>
                        <w:sdtContent>
                          <w:r>
                            <w:rPr>
                              <w:color w:val="000000"/>
                            </w:rPr>
                            <w:t>6.9</w:t>
                          </w:r>
                        </w:sdtContent>
                      </w:sdt>
                      <w:r>
                        <w:rPr>
                          <w:color w:val="000000"/>
                        </w:rPr>
                        <w:t>. asmenys, įsigyjantys degalus, tiekti pagal Akcizų įstatymo 19 straipsnio 1 dalies 5 punktą, 43 straipsnio 1 dalies 1 ir (arba) 2 punktus;</w:t>
                      </w:r>
                    </w:p>
                  </w:sdtContent>
                </w:sdt>
                <w:sdt>
                  <w:sdtPr>
                    <w:alias w:val="6.10 p."/>
                    <w:tag w:val="part_af9ca1253bbf4e19bf287850663a219f"/>
                    <w:lock w:val="sdtLocked"/>
                    <w:richText/>
                  </w:sdtPr>
                  <w:sdtContent>
                    <w:p>
                      <w:pPr>
                        <w:widowControl w:val="0"/>
                        <w:suppressAutoHyphens/>
                        <w:ind w:firstLine="567"/>
                        <w:jc w:val="both"/>
                        <w:rPr>
                          <w:color w:val="000000"/>
                        </w:rPr>
                      </w:pPr>
                      <w:sdt>
                        <w:sdtPr>
                          <w:alias w:val="Numeris"/>
                          <w:tag w:val="nr_af9ca1253bbf4e19bf287850663a219f"/>
                          <w:lock w:val="sdtLocked"/>
                          <w:richText/>
                        </w:sdtPr>
                        <w:sdtContent>
                          <w:r>
                            <w:rPr>
                              <w:color w:val="000000"/>
                            </w:rPr>
                            <w:t>6.10</w:t>
                          </w:r>
                        </w:sdtContent>
                      </w:sdt>
                      <w:r>
                        <w:rPr>
                          <w:color w:val="000000"/>
                        </w:rPr>
                        <w:t>. asmenys, tiekiantys akmens anglis, koksą ir / ar lignitą;</w:t>
                      </w:r>
                    </w:p>
                  </w:sdtContent>
                </w:sdt>
                <w:sdt>
                  <w:sdtPr>
                    <w:alias w:val="6.11 p."/>
                    <w:tag w:val="part_5f4c340a57a14acda9e2da927b01626f"/>
                    <w:lock w:val="sdtLocked"/>
                    <w:richText/>
                  </w:sdtPr>
                  <w:sdtContent>
                    <w:p>
                      <w:pPr>
                        <w:widowControl w:val="0"/>
                        <w:suppressAutoHyphens/>
                        <w:ind w:firstLine="567"/>
                        <w:jc w:val="both"/>
                        <w:rPr>
                          <w:color w:val="000000"/>
                        </w:rPr>
                      </w:pPr>
                      <w:sdt>
                        <w:sdtPr>
                          <w:alias w:val="Numeris"/>
                          <w:tag w:val="nr_5f4c340a57a14acda9e2da927b01626f"/>
                          <w:lock w:val="sdtLocked"/>
                          <w:richText/>
                        </w:sdtPr>
                        <w:sdtContent>
                          <w:r>
                            <w:rPr>
                              <w:color w:val="000000"/>
                            </w:rPr>
                            <w:t>6.11</w:t>
                          </w:r>
                        </w:sdtContent>
                      </w:sdt>
                      <w:r>
                        <w:rPr>
                          <w:color w:val="000000"/>
                        </w:rPr>
                        <w:t>. asmenys, tiekiantys nuo akcizų atleistas suslėgtas gamtines dujas vietinio (miesto ir priemiestinio) reguliaraus susisiekimo autobusams.</w:t>
                      </w:r>
                    </w:p>
                    <w:p>
                      <w:pPr>
                        <w:widowControl w:val="0"/>
                        <w:suppressAutoHyphens/>
                        <w:ind w:firstLine="567"/>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Content>
            </w:sdt>
            <w:sdt>
              <w:sdtPr>
                <w:alias w:val="7 p."/>
                <w:tag w:val="part_e9ae3299888b4cb6b88351a9adb5d6cd"/>
                <w:lock w:val="sdtLocked"/>
                <w:richText/>
              </w:sdtPr>
              <w:sdtContent>
                <w:p>
                  <w:pPr>
                    <w:widowControl w:val="0"/>
                    <w:suppressAutoHyphens/>
                    <w:ind w:firstLine="567"/>
                    <w:jc w:val="both"/>
                    <w:rPr>
                      <w:color w:val="000000"/>
                    </w:rPr>
                  </w:pPr>
                  <w:sdt>
                    <w:sdtPr>
                      <w:alias w:val="Numeris"/>
                      <w:tag w:val="nr_e9ae3299888b4cb6b88351a9adb5d6cd"/>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51aee24b795949a19ac4f38c83221a36"/>
                <w:lock w:val="sdtLocked"/>
                <w:richText/>
              </w:sdtPr>
              <w:sdtContent>
                <w:p>
                  <w:pPr>
                    <w:ind w:firstLine="567"/>
                    <w:jc w:val="both"/>
                    <w:rPr>
                      <w:color w:val="000000"/>
                    </w:rPr>
                  </w:pPr>
                  <w:sdt>
                    <w:sdtPr>
                      <w:alias w:val="Numeris"/>
                      <w:tag w:val="nr_51aee24b795949a19ac4f38c83221a36"/>
                      <w:lock w:val="sdtLocked"/>
                      <w:richText/>
                    </w:sdtPr>
                    <w:sdtContent>
                      <w:r>
                        <w:rPr>
                          <w:color w:val="000000"/>
                          <w:szCs w:val="24"/>
                        </w:rPr>
                        <w:t>8</w:t>
                      </w:r>
                    </w:sdtContent>
                  </w:sdt>
                  <w:r>
                    <w:rPr>
                      <w:color w:val="000000"/>
                      <w:szCs w:val="24"/>
                    </w:rPr>
                    <w:t>. Sandėlių savininkai, kurie prekes iš sandėlio tiekia tik Valstybinės mokesčių inspekcijos akcizų informacinės sistemos duomenų bazėje išrašydami akcizų apskaičiavimo dokumentą, taip pat sandėlių savininkai, kurie dehidratuoto etilo alkoholio panaudojimą biodegalų ir (ar) jų komponentų, ir (ar) biokuro gamybai Lietuvos Respublikos atsinaujinančių išteklių energetikos įstatymo nustatyta tvarka apskaito ir atitinkamas ataskaitas teikia pagal Operacijų akcizais apmokestinamų prekių sandėlyje apskaitos tvarkos aprašą, patvirtintą Lietuvos Respublikos finansų ministro 2002 m. birželio 5 d. įsakymu Nr. 154 „Dėl Lietuvos Respublikos akcizų įstatymo įgyvendinimo“, ataskaitos teikti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Content>
        </w:sdt>
        <w:sdt>
          <w:sdtPr>
            <w:alias w:val="skyrius"/>
            <w:tag w:val="part_7e70cf7c4ee94452b8825aea40590690"/>
            <w:lock w:val="sdtLocked"/>
            <w:richText/>
          </w:sdtPr>
          <w:sdtContent>
            <w:p>
              <w:pPr>
                <w:widowControl w:val="0"/>
                <w:suppressAutoHyphens/>
                <w:jc w:val="center"/>
                <w:rPr>
                  <w:b/>
                  <w:bCs/>
                  <w:caps/>
                  <w:color w:val="000000"/>
                </w:rPr>
              </w:pPr>
              <w:sdt>
                <w:sdtPr>
                  <w:alias w:val="Numeris"/>
                  <w:tag w:val="nr_7e70cf7c4ee94452b8825aea40590690"/>
                  <w:lock w:val="sdtLocked"/>
                  <w:richText/>
                </w:sdtPr>
                <w:sdtContent>
                  <w:r>
                    <w:rPr>
                      <w:b/>
                      <w:bCs/>
                      <w:caps/>
                      <w:color w:val="000000"/>
                    </w:rPr>
                    <w:t>III</w:t>
                  </w:r>
                </w:sdtContent>
              </w:sdt>
              <w:r>
                <w:rPr>
                  <w:b/>
                  <w:bCs/>
                  <w:caps/>
                  <w:color w:val="000000"/>
                </w:rPr>
                <w:t xml:space="preserve">. </w:t>
              </w:r>
              <w:sdt>
                <w:sdtPr>
                  <w:alias w:val="Pavadinimas"/>
                  <w:tag w:val="title_7e70cf7c4ee94452b8825aea40590690"/>
                  <w:lock w:val="sdtLocked"/>
                  <w:richText/>
                </w:sdtPr>
                <w:sdtContent>
                  <w:r>
                    <w:rPr>
                      <w:b/>
                      <w:bCs/>
                      <w:caps/>
                      <w:color w:val="000000"/>
                    </w:rPr>
                    <w:t>ATASKAITOS PILDYMAS</w:t>
                  </w:r>
                </w:sdtContent>
              </w:sdt>
            </w:p>
            <w:p>
              <w:pPr>
                <w:widowControl w:val="0"/>
                <w:suppressAutoHyphens/>
                <w:ind w:firstLine="567"/>
                <w:jc w:val="both"/>
                <w:rPr>
                  <w:color w:val="000000"/>
                </w:rPr>
              </w:pPr>
            </w:p>
            <w:sdt>
              <w:sdtPr>
                <w:alias w:val="9 p."/>
                <w:tag w:val="part_a843ea2c85814032a1796503f5707fa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2015-10-29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10 p."/>
                <w:tag w:val="part_1b075f0e53b840a0b3b5267d74d5bc7f"/>
                <w:lock w:val="sdtLocked"/>
                <w:richText/>
              </w:sdtPr>
              <w:sdtContent>
                <w:p>
                  <w:pPr>
                    <w:widowControl w:val="0"/>
                    <w:suppressAutoHyphens/>
                    <w:ind w:firstLine="567"/>
                    <w:jc w:val="both"/>
                    <w:rPr>
                      <w:color w:val="000000"/>
                    </w:rPr>
                  </w:pPr>
                  <w:sdt>
                    <w:sdtPr>
                      <w:alias w:val="Numeris"/>
                      <w:tag w:val="nr_1b075f0e53b840a0b3b5267d74d5bc7f"/>
                      <w:lock w:val="sdtLocked"/>
                      <w:richText/>
                    </w:sdtPr>
                    <w:sdtContent>
                      <w:r>
                        <w:rPr>
                          <w:color w:val="000000"/>
                        </w:rPr>
                        <w:t>10</w:t>
                      </w:r>
                    </w:sdtContent>
                  </w:sdt>
                  <w:r>
                    <w:rPr>
                      <w:color w:val="000000"/>
                    </w:rPr>
                    <w:t>. Ataskaitos pirmosios dalies „Leidimų ir laikotarpių sąrašas“ skiltyje:</w:t>
                  </w:r>
                </w:p>
                <w:sdt>
                  <w:sdtPr>
                    <w:alias w:val="10.1 p."/>
                    <w:tag w:val="part_69abb544a81b4381b4040e4ce306bb5e"/>
                    <w:lock w:val="sdtLocked"/>
                    <w:richText/>
                  </w:sdtPr>
                  <w:sdtContent>
                    <w:p>
                      <w:pPr>
                        <w:widowControl w:val="0"/>
                        <w:suppressAutoHyphens/>
                        <w:ind w:firstLine="567"/>
                        <w:jc w:val="both"/>
                        <w:rPr>
                          <w:i/>
                          <w:iCs/>
                          <w:color w:val="000000"/>
                        </w:rPr>
                      </w:pPr>
                      <w:sdt>
                        <w:sdtPr>
                          <w:alias w:val="Numeris"/>
                          <w:tag w:val="nr_69abb544a81b4381b4040e4ce306bb5e"/>
                          <w:lock w:val="sdtLocked"/>
                          <w:richText/>
                        </w:sdtPr>
                        <w:sdtContent>
                          <w:r>
                            <w:rPr>
                              <w:color w:val="000000"/>
                            </w:rPr>
                            <w:t>10.1</w:t>
                          </w:r>
                        </w:sdtContent>
                      </w:sdt>
                      <w:r>
                        <w:rPr>
                          <w:color w:val="000000"/>
                        </w:rPr>
                        <w:t>. „Leidimo (-ų) Nr.“ – turi būti rašomas ataskaitą teikiančio asmens leidimo (-ų) tiekti akcizais apmokestinamas prekes, kurioms taikomos akcizų lengvatos, numeris (-iai);</w:t>
                      </w:r>
                    </w:p>
                  </w:sdtContent>
                </w:sdt>
                <w:sdt>
                  <w:sdtPr>
                    <w:alias w:val="10.2 p."/>
                    <w:tag w:val="part_e5e2baea38ed4a768df7a50957f7b3f8"/>
                    <w:lock w:val="sdtLocked"/>
                    <w:richText/>
                  </w:sdtPr>
                  <w:sdtContent>
                    <w:p>
                      <w:pPr>
                        <w:widowControl w:val="0"/>
                        <w:suppressAutoHyphens/>
                        <w:ind w:firstLine="567"/>
                        <w:jc w:val="both"/>
                        <w:rPr>
                          <w:color w:val="000000"/>
                        </w:rPr>
                      </w:pPr>
                      <w:sdt>
                        <w:sdtPr>
                          <w:alias w:val="Numeris"/>
                          <w:tag w:val="nr_e5e2baea38ed4a768df7a50957f7b3f8"/>
                          <w:lock w:val="sdtLocked"/>
                          <w:richText/>
                        </w:sdtPr>
                        <w:sdtContent>
                          <w:r>
                            <w:rPr>
                              <w:color w:val="000000"/>
                            </w:rPr>
                            <w:t>10.2</w:t>
                          </w:r>
                        </w:sdtContent>
                      </w:sdt>
                      <w:r>
                        <w:rPr>
                          <w:color w:val="000000"/>
                        </w:rPr>
                        <w:t>. „Data „nuo“ – trumpuoju būdu turi būti nurodoma ataskaitinio laikotarpio pradžia (metai, mėnuo, diena), įskaitant pirmą mėnesio dieną;</w:t>
                      </w:r>
                    </w:p>
                  </w:sdtContent>
                </w:sdt>
                <w:sdt>
                  <w:sdtPr>
                    <w:alias w:val="10.3 p."/>
                    <w:tag w:val="part_6798f5e0ff8f45c989ee1aca463fee88"/>
                    <w:lock w:val="sdtLocked"/>
                    <w:richText/>
                  </w:sdtPr>
                  <w:sdtContent>
                    <w:p>
                      <w:pPr>
                        <w:widowControl w:val="0"/>
                        <w:suppressAutoHyphens/>
                        <w:ind w:firstLine="567"/>
                        <w:jc w:val="both"/>
                        <w:rPr>
                          <w:color w:val="000000"/>
                        </w:rPr>
                      </w:pPr>
                      <w:sdt>
                        <w:sdtPr>
                          <w:alias w:val="Numeris"/>
                          <w:tag w:val="nr_6798f5e0ff8f45c989ee1aca463fee88"/>
                          <w:lock w:val="sdtLocked"/>
                          <w:richText/>
                        </w:sdtPr>
                        <w:sdtContent>
                          <w:r>
                            <w:rPr>
                              <w:color w:val="000000"/>
                            </w:rPr>
                            <w:t>10.3</w:t>
                          </w:r>
                        </w:sdtContent>
                      </w:sdt>
                      <w:r>
                        <w:rPr>
                          <w:color w:val="000000"/>
                        </w:rPr>
                        <w:t>. „Data „iki“ – trumpuoju būdu turi būti nurodoma ataskaitinio laikotarpio pabaiga (metai, mėnuo, diena), įskaitant paskutinę mėnesio dieną.</w:t>
                      </w:r>
                    </w:p>
                  </w:sdtContent>
                </w:sdt>
              </w:sdtContent>
            </w:sdt>
            <w:sdt>
              <w:sdtPr>
                <w:alias w:val="11 p."/>
                <w:tag w:val="part_7ea3b8ab38bb4570b04ee94d6c4164f4"/>
                <w:lock w:val="sdtLocked"/>
                <w:richText/>
              </w:sdtPr>
              <w:sdtContent>
                <w:p>
                  <w:pPr>
                    <w:widowControl w:val="0"/>
                    <w:suppressAutoHyphens/>
                    <w:ind w:firstLine="567"/>
                    <w:jc w:val="both"/>
                    <w:rPr>
                      <w:color w:val="000000"/>
                    </w:rPr>
                  </w:pPr>
                  <w:sdt>
                    <w:sdtPr>
                      <w:alias w:val="Numeris"/>
                      <w:tag w:val="nr_7ea3b8ab38bb4570b04ee94d6c4164f4"/>
                      <w:lock w:val="sdtLocked"/>
                      <w:richText/>
                    </w:sdtPr>
                    <w:sdtContent>
                      <w:r>
                        <w:rPr>
                          <w:color w:val="000000"/>
                        </w:rPr>
                        <w:t>11</w:t>
                      </w:r>
                    </w:sdtContent>
                  </w:sdt>
                  <w:r>
                    <w:rPr>
                      <w:color w:val="000000"/>
                    </w:rPr>
                    <w:t>. Ataskaitos antrosios dalies „Duomenys“ skiltyje pagal kiekvieną turimą leidimą turi būti nurodyti visi prekių įsigijimo, patiekimo ir / ar sunaudojimo per ataskaitinį laikotarpį atvejai. Skiltys „Dalyvio tipas“, „Dalyvio numeris“ ir „Dalyvio kodas“</w:t>
                  </w:r>
                  <w:r>
                    <w:rPr>
                      <w:i/>
                      <w:iCs/>
                      <w:color w:val="000000"/>
                    </w:rPr>
                    <w:t xml:space="preserve"> </w:t>
                  </w:r>
                  <w:r>
                    <w:rPr>
                      <w:color w:val="000000"/>
                    </w:rPr>
                    <w:t>pildomos tik tada, kai skiltyje „Veiksmas“ nurodomas „TP“ (tiekimas) arba „IG“ (įsigijimas). Skiltyje:</w:t>
                  </w:r>
                </w:p>
                <w:sdt>
                  <w:sdtPr>
                    <w:alias w:val="11.1 p."/>
                    <w:tag w:val="part_d3458f179c5941f3926ac4dbef88cee1"/>
                    <w:lock w:val="sdtLocked"/>
                    <w:richText/>
                  </w:sdtPr>
                  <w:sdtContent>
                    <w:p>
                      <w:pPr>
                        <w:widowControl w:val="0"/>
                        <w:suppressAutoHyphens/>
                        <w:ind w:firstLine="567"/>
                        <w:jc w:val="both"/>
                        <w:rPr>
                          <w:color w:val="000000"/>
                        </w:rPr>
                      </w:pPr>
                      <w:sdt>
                        <w:sdtPr>
                          <w:alias w:val="Numeris"/>
                          <w:tag w:val="nr_d3458f179c5941f3926ac4dbef88cee1"/>
                          <w:lock w:val="sdtLocked"/>
                          <w:richText/>
                        </w:sdtPr>
                        <w:sdtContent>
                          <w:r>
                            <w:rPr>
                              <w:color w:val="000000"/>
                            </w:rPr>
                            <w:t>11.1</w:t>
                          </w:r>
                        </w:sdtContent>
                      </w:sdt>
                      <w:r>
                        <w:rPr>
                          <w:color w:val="000000"/>
                        </w:rPr>
                        <w:t>.</w:t>
                      </w:r>
                      <w:r>
                        <w:rPr>
                          <w:i/>
                          <w:iCs/>
                          <w:color w:val="000000"/>
                        </w:rPr>
                        <w:t xml:space="preserve"> </w:t>
                      </w:r>
                      <w:r>
                        <w:rPr>
                          <w:color w:val="000000"/>
                        </w:rPr>
                        <w:t>„Leidimo (-ų) Nr.“ – turi būti</w:t>
                      </w:r>
                      <w:r>
                        <w:rPr>
                          <w:i/>
                          <w:iCs/>
                          <w:color w:val="000000"/>
                        </w:rPr>
                        <w:t xml:space="preserve"> </w:t>
                      </w:r>
                      <w:r>
                        <w:rPr>
                          <w:color w:val="000000"/>
                        </w:rPr>
                        <w:t>įrašomas asmens, teikiančio ataskaitą, leidimo numeris. Leidimo (-ų) numeris (-iai) privalo atitikti ataskaitos pirmoje dalyje nurodytą (-us) numerį (-ius);</w:t>
                      </w:r>
                    </w:p>
                  </w:sdtContent>
                </w:sdt>
                <w:sdt>
                  <w:sdtPr>
                    <w:alias w:val="11.2 p."/>
                    <w:tag w:val="part_3fb0b860c37e405db24c546314cbf097"/>
                    <w:lock w:val="sdtLocked"/>
                    <w:richText/>
                  </w:sdtPr>
                  <w:sdtContent>
                    <w:p>
                      <w:pPr>
                        <w:widowControl w:val="0"/>
                        <w:suppressAutoHyphens/>
                        <w:ind w:firstLine="567"/>
                        <w:jc w:val="both"/>
                        <w:rPr>
                          <w:color w:val="000000"/>
                          <w:spacing w:val="-6"/>
                        </w:rPr>
                      </w:pPr>
                      <w:sdt>
                        <w:sdtPr>
                          <w:alias w:val="Numeris"/>
                          <w:tag w:val="nr_3fb0b860c37e405db24c546314cbf097"/>
                          <w:lock w:val="sdtLocked"/>
                          <w:richText/>
                        </w:sdtPr>
                        <w:sdtContent>
                          <w:r>
                            <w:rPr>
                              <w:color w:val="000000"/>
                              <w:spacing w:val="-6"/>
                            </w:rPr>
                            <w:t>11.2</w:t>
                          </w:r>
                        </w:sdtContent>
                      </w:sdt>
                      <w:r>
                        <w:rPr>
                          <w:color w:val="000000"/>
                          <w:spacing w:val="-6"/>
                        </w:rPr>
                        <w:t>. „Mokėtojo kodas“ – turi būti įrašomas asmens, teikiančio ataskaitą, mokesčio mokėtojo identifikacinis numeris (kodas);</w:t>
                      </w:r>
                    </w:p>
                  </w:sdtContent>
                </w:sdt>
                <w:sdt>
                  <w:sdtPr>
                    <w:alias w:val="11.3 p."/>
                    <w:tag w:val="part_c739deb9d7984ff4a4f8b6585fd3e5c6"/>
                    <w:lock w:val="sdtLocked"/>
                    <w:richText/>
                  </w:sdtPr>
                  <w:sdtContent>
                    <w:p>
                      <w:pPr>
                        <w:widowControl w:val="0"/>
                        <w:suppressAutoHyphens/>
                        <w:ind w:firstLine="567"/>
                        <w:jc w:val="both"/>
                        <w:rPr>
                          <w:color w:val="000000"/>
                        </w:rPr>
                      </w:pPr>
                      <w:sdt>
                        <w:sdtPr>
                          <w:alias w:val="Numeris"/>
                          <w:tag w:val="nr_c739deb9d7984ff4a4f8b6585fd3e5c6"/>
                          <w:lock w:val="sdtLocked"/>
                          <w:richText/>
                        </w:sdtPr>
                        <w:sdtContent>
                          <w:r>
                            <w:rPr>
                              <w:color w:val="000000"/>
                            </w:rPr>
                            <w:t>11.3</w:t>
                          </w:r>
                        </w:sdtContent>
                      </w:sdt>
                      <w:r>
                        <w:rPr>
                          <w:color w:val="000000"/>
                        </w:rPr>
                        <w:t>. „Veiksmas“ – atskirose eilutėse turi būti nurodyti visi prekių įsigijimo, tiekimo ir / ar sunaudojimo atvejai pagal kiekvieną leidimą tokių veiksmų atlikimo eilės tvarka. Įrašai turi būti pradedami prekių likučio ataskaitinio laikotarpio pradžioje duomenimis, o baigiami likučio ataskaitinio laikotarpio pabaigoje duomenimis.</w:t>
                      </w:r>
                    </w:p>
                    <w:p>
                      <w:pPr>
                        <w:widowControl w:val="0"/>
                        <w:suppressAutoHyphens/>
                        <w:ind w:firstLine="567"/>
                        <w:jc w:val="both"/>
                        <w:rPr>
                          <w:color w:val="000000"/>
                        </w:rPr>
                      </w:pPr>
                      <w:r>
                        <w:rPr>
                          <w:color w:val="000000"/>
                        </w:rPr>
                        <w:t>Veiksmui pažymėti turi būti naudojamas vienas iš tokių sutrumpinimų:</w:t>
                      </w:r>
                    </w:p>
                    <w:sdt>
                      <w:sdtPr>
                        <w:alias w:val="11.3.1 p."/>
                        <w:tag w:val="part_80b676d858e349588db69b877a6bd7cf"/>
                        <w:lock w:val="sdtLocked"/>
                        <w:richText/>
                      </w:sdtPr>
                      <w:sdtContent>
                        <w:p>
                          <w:pPr>
                            <w:widowControl w:val="0"/>
                            <w:suppressAutoHyphens/>
                            <w:ind w:firstLine="567"/>
                            <w:jc w:val="both"/>
                            <w:rPr>
                              <w:color w:val="000000"/>
                            </w:rPr>
                          </w:pPr>
                          <w:sdt>
                            <w:sdtPr>
                              <w:alias w:val="Numeris"/>
                              <w:tag w:val="nr_80b676d858e349588db69b877a6bd7cf"/>
                              <w:lock w:val="sdtLocked"/>
                              <w:richText/>
                            </w:sdtPr>
                            <w:sdtContent>
                              <w:r>
                                <w:rPr>
                                  <w:color w:val="000000"/>
                                </w:rPr>
                                <w:t>11.3.1</w:t>
                              </w:r>
                            </w:sdtContent>
                          </w:sdt>
                          <w:r>
                            <w:rPr>
                              <w:color w:val="000000"/>
                            </w:rPr>
                            <w:t>. LS – prekių likutis ataskaitinio periodo pradžioje (atskaitos pradžia);</w:t>
                          </w:r>
                        </w:p>
                      </w:sdtContent>
                    </w:sdt>
                    <w:sdt>
                      <w:sdtPr>
                        <w:alias w:val="11.3.2 p."/>
                        <w:tag w:val="part_90f8657a81654b76882085af3e558268"/>
                        <w:lock w:val="sdtLocked"/>
                        <w:richText/>
                      </w:sdtPr>
                      <w:sdtContent>
                        <w:p>
                          <w:pPr>
                            <w:widowControl w:val="0"/>
                            <w:suppressAutoHyphens/>
                            <w:ind w:firstLine="567"/>
                            <w:jc w:val="both"/>
                            <w:rPr>
                              <w:color w:val="000000"/>
                            </w:rPr>
                          </w:pPr>
                          <w:sdt>
                            <w:sdtPr>
                              <w:alias w:val="Numeris"/>
                              <w:tag w:val="nr_90f8657a81654b76882085af3e558268"/>
                              <w:lock w:val="sdtLocked"/>
                              <w:richText/>
                            </w:sdtPr>
                            <w:sdtContent>
                              <w:r>
                                <w:rPr>
                                  <w:color w:val="000000"/>
                                </w:rPr>
                                <w:t>11.3.2</w:t>
                              </w:r>
                            </w:sdtContent>
                          </w:sdt>
                          <w:r>
                            <w:rPr>
                              <w:color w:val="000000"/>
                            </w:rPr>
                            <w:t>. IG – prekių įsigijimas;</w:t>
                          </w:r>
                        </w:p>
                      </w:sdtContent>
                    </w:sdt>
                    <w:sdt>
                      <w:sdtPr>
                        <w:alias w:val="11.3.3 p."/>
                        <w:tag w:val="part_295be0a175654ffb8b8adffd3e6e0298"/>
                        <w:lock w:val="sdtLocked"/>
                        <w:richText/>
                      </w:sdtPr>
                      <w:sdtContent>
                        <w:p>
                          <w:pPr>
                            <w:widowControl w:val="0"/>
                            <w:suppressAutoHyphens/>
                            <w:ind w:firstLine="567"/>
                            <w:jc w:val="both"/>
                            <w:rPr>
                              <w:color w:val="000000"/>
                            </w:rPr>
                          </w:pPr>
                          <w:sdt>
                            <w:sdtPr>
                              <w:alias w:val="Numeris"/>
                              <w:tag w:val="nr_295be0a175654ffb8b8adffd3e6e0298"/>
                              <w:lock w:val="sdtLocked"/>
                              <w:richText/>
                            </w:sdtPr>
                            <w:sdtContent>
                              <w:r>
                                <w:rPr>
                                  <w:color w:val="000000"/>
                                </w:rPr>
                                <w:t>11.3.3</w:t>
                              </w:r>
                            </w:sdtContent>
                          </w:sdt>
                          <w:r>
                            <w:rPr>
                              <w:color w:val="000000"/>
                            </w:rPr>
                            <w:t>. TP – prekių tiekimas;</w:t>
                          </w:r>
                        </w:p>
                      </w:sdtContent>
                    </w:sdt>
                    <w:sdt>
                      <w:sdtPr>
                        <w:alias w:val="11.3.4 p."/>
                        <w:tag w:val="part_9d1ec668c5d042bc9605ef34d823c57d"/>
                        <w:lock w:val="sdtLocked"/>
                        <w:richText/>
                      </w:sdtPr>
                      <w:sdtContent>
                        <w:p>
                          <w:pPr>
                            <w:widowControl w:val="0"/>
                            <w:suppressAutoHyphens/>
                            <w:ind w:firstLine="567"/>
                            <w:jc w:val="both"/>
                            <w:rPr>
                              <w:color w:val="000000"/>
                            </w:rPr>
                          </w:pPr>
                          <w:sdt>
                            <w:sdtPr>
                              <w:alias w:val="Numeris"/>
                              <w:tag w:val="nr_9d1ec668c5d042bc9605ef34d823c57d"/>
                              <w:lock w:val="sdtLocked"/>
                              <w:richText/>
                            </w:sdtPr>
                            <w:sdtContent>
                              <w:r>
                                <w:rPr>
                                  <w:color w:val="000000"/>
                                </w:rPr>
                                <w:t>11.3.4</w:t>
                              </w:r>
                            </w:sdtContent>
                          </w:sdt>
                          <w:r>
                            <w:rPr>
                              <w:color w:val="000000"/>
                            </w:rPr>
                            <w:t>. PS – prekių sunaudojimas;</w:t>
                          </w:r>
                        </w:p>
                      </w:sdtContent>
                    </w:sdt>
                    <w:sdt>
                      <w:sdtPr>
                        <w:alias w:val="11.3.5 p."/>
                        <w:tag w:val="part_8ae31213511f4132a73b26da6fff3b09"/>
                        <w:lock w:val="sdtLocked"/>
                        <w:richText/>
                      </w:sdtPr>
                      <w:sdtContent>
                        <w:p>
                          <w:pPr>
                            <w:widowControl w:val="0"/>
                            <w:suppressAutoHyphens/>
                            <w:ind w:firstLine="567"/>
                            <w:jc w:val="both"/>
                            <w:rPr>
                              <w:color w:val="000000"/>
                            </w:rPr>
                          </w:pPr>
                          <w:sdt>
                            <w:sdtPr>
                              <w:alias w:val="Numeris"/>
                              <w:tag w:val="nr_8ae31213511f4132a73b26da6fff3b09"/>
                              <w:lock w:val="sdtLocked"/>
                              <w:richText/>
                            </w:sdtPr>
                            <w:sdtContent>
                              <w:r>
                                <w:rPr>
                                  <w:color w:val="000000"/>
                                </w:rPr>
                                <w:t>11.3.5</w:t>
                              </w:r>
                            </w:sdtContent>
                          </w:sdt>
                          <w:r>
                            <w:rPr>
                              <w:color w:val="000000"/>
                            </w:rPr>
                            <w:t>. LF – prekių likutis ataskaitinio periodo pabaigoje (atskaitos pabaiga).</w:t>
                          </w:r>
                        </w:p>
                        <w:p>
                          <w:pPr>
                            <w:widowControl w:val="0"/>
                            <w:suppressAutoHyphens/>
                            <w:ind w:firstLine="567"/>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6a67d589f8564a0a9566fd3d7071eff9"/>
                    <w:lock w:val="sdtLocked"/>
                    <w:richText/>
                  </w:sdtPr>
                  <w:sdtContent>
                    <w:p>
                      <w:pPr>
                        <w:widowControl w:val="0"/>
                        <w:suppressAutoHyphens/>
                        <w:ind w:firstLine="567"/>
                        <w:jc w:val="both"/>
                        <w:rPr>
                          <w:color w:val="000000"/>
                          <w:spacing w:val="-4"/>
                        </w:rPr>
                      </w:pPr>
                      <w:sdt>
                        <w:sdtPr>
                          <w:alias w:val="Numeris"/>
                          <w:tag w:val="nr_6a67d589f8564a0a9566fd3d7071eff9"/>
                          <w:lock w:val="sdtLocked"/>
                          <w:richText/>
                        </w:sdtPr>
                        <w:sdtContent>
                          <w:r>
                            <w:rPr>
                              <w:color w:val="000000"/>
                              <w:spacing w:val="-4"/>
                            </w:rPr>
                            <w:t>11.4</w:t>
                          </w:r>
                        </w:sdtContent>
                      </w:sdt>
                      <w:r>
                        <w:rPr>
                          <w:color w:val="000000"/>
                          <w:spacing w:val="-4"/>
                        </w:rPr>
                        <w:t>. „Dalyvio tipas“ – turi būti nurodomas vienas iš asmens, iš kurio prekės įsigytos arba kuriam patiektos, sutrumpinimų:</w:t>
                      </w:r>
                    </w:p>
                    <w:sdt>
                      <w:sdtPr>
                        <w:alias w:val="11.4.1 p."/>
                        <w:tag w:val="part_fd0547b2a965406f8ac8247a76665db8"/>
                        <w:lock w:val="sdtLocked"/>
                        <w:richText/>
                      </w:sdtPr>
                      <w:sdtContent>
                        <w:p>
                          <w:pPr>
                            <w:widowControl w:val="0"/>
                            <w:suppressAutoHyphens/>
                            <w:ind w:firstLine="567"/>
                            <w:jc w:val="both"/>
                            <w:rPr>
                              <w:color w:val="000000"/>
                            </w:rPr>
                          </w:pPr>
                          <w:sdt>
                            <w:sdtPr>
                              <w:alias w:val="Numeris"/>
                              <w:tag w:val="nr_fd0547b2a965406f8ac8247a76665db8"/>
                              <w:lock w:val="sdtLocked"/>
                              <w:richText/>
                            </w:sdtPr>
                            <w:sdtContent>
                              <w:r>
                                <w:rPr>
                                  <w:color w:val="000000"/>
                                </w:rPr>
                                <w:t>11.4.1</w:t>
                              </w:r>
                            </w:sdtContent>
                          </w:sdt>
                          <w:r>
                            <w:rPr>
                              <w:color w:val="000000"/>
                            </w:rPr>
                            <w:t>. IR– importuotojas;</w:t>
                          </w:r>
                        </w:p>
                      </w:sdtContent>
                    </w:sdt>
                    <w:sdt>
                      <w:sdtPr>
                        <w:alias w:val="11.4.2 p."/>
                        <w:tag w:val="part_8edd77e7d82341b780a08ce9d28c54a3"/>
                        <w:lock w:val="sdtLocked"/>
                        <w:richText/>
                      </w:sdtPr>
                      <w:sdtContent>
                        <w:p>
                          <w:pPr>
                            <w:widowControl w:val="0"/>
                            <w:suppressAutoHyphens/>
                            <w:ind w:firstLine="567"/>
                            <w:jc w:val="both"/>
                            <w:rPr>
                              <w:color w:val="000000"/>
                            </w:rPr>
                          </w:pPr>
                          <w:sdt>
                            <w:sdtPr>
                              <w:alias w:val="Numeris"/>
                              <w:tag w:val="nr_8edd77e7d82341b780a08ce9d28c54a3"/>
                              <w:lock w:val="sdtLocked"/>
                              <w:richText/>
                            </w:sdtPr>
                            <w:sdtContent>
                              <w:r>
                                <w:rPr>
                                  <w:color w:val="000000"/>
                                </w:rPr>
                                <w:t>11.4.2</w:t>
                              </w:r>
                            </w:sdtContent>
                          </w:sdt>
                          <w:r>
                            <w:rPr>
                              <w:color w:val="000000"/>
                            </w:rPr>
                            <w:t>. SN – sandėlis;</w:t>
                          </w:r>
                        </w:p>
                      </w:sdtContent>
                    </w:sdt>
                    <w:sdt>
                      <w:sdtPr>
                        <w:alias w:val="11.4.3 p."/>
                        <w:tag w:val="part_599f911f7bae4cd4894570de7bfc63fa"/>
                        <w:lock w:val="sdtLocked"/>
                        <w:richText/>
                      </w:sdtPr>
                      <w:sdtContent>
                        <w:p>
                          <w:pPr>
                            <w:widowControl w:val="0"/>
                            <w:suppressAutoHyphens/>
                            <w:ind w:firstLine="567"/>
                            <w:jc w:val="both"/>
                            <w:rPr>
                              <w:color w:val="000000"/>
                            </w:rPr>
                          </w:pPr>
                          <w:sdt>
                            <w:sdtPr>
                              <w:alias w:val="Numeris"/>
                              <w:tag w:val="nr_599f911f7bae4cd4894570de7bfc63fa"/>
                              <w:lock w:val="sdtLocked"/>
                              <w:richText/>
                            </w:sdtPr>
                            <w:sdtContent>
                              <w:r>
                                <w:rPr>
                                  <w:color w:val="000000"/>
                                </w:rPr>
                                <w:t>11.4.3</w:t>
                              </w:r>
                            </w:sdtContent>
                          </w:sdt>
                          <w:r>
                            <w:rPr>
                              <w:color w:val="000000"/>
                            </w:rPr>
                            <w:t>. GA – registruotas gavėjas;</w:t>
                          </w:r>
                        </w:p>
                      </w:sdtContent>
                    </w:sdt>
                    <w:sdt>
                      <w:sdtPr>
                        <w:alias w:val="11.4.4 p."/>
                        <w:tag w:val="part_5348cdd49e534db1af1027314adcb4c1"/>
                        <w:lock w:val="sdtLocked"/>
                        <w:richText/>
                      </w:sdtPr>
                      <w:sdtContent>
                        <w:p>
                          <w:pPr>
                            <w:widowControl w:val="0"/>
                            <w:suppressAutoHyphens/>
                            <w:ind w:firstLine="567"/>
                            <w:jc w:val="both"/>
                            <w:rPr>
                              <w:color w:val="000000"/>
                            </w:rPr>
                          </w:pPr>
                          <w:sdt>
                            <w:sdtPr>
                              <w:alias w:val="Numeris"/>
                              <w:tag w:val="nr_5348cdd49e534db1af1027314adcb4c1"/>
                              <w:lock w:val="sdtLocked"/>
                              <w:richText/>
                            </w:sdtPr>
                            <w:sdtContent>
                              <w:r>
                                <w:rPr>
                                  <w:color w:val="000000"/>
                                </w:rPr>
                                <w:t>11.4.4</w:t>
                              </w:r>
                            </w:sdtContent>
                          </w:sdt>
                          <w:r>
                            <w:rPr>
                              <w:color w:val="000000"/>
                            </w:rPr>
                            <w:t>. NP – laikinai registruotas gavėjas;</w:t>
                          </w:r>
                        </w:p>
                      </w:sdtContent>
                    </w:sdt>
                    <w:sdt>
                      <w:sdtPr>
                        <w:alias w:val="11.4.5 p."/>
                        <w:tag w:val="part_a57a6dd2086f4790b9d5fecd11fdc10b"/>
                        <w:lock w:val="sdtLocked"/>
                        <w:richText/>
                      </w:sdtPr>
                      <w:sdtContent>
                        <w:p>
                          <w:pPr>
                            <w:widowControl w:val="0"/>
                            <w:suppressAutoHyphens/>
                            <w:ind w:firstLine="567"/>
                            <w:jc w:val="both"/>
                            <w:rPr>
                              <w:color w:val="000000"/>
                            </w:rPr>
                          </w:pPr>
                          <w:sdt>
                            <w:sdtPr>
                              <w:alias w:val="Numeris"/>
                              <w:tag w:val="nr_a57a6dd2086f4790b9d5fecd11fdc10b"/>
                              <w:lock w:val="sdtLocked"/>
                              <w:richText/>
                            </w:sdtPr>
                            <w:sdtContent>
                              <w:r>
                                <w:rPr>
                                  <w:color w:val="000000"/>
                                </w:rPr>
                                <w:t>11.4.5</w:t>
                              </w:r>
                            </w:sdtContent>
                          </w:sdt>
                          <w:r>
                            <w:rPr>
                              <w:color w:val="000000"/>
                            </w:rPr>
                            <w:t>. VA – asmuo, gaunantis, iš kitų Europos Sąjungos valstybių narių komerciniams tikslams akcizais apmokestinamų prekių, kurioms netaikomas akcizų mokėjimo laikino atidėjimo režimas;</w:t>
                          </w:r>
                        </w:p>
                      </w:sdtContent>
                    </w:sdt>
                    <w:sdt>
                      <w:sdtPr>
                        <w:alias w:val="11.4.6 p."/>
                        <w:tag w:val="part_c8499c0afcc94241b8008f41f386cf85"/>
                        <w:lock w:val="sdtLocked"/>
                        <w:richText/>
                      </w:sdtPr>
                      <w:sdtContent>
                        <w:p>
                          <w:pPr>
                            <w:tabs>
                              <w:tab w:val="left" w:pos="1134"/>
                            </w:tabs>
                            <w:ind w:firstLine="567"/>
                            <w:jc w:val="both"/>
                            <w:rPr>
                              <w:color w:val="000000"/>
                            </w:rPr>
                          </w:pPr>
                          <w:sdt>
                            <w:sdtPr>
                              <w:alias w:val="Numeris"/>
                              <w:tag w:val="nr_c8499c0afcc94241b8008f41f386cf85"/>
                              <w:lock w:val="sdtLocked"/>
                              <w:richText/>
                            </w:sdtPr>
                            <w:sdtContent>
                              <w:r>
                                <w:rPr>
                                  <w:color w:val="000000"/>
                                  <w:szCs w:val="24"/>
                                </w:rPr>
                                <w:t>11.4.6</w:t>
                              </w:r>
                            </w:sdtContent>
                          </w:sdt>
                          <w:r>
                            <w:rPr>
                              <w:color w:val="000000"/>
                              <w:szCs w:val="24"/>
                            </w:rPr>
                            <w:t xml:space="preserve">. TK – asmuo, tiekiantis prekes (pvz., šildymo kuro tiekėjas; suskystintų naftos dujų tiekėjas; asmuo, tiekiantis gazolius, </w:t>
                          </w:r>
                          <w:r>
                            <w:rPr>
                              <w:szCs w:val="24"/>
                            </w:rPr>
                            <w:t>kuriems taikoma Lietuvos Respublikos akcizų įstatymo 37 straipsnio 3 dalis</w:t>
                          </w:r>
                          <w:r>
                            <w:rPr>
                              <w:color w:val="000000"/>
                              <w:szCs w:val="24"/>
                            </w:rPr>
                            <w:t>; tiekėjas energinių produktų, skirtų naudoti kitiems tikslams, bet ne variklių degalams, šildymo kurui arba variklių degalų priedams; orlaivių (laivų) kuro tiekėjas; akmens anglių, kokso ir / ar lignito tiekėjas, nuo akcizų atleistų suslėgtų gamtinių dujų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11.4.7 p."/>
                        <w:tag w:val="part_7a416952437c47bdaaffcdfd52df48c1"/>
                        <w:lock w:val="sdtLocked"/>
                        <w:richText/>
                      </w:sdtPr>
                      <w:sdtContent>
                        <w:p>
                          <w:pPr>
                            <w:widowControl w:val="0"/>
                            <w:suppressAutoHyphens/>
                            <w:ind w:firstLine="567"/>
                            <w:jc w:val="both"/>
                            <w:rPr>
                              <w:color w:val="000000"/>
                            </w:rPr>
                          </w:pPr>
                          <w:sdt>
                            <w:sdtPr>
                              <w:alias w:val="Numeris"/>
                              <w:tag w:val="nr_7a416952437c47bdaaffcdfd52df48c1"/>
                              <w:lock w:val="sdtLocked"/>
                              <w:richText/>
                            </w:sdtPr>
                            <w:sdtContent>
                              <w:r>
                                <w:rPr>
                                  <w:color w:val="000000"/>
                                </w:rPr>
                                <w:t>11.4.7</w:t>
                              </w:r>
                            </w:sdtContent>
                          </w:sdt>
                          <w:r>
                            <w:rPr>
                              <w:color w:val="000000"/>
                            </w:rPr>
                            <w:t>. NA – asmuo, kuriam yra patiektos prekės (pvz., žemės ūkio veiklos subjektas; asmuo, suskystintas dujas naudojantis buitinėms reikmėms; asmuo, šildymui skirtą kurą naudojantis patalpų šildymui; asmuo, energinius produktus naudojantis gamybiniuose, technologiniuose ir pan. procesuose; asmuo, nuo akcizų atleistas suslėgtas gamtines dujas naudojantis vietinio (miesto ir priemiestinio) reguliaraus susisiekimo autobusams);</w:t>
                          </w:r>
                        </w:p>
                      </w:sdtContent>
                    </w:sdt>
                  </w:sdtContent>
                </w:sdt>
                <w:sdt>
                  <w:sdtPr>
                    <w:alias w:val="11.5 p."/>
                    <w:tag w:val="part_17e92a83579c4be292abe23df09e87f6"/>
                    <w:lock w:val="sdtLocked"/>
                    <w:richText/>
                  </w:sdtPr>
                  <w:sdtContent>
                    <w:p>
                      <w:pPr>
                        <w:widowControl w:val="0"/>
                        <w:suppressAutoHyphens/>
                        <w:ind w:firstLine="567"/>
                        <w:jc w:val="both"/>
                        <w:rPr>
                          <w:color w:val="000000"/>
                        </w:rPr>
                      </w:pPr>
                      <w:sdt>
                        <w:sdtPr>
                          <w:alias w:val="Numeris"/>
                          <w:tag w:val="nr_17e92a83579c4be292abe23df09e87f6"/>
                          <w:lock w:val="sdtLocked"/>
                          <w:richText/>
                        </w:sdtPr>
                        <w:sdtContent>
                          <w:r>
                            <w:rPr>
                              <w:color w:val="000000"/>
                            </w:rPr>
                            <w:t>11.5</w:t>
                          </w:r>
                        </w:sdtContent>
                      </w:sdt>
                      <w:r>
                        <w:rPr>
                          <w:color w:val="000000"/>
                        </w:rPr>
                        <w:t>. „Dalyvio numeris“</w:t>
                      </w:r>
                      <w:r>
                        <w:rPr>
                          <w:i/>
                          <w:iCs/>
                          <w:color w:val="000000"/>
                        </w:rPr>
                        <w:t xml:space="preserve"> – </w:t>
                      </w:r>
                      <w:r>
                        <w:rPr>
                          <w:color w:val="000000"/>
                        </w:rPr>
                        <w:t>turi būti nurodomi tokie numeriai:</w:t>
                      </w:r>
                    </w:p>
                    <w:sdt>
                      <w:sdtPr>
                        <w:alias w:val="11.5.1 p."/>
                        <w:tag w:val="part_03d75129b6d04fc88482a8484e6296bc"/>
                        <w:lock w:val="sdtLocked"/>
                        <w:richText/>
                      </w:sdtPr>
                      <w:sdtContent>
                        <w:p>
                          <w:pPr>
                            <w:widowControl w:val="0"/>
                            <w:suppressAutoHyphens/>
                            <w:ind w:firstLine="567"/>
                            <w:jc w:val="both"/>
                            <w:rPr>
                              <w:color w:val="000000"/>
                            </w:rPr>
                          </w:pPr>
                          <w:sdt>
                            <w:sdtPr>
                              <w:alias w:val="Numeris"/>
                              <w:tag w:val="nr_03d75129b6d04fc88482a8484e6296bc"/>
                              <w:lock w:val="sdtLocked"/>
                              <w:richText/>
                            </w:sdtPr>
                            <w:sdtContent>
                              <w:r>
                                <w:rPr>
                                  <w:color w:val="000000"/>
                                </w:rPr>
                                <w:t>11.5.1</w:t>
                              </w:r>
                            </w:sdtContent>
                          </w:sdt>
                          <w:r>
                            <w:rPr>
                              <w:color w:val="000000"/>
                            </w:rPr>
                            <w:t>. kai įsigyjama iš:</w:t>
                          </w:r>
                        </w:p>
                        <w:sdt>
                          <w:sdtPr>
                            <w:alias w:val="11.5.1.1 p."/>
                            <w:tag w:val="part_77ae80976f04488a9b1fa69164f91fc7"/>
                            <w:lock w:val="sdtLocked"/>
                            <w:richText/>
                          </w:sdtPr>
                          <w:sdtContent>
                            <w:p>
                              <w:pPr>
                                <w:widowControl w:val="0"/>
                                <w:suppressAutoHyphens/>
                                <w:ind w:firstLine="567"/>
                                <w:jc w:val="both"/>
                                <w:rPr>
                                  <w:color w:val="000000"/>
                                </w:rPr>
                              </w:pPr>
                              <w:sdt>
                                <w:sdtPr>
                                  <w:alias w:val="Numeris"/>
                                  <w:tag w:val="nr_77ae80976f04488a9b1fa69164f91fc7"/>
                                  <w:lock w:val="sdtLocked"/>
                                  <w:richText/>
                                </w:sdtPr>
                                <w:sdtContent>
                                  <w:r>
                                    <w:rPr>
                                      <w:color w:val="000000"/>
                                    </w:rPr>
                                    <w:t>11.5.1.1</w:t>
                                  </w:r>
                                </w:sdtContent>
                              </w:sdt>
                              <w:r>
                                <w:rPr>
                                  <w:color w:val="000000"/>
                                </w:rPr>
                                <w:t>. sandėlio (skiltyje „dalyvio tipas“ nurodyta „SN“) turi būti nurodomas sandėlio identifikacinis numeris;</w:t>
                              </w:r>
                            </w:p>
                          </w:sdtContent>
                        </w:sdt>
                        <w:sdt>
                          <w:sdtPr>
                            <w:alias w:val="11.5.1.2 p."/>
                            <w:tag w:val="part_ad46c03474744ec0806497a90430fe11"/>
                            <w:lock w:val="sdtLocked"/>
                            <w:richText/>
                          </w:sdtPr>
                          <w:sdtContent>
                            <w:p>
                              <w:pPr>
                                <w:widowControl w:val="0"/>
                                <w:suppressAutoHyphens/>
                                <w:ind w:firstLine="567"/>
                                <w:jc w:val="both"/>
                                <w:rPr>
                                  <w:color w:val="000000"/>
                                </w:rPr>
                              </w:pPr>
                              <w:sdt>
                                <w:sdtPr>
                                  <w:alias w:val="Numeris"/>
                                  <w:tag w:val="nr_ad46c03474744ec0806497a90430fe11"/>
                                  <w:lock w:val="sdtLocked"/>
                                  <w:richText/>
                                </w:sdtPr>
                                <w:sdtContent>
                                  <w:r>
                                    <w:rPr>
                                      <w:color w:val="000000"/>
                                    </w:rPr>
                                    <w:t>11.5.1.2</w:t>
                                  </w:r>
                                </w:sdtContent>
                              </w:sdt>
                              <w:r>
                                <w:rPr>
                                  <w:color w:val="000000"/>
                                </w:rPr>
                                <w:t>. registruoto gavėjo (skiltyje „dalyvio tipas“ nurodyta „GA“) – turi būti nurodomas registruoto gavėjo identifikacinis numeris;</w:t>
                              </w:r>
                            </w:p>
                          </w:sdtContent>
                        </w:sdt>
                        <w:sdt>
                          <w:sdtPr>
                            <w:alias w:val="11.5.1.3 p."/>
                            <w:tag w:val="part_9043de82d0924b7b9309c17f1ab42db8"/>
                            <w:lock w:val="sdtLocked"/>
                            <w:richText/>
                          </w:sdtPr>
                          <w:sdtContent>
                            <w:p>
                              <w:pPr>
                                <w:widowControl w:val="0"/>
                                <w:suppressAutoHyphens/>
                                <w:ind w:firstLine="567"/>
                                <w:jc w:val="both"/>
                                <w:rPr>
                                  <w:color w:val="000000"/>
                                </w:rPr>
                              </w:pPr>
                              <w:sdt>
                                <w:sdtPr>
                                  <w:alias w:val="Numeris"/>
                                  <w:tag w:val="nr_9043de82d0924b7b9309c17f1ab42db8"/>
                                  <w:lock w:val="sdtLocked"/>
                                  <w:richText/>
                                </w:sdtPr>
                                <w:sdtContent>
                                  <w:r>
                                    <w:rPr>
                                      <w:color w:val="000000"/>
                                    </w:rPr>
                                    <w:t>11.5.1.3</w:t>
                                  </w:r>
                                </w:sdtContent>
                              </w:sdt>
                              <w:r>
                                <w:rPr>
                                  <w:color w:val="000000"/>
                                </w:rPr>
                                <w:t>. laikinai registruoto gavėjo (skiltyje „dalyvio tipas“ nurodyta „NP“) – turi būti nurodomas laikinai registruoto gavėjo identifikacinis numeris;</w:t>
                              </w:r>
                            </w:p>
                          </w:sdtContent>
                        </w:sdt>
                        <w:sdt>
                          <w:sdtPr>
                            <w:alias w:val="11.5.1.4 p."/>
                            <w:tag w:val="part_4d47a3b0e43d4e4c81ef2cef7276977c"/>
                            <w:lock w:val="sdtLocked"/>
                            <w:richText/>
                          </w:sdtPr>
                          <w:sdtContent>
                            <w:p>
                              <w:pPr>
                                <w:widowControl w:val="0"/>
                                <w:suppressAutoHyphens/>
                                <w:ind w:firstLine="567"/>
                                <w:jc w:val="both"/>
                                <w:rPr>
                                  <w:color w:val="000000"/>
                                </w:rPr>
                              </w:pPr>
                              <w:sdt>
                                <w:sdtPr>
                                  <w:alias w:val="Numeris"/>
                                  <w:tag w:val="nr_4d47a3b0e43d4e4c81ef2cef7276977c"/>
                                  <w:lock w:val="sdtLocked"/>
                                  <w:richText/>
                                </w:sdtPr>
                                <w:sdtContent>
                                  <w:r>
                                    <w:rPr>
                                      <w:color w:val="000000"/>
                                    </w:rPr>
                                    <w:t>11.5.1.4</w:t>
                                  </w:r>
                                </w:sdtContent>
                              </w:sdt>
                              <w:r>
                                <w:rPr>
                                  <w:color w:val="000000"/>
                                </w:rPr>
                                <w:t>. juridinio asmens, iš kitų Europos Sąjungos valstybių narių komerciniams tikslams gaunančio akcizais apmokestinamas prekes, kurioms netaikomas akcizų mokėjimo laikino atidėjimo režimas (skiltyje „dalyvio tipas“ nurodyta „VA“) – turi būti nurodomas patvirtinimo, kad už akcizais apmokestinamas prekes, atgabenamas komerciniams tikslams, akcizų sumokėjimas Lietuvos Respublikoje garantuotas, numeris;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11.5.1.5 p."/>
                            <w:tag w:val="part_d91dd6208e3b4b21bff5fa1943bb194a"/>
                            <w:lock w:val="sdtLocked"/>
                            <w:richText/>
                          </w:sdtPr>
                          <w:sdtContent>
                            <w:p>
                              <w:pPr>
                                <w:widowControl w:val="0"/>
                                <w:suppressAutoHyphens/>
                                <w:ind w:firstLine="567"/>
                                <w:jc w:val="both"/>
                                <w:rPr>
                                  <w:color w:val="000000"/>
                                  <w:spacing w:val="-6"/>
                                </w:rPr>
                              </w:pPr>
                              <w:sdt>
                                <w:sdtPr>
                                  <w:alias w:val="Numeris"/>
                                  <w:tag w:val="nr_d91dd6208e3b4b21bff5fa1943bb194a"/>
                                  <w:lock w:val="sdtLocked"/>
                                  <w:richText/>
                                </w:sdtPr>
                                <w:sdtContent>
                                  <w:r>
                                    <w:rPr>
                                      <w:color w:val="000000"/>
                                      <w:spacing w:val="-6"/>
                                    </w:rPr>
                                    <w:t>11.5.1.5</w:t>
                                  </w:r>
                                </w:sdtContent>
                              </w:sdt>
                              <w:r>
                                <w:rPr>
                                  <w:color w:val="000000"/>
                                  <w:spacing w:val="-6"/>
                                </w:rPr>
                                <w:t>. asmens, tiekiančio prekes (skiltyje „dalyvio tipas“ nurodyta „TK“) – turi būti nurodomas atitinkamo leidimo numeris;</w:t>
                              </w:r>
                            </w:p>
                          </w:sdtContent>
                        </w:sdt>
                      </w:sdtContent>
                    </w:sdt>
                    <w:sdt>
                      <w:sdtPr>
                        <w:alias w:val="11.5.2 p."/>
                        <w:tag w:val="part_b62a5c6f4d384b91a7849c79b5806529"/>
                        <w:lock w:val="sdtLocked"/>
                        <w:richText/>
                      </w:sdtPr>
                      <w:sdtContent>
                        <w:p>
                          <w:pPr>
                            <w:widowControl w:val="0"/>
                            <w:suppressAutoHyphens/>
                            <w:ind w:firstLine="567"/>
                            <w:jc w:val="both"/>
                            <w:rPr>
                              <w:color w:val="000000"/>
                            </w:rPr>
                          </w:pPr>
                          <w:sdt>
                            <w:sdtPr>
                              <w:alias w:val="Numeris"/>
                              <w:tag w:val="nr_b62a5c6f4d384b91a7849c79b5806529"/>
                              <w:lock w:val="sdtLocked"/>
                              <w:richText/>
                            </w:sdtPr>
                            <w:sdtContent>
                              <w:r>
                                <w:rPr>
                                  <w:color w:val="000000"/>
                                </w:rPr>
                                <w:t>11.5.2</w:t>
                              </w:r>
                            </w:sdtContent>
                          </w:sdt>
                          <w:r>
                            <w:rPr>
                              <w:color w:val="000000"/>
                            </w:rPr>
                            <w:t>. kai ataskaitą teikiantis asmuo prekes importavo (skiltyje „dalyvio tipas“ nurodyta „IR“), išskyrus atvejus, kai importuotos prekės nugabenamos į ataskaitą teikiančio asmens sandėlį ir dėl to neatsiranda prievolė mokėti importo akcizų – turi būti nurodomas bendrojo dokumento numeris;</w:t>
                          </w:r>
                        </w:p>
                      </w:sdtContent>
                    </w:sdt>
                    <w:sdt>
                      <w:sdtPr>
                        <w:alias w:val="11.5.3 p."/>
                        <w:tag w:val="part_a522990bbe2a4f0ca3986ce1cad11119"/>
                        <w:lock w:val="sdtLocked"/>
                        <w:richText/>
                      </w:sdtPr>
                      <w:sdtContent>
                        <w:p>
                          <w:pPr>
                            <w:widowControl w:val="0"/>
                            <w:suppressAutoHyphens/>
                            <w:ind w:firstLine="567"/>
                            <w:jc w:val="both"/>
                            <w:rPr>
                              <w:color w:val="000000"/>
                            </w:rPr>
                          </w:pPr>
                          <w:sdt>
                            <w:sdtPr>
                              <w:alias w:val="Numeris"/>
                              <w:tag w:val="nr_a522990bbe2a4f0ca3986ce1cad11119"/>
                              <w:lock w:val="sdtLocked"/>
                              <w:richText/>
                            </w:sdtPr>
                            <w:sdtContent>
                              <w:r>
                                <w:rPr>
                                  <w:color w:val="000000"/>
                                </w:rPr>
                                <w:t>11.5.3</w:t>
                              </w:r>
                            </w:sdtContent>
                          </w:sdt>
                          <w:r>
                            <w:rPr>
                              <w:color w:val="000000"/>
                            </w:rPr>
                            <w:t>. kai patiekiama asmeniui, naudojančiam prekes (skiltyje „dalyvio tipas“ nurodyta „NA“), turi būti nurodomas atitinkamo leidimo naudoti akcizais apmokestinamas prekes, kurioms taikomos akcizų lengvatos, numeris, prekes patiekus taisyklių 6.6–6.7 punktuose nurodytiems asmenims, turi būti nurodomas atitinkamo leidimo registracijos akcizų informacinėje sistemoje numeris;</w:t>
                          </w:r>
                        </w:p>
                      </w:sdtContent>
                    </w:sdt>
                  </w:sdtContent>
                </w:sdt>
                <w:sdt>
                  <w:sdtPr>
                    <w:alias w:val="11.6 p."/>
                    <w:tag w:val="part_b4f031d0074a4ef08d5e9eb40f6b7d92"/>
                    <w:lock w:val="sdtLocked"/>
                    <w:richText/>
                  </w:sdtPr>
                  <w:sdtContent>
                    <w:p>
                      <w:pPr>
                        <w:widowControl w:val="0"/>
                        <w:suppressAutoHyphens/>
                        <w:ind w:firstLine="567"/>
                        <w:jc w:val="both"/>
                        <w:rPr>
                          <w:color w:val="000000"/>
                        </w:rPr>
                      </w:pPr>
                      <w:sdt>
                        <w:sdtPr>
                          <w:alias w:val="Numeris"/>
                          <w:tag w:val="nr_b4f031d0074a4ef08d5e9eb40f6b7d92"/>
                          <w:lock w:val="sdtLocked"/>
                          <w:richText/>
                        </w:sdtPr>
                        <w:sdtContent>
                          <w:r>
                            <w:rPr>
                              <w:color w:val="000000"/>
                            </w:rPr>
                            <w:t>11.6</w:t>
                          </w:r>
                        </w:sdtContent>
                      </w:sdt>
                      <w:r>
                        <w:rPr>
                          <w:color w:val="000000"/>
                        </w:rPr>
                        <w:t>. „Dalyvio kodas“ – turi būti rašomas asmens, iš kurio įsigytos (kuriam patiektos) prekės, mokesčių mokėtojo identifikacinis numeris (kodas). Jeigu prekės:</w:t>
                      </w:r>
                    </w:p>
                    <w:sdt>
                      <w:sdtPr>
                        <w:alias w:val="11.6.1 p."/>
                        <w:tag w:val="part_18b9cac08ec8465da98bca9c02f12410"/>
                        <w:lock w:val="sdtLocked"/>
                        <w:richText/>
                      </w:sdtPr>
                      <w:sdtContent>
                        <w:p>
                          <w:pPr>
                            <w:widowControl w:val="0"/>
                            <w:suppressAutoHyphens/>
                            <w:ind w:firstLine="567"/>
                            <w:jc w:val="both"/>
                            <w:rPr>
                              <w:color w:val="000000"/>
                              <w:spacing w:val="-4"/>
                            </w:rPr>
                          </w:pPr>
                          <w:sdt>
                            <w:sdtPr>
                              <w:alias w:val="Numeris"/>
                              <w:tag w:val="nr_18b9cac08ec8465da98bca9c02f12410"/>
                              <w:lock w:val="sdtLocked"/>
                              <w:richText/>
                            </w:sdtPr>
                            <w:sdtContent>
                              <w:r>
                                <w:rPr>
                                  <w:color w:val="000000"/>
                                  <w:spacing w:val="-4"/>
                                </w:rPr>
                                <w:t>11.6.1</w:t>
                              </w:r>
                            </w:sdtContent>
                          </w:sdt>
                          <w:r>
                            <w:rPr>
                              <w:color w:val="000000"/>
                              <w:spacing w:val="-4"/>
                            </w:rPr>
                            <w:t>. importuotos, turi būti nurodomas asmens, teikiančio ataskaitą, mokesčių mokėtojo identifikacinis numeris (kodas);</w:t>
                          </w:r>
                        </w:p>
                      </w:sdtContent>
                    </w:sdt>
                    <w:sdt>
                      <w:sdtPr>
                        <w:alias w:val="11.6.2 p."/>
                        <w:tag w:val="part_9823213ccfa042b9be597c68dc2c3379"/>
                        <w:lock w:val="sdtLocked"/>
                        <w:richText/>
                      </w:sdtPr>
                      <w:sdtContent>
                        <w:p>
                          <w:pPr>
                            <w:widowControl w:val="0"/>
                            <w:suppressAutoHyphens/>
                            <w:ind w:firstLine="567"/>
                            <w:jc w:val="both"/>
                            <w:rPr>
                              <w:color w:val="000000"/>
                              <w:spacing w:val="-2"/>
                            </w:rPr>
                          </w:pPr>
                          <w:sdt>
                            <w:sdtPr>
                              <w:alias w:val="Numeris"/>
                              <w:tag w:val="nr_9823213ccfa042b9be597c68dc2c3379"/>
                              <w:lock w:val="sdtLocked"/>
                              <w:richText/>
                            </w:sdtPr>
                            <w:sdtContent>
                              <w:r>
                                <w:rPr>
                                  <w:color w:val="000000"/>
                                  <w:spacing w:val="-2"/>
                                </w:rPr>
                                <w:t>11.6.2</w:t>
                              </w:r>
                            </w:sdtContent>
                          </w:sdt>
                          <w:r>
                            <w:rPr>
                              <w:color w:val="000000"/>
                              <w:spacing w:val="-2"/>
                            </w:rPr>
                            <w:t>. įsigytos iš sandėlio, turi būti nurodomas sandėlio savininko mokesčių mokėtojo identifikacinis numeris (kodas).</w:t>
                          </w:r>
                        </w:p>
                        <w:p>
                          <w:pPr>
                            <w:widowControl w:val="0"/>
                            <w:suppressAutoHyphens/>
                            <w:ind w:firstLine="567"/>
                            <w:jc w:val="both"/>
                            <w:rPr>
                              <w:color w:val="000000"/>
                              <w:spacing w:val="-4"/>
                            </w:rPr>
                          </w:pPr>
                          <w:r>
                            <w:rPr>
                              <w:color w:val="000000"/>
                              <w:spacing w:val="-4"/>
                            </w:rPr>
                            <w:t>Skiltyse „Dalyvio numeris“, „Dalyvio kodas“ ataskaitą teikiantis asmuo turi nurodyti savo duomenis, jeigu iš kitos Europos Sąjungos valstybės narės prekes, kurioms taikomas akcizų mokėjimo laikino atidėjimo režimas, atsigabeno kaip registruotas gavėjas, laikinai registruotas gavėjas arba akcizais apmokestinamų prekių, kurių akcizai sumokėti, atsigabeno iš kitų Europos Sąjungos valstybių narių verslo tikslais, arba jei akmens anglis, koksą ir/ar lignitą atsigabeno pagal registruoto tiekėjo leidimą, arba prekes įsigijo iš savo sandėlio ar specialaus sandėlio, arba įsigijo tiektinas nuo akcizų atleistas suslėgtas gamtines dujas ir pan.</w:t>
                          </w:r>
                        </w:p>
                      </w:sdtContent>
                    </w:sdt>
                  </w:sdtContent>
                </w:sdt>
                <w:sdt>
                  <w:sdtPr>
                    <w:alias w:val="11.7 p."/>
                    <w:tag w:val="part_aeb8e85409aa4b7f812db32afe7af180"/>
                    <w:lock w:val="sdtLocked"/>
                    <w:richText/>
                  </w:sdtPr>
                  <w:sdtContent>
                    <w:p>
                      <w:pPr>
                        <w:ind w:firstLine="567"/>
                        <w:jc w:val="both"/>
                        <w:rPr>
                          <w:color w:val="000000"/>
                        </w:rPr>
                      </w:pPr>
                      <w:sdt>
                        <w:sdtPr>
                          <w:alias w:val="Numeris"/>
                          <w:tag w:val="nr_aeb8e85409aa4b7f812db32afe7af180"/>
                          <w:lock w:val="sdtLocked"/>
                          <w:richText/>
                        </w:sdtPr>
                        <w:sdtContent>
                          <w:r>
                            <w:rPr>
                              <w:color w:val="000000"/>
                              <w:szCs w:val="24"/>
                            </w:rPr>
                            <w:t>11.7</w:t>
                          </w:r>
                        </w:sdtContent>
                      </w:sdt>
                      <w:r>
                        <w:rPr>
                          <w:color w:val="000000"/>
                          <w:szCs w:val="24"/>
                        </w:rPr>
                        <w:t xml:space="preserve">. „Tarifinė grupė“ – turi būti įrašomas įsigytų, patiektų ar / 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w:t>
                      </w:r>
                      <w:r>
                        <w:rPr>
                          <w:szCs w:val="24"/>
                        </w:rPr>
                        <w:t>„</w:t>
                      </w:r>
                      <w:r>
                        <w:rPr>
                          <w:color w:val="000000"/>
                          <w:szCs w:val="24"/>
                        </w:rPr>
                        <w:t>Dėl akcizais apmokestinamų prekių apskaitos akcizais apmokestinamų prekių sandėliuose</w:t>
                      </w:r>
                      <w:r>
                        <w:rPr>
                          <w:szCs w:val="24"/>
                        </w:rPr>
                        <w:t>“</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11.8 p."/>
                    <w:tag w:val="part_4d34164de22847f0be0bf74cf130ad57"/>
                    <w:lock w:val="sdtLocked"/>
                    <w:richText/>
                  </w:sdtPr>
                  <w:sdtContent>
                    <w:p>
                      <w:pPr>
                        <w:widowControl w:val="0"/>
                        <w:suppressAutoHyphens/>
                        <w:ind w:firstLine="567"/>
                        <w:jc w:val="both"/>
                        <w:rPr>
                          <w:color w:val="000000"/>
                        </w:rPr>
                      </w:pPr>
                      <w:sdt>
                        <w:sdtPr>
                          <w:alias w:val="Numeris"/>
                          <w:tag w:val="nr_4d34164de22847f0be0bf74cf130ad57"/>
                          <w:lock w:val="sdtLocked"/>
                          <w:richText/>
                        </w:sdtPr>
                        <w:sdtContent>
                          <w:r>
                            <w:rPr>
                              <w:color w:val="000000"/>
                            </w:rPr>
                            <w:t>11.8</w:t>
                          </w:r>
                        </w:sdtContent>
                      </w:sdt>
                      <w:r>
                        <w:rPr>
                          <w:color w:val="000000"/>
                        </w:rPr>
                        <w:t>. „KN“ – turi būti rašomas prekės kodas pagal KN;</w:t>
                      </w:r>
                    </w:p>
                  </w:sdtContent>
                </w:sdt>
                <w:sdt>
                  <w:sdtPr>
                    <w:alias w:val="11.9 p."/>
                    <w:tag w:val="part_e7e3e3a0599645a4962c2487b3099125"/>
                    <w:lock w:val="sdtLocked"/>
                    <w:richText/>
                  </w:sdtPr>
                  <w:sdtContent>
                    <w:p>
                      <w:pPr>
                        <w:widowControl w:val="0"/>
                        <w:suppressAutoHyphens/>
                        <w:ind w:firstLine="567"/>
                        <w:jc w:val="both"/>
                        <w:rPr>
                          <w:color w:val="000000"/>
                        </w:rPr>
                      </w:pPr>
                      <w:sdt>
                        <w:sdtPr>
                          <w:alias w:val="Numeris"/>
                          <w:tag w:val="nr_e7e3e3a0599645a4962c2487b3099125"/>
                          <w:lock w:val="sdtLocked"/>
                          <w:richText/>
                        </w:sdtPr>
                        <w:sdtContent>
                          <w:r>
                            <w:rPr>
                              <w:color w:val="000000"/>
                            </w:rPr>
                            <w:t>11.9</w:t>
                          </w:r>
                        </w:sdtContent>
                      </w:sdt>
                      <w:r>
                        <w:rPr>
                          <w:color w:val="000000"/>
                        </w:rPr>
                        <w:t xml:space="preserve">. </w:t>
                      </w:r>
                      <w:r>
                        <w:rPr>
                          <w:color w:val="000000"/>
                          <w:spacing w:val="-2"/>
                        </w:rPr>
                        <w:t xml:space="preserve">„Kiekis“ – pagal kiekvieną prekių tarifinę grupę rašomas patiektų (sunaudotų) prekių kiekis. Kiekis rašomas </w:t>
                      </w:r>
                      <w:r>
                        <w:rPr>
                          <w:color w:val="000000"/>
                        </w:rPr>
                        <w:t xml:space="preserve">2009 m. liepos 24 d. Komisijos reglamente (EB) Nr. 684/2009, kuriuo įgyvendinamos Tarybos direktyvos 2008/118/EB nuostatos, susijusios su akcizais apmokestinamų prekių, kurioms pritaikytas akcizų mokėjimo laikino atidėjimo režimas, gabenimo kompiuterinėmis procedūromis (OL 2009 L 197, p. 24), </w:t>
                      </w:r>
                      <w:r>
                        <w:rPr>
                          <w:color w:val="000000"/>
                          <w:spacing w:val="-2"/>
                        </w:rPr>
                        <w:t>nustatytais matavimo vienetais, nurodomais prekių gabenimo dokumentuose (pvz., etilo alkoholis – litrais grynojo (100 proc.) alkoholio, denatūruotas etilo alkoholis – litrais, šildymo kuras – litrais, mazutas – kilogramais, energiniai produktai – litrais arba kilogramais, suskystintos dujos – kilogramais.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11.10 p."/>
                    <w:tag w:val="part_d194bd3ba77145748c6f57a9d2435e04"/>
                    <w:lock w:val="sdtLocked"/>
                    <w:richText/>
                  </w:sdtPr>
                  <w:sdtContent>
                    <w:p>
                      <w:pPr>
                        <w:widowControl w:val="0"/>
                        <w:suppressAutoHyphens/>
                        <w:ind w:firstLine="567"/>
                        <w:jc w:val="both"/>
                        <w:rPr>
                          <w:color w:val="000000"/>
                        </w:rPr>
                      </w:pPr>
                      <w:sdt>
                        <w:sdtPr>
                          <w:alias w:val="Numeris"/>
                          <w:tag w:val="nr_d194bd3ba77145748c6f57a9d2435e04"/>
                          <w:lock w:val="sdtLocked"/>
                          <w:richText/>
                        </w:sdtPr>
                        <w:sdtContent>
                          <w:r>
                            <w:rPr>
                              <w:color w:val="000000"/>
                            </w:rPr>
                            <w:t>11.10</w:t>
                          </w:r>
                        </w:sdtContent>
                      </w:sdt>
                      <w:r>
                        <w:rPr>
                          <w:color w:val="000000"/>
                        </w:rPr>
                        <w:t>. „Data“</w:t>
                      </w:r>
                      <w:r>
                        <w:rPr>
                          <w:i/>
                          <w:iCs/>
                          <w:color w:val="000000"/>
                        </w:rPr>
                        <w:t xml:space="preserve"> –</w:t>
                      </w:r>
                      <w:r>
                        <w:rPr>
                          <w:color w:val="000000"/>
                        </w:rPr>
                        <w:t xml:space="preserve"> turi būti rašoma kiekvieno prekių įsigijimo, tiekimo ir / ar sunaudojimo data. Data turi įeiti į ataskaitinį laikotarpį.</w:t>
                      </w:r>
                    </w:p>
                    <w:p>
                      <w:pPr>
                        <w:widowControl w:val="0"/>
                        <w:suppressAutoHyphens/>
                        <w:ind w:firstLine="567"/>
                        <w:jc w:val="both"/>
                        <w:rPr>
                          <w:color w:val="000000"/>
                        </w:rPr>
                      </w:pPr>
                    </w:p>
                  </w:sdtContent>
                </w:sdt>
              </w:sdtContent>
            </w:sdt>
          </w:sdtContent>
        </w:sdt>
        <w:sdt>
          <w:sdtPr>
            <w:alias w:val="skyrius"/>
            <w:tag w:val="part_8682aa5990784c3f9c714a90ed372919"/>
            <w:lock w:val="sdtLocked"/>
            <w:richText/>
          </w:sdtPr>
          <w:sdtContent>
            <w:p>
              <w:pPr>
                <w:widowControl w:val="0"/>
                <w:suppressAutoHyphens/>
                <w:jc w:val="center"/>
                <w:rPr>
                  <w:b/>
                  <w:bCs/>
                  <w:caps/>
                  <w:color w:val="000000"/>
                </w:rPr>
              </w:pPr>
              <w:sdt>
                <w:sdtPr>
                  <w:alias w:val="Numeris"/>
                  <w:tag w:val="nr_8682aa5990784c3f9c714a90ed372919"/>
                  <w:lock w:val="sdtLocked"/>
                  <w:richText/>
                </w:sdtPr>
                <w:sdtContent>
                  <w:r>
                    <w:rPr>
                      <w:b/>
                      <w:bCs/>
                      <w:caps/>
                      <w:color w:val="000000"/>
                    </w:rPr>
                    <w:t>IV</w:t>
                  </w:r>
                </w:sdtContent>
              </w:sdt>
              <w:r>
                <w:rPr>
                  <w:b/>
                  <w:bCs/>
                  <w:caps/>
                  <w:color w:val="000000"/>
                </w:rPr>
                <w:t xml:space="preserve">. </w:t>
              </w:r>
              <w:sdt>
                <w:sdtPr>
                  <w:alias w:val="Pavadinimas"/>
                  <w:tag w:val="title_8682aa5990784c3f9c714a90ed372919"/>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
                <w:tag w:val="part_dad1b3da302543d29a75e197c83c1e86"/>
                <w:lock w:val="sdtLocked"/>
                <w:richText/>
              </w:sdtPr>
              <w:sdtContent>
                <w:p>
                  <w:pPr>
                    <w:widowControl w:val="0"/>
                    <w:suppressAutoHyphens/>
                    <w:ind w:firstLine="567"/>
                    <w:jc w:val="both"/>
                    <w:rPr>
                      <w:color w:val="000000"/>
                    </w:rPr>
                  </w:pPr>
                  <w:sdt>
                    <w:sdtPr>
                      <w:alias w:val="Numeris"/>
                      <w:tag w:val="nr_dad1b3da302543d29a75e197c83c1e86"/>
                      <w:lock w:val="sdtLocked"/>
                      <w:richText/>
                    </w:sdtPr>
                    <w:sdtContent>
                      <w:r>
                        <w:rPr>
                          <w:color w:val="000000"/>
                        </w:rPr>
                        <w:t>12</w:t>
                      </w:r>
                    </w:sdtContent>
                  </w:sdt>
                  <w:r>
                    <w:rPr>
                      <w:color w:val="000000"/>
                    </w:rPr>
                    <w:t>. Jeigu pateikta ataskaita turi būti patikslinta, asmuo turi pateikti naują ataskaitą šiose taisyklėse nustatyta tvarka.</w:t>
                  </w:r>
                </w:p>
              </w:sdtContent>
            </w:sdt>
          </w:sdtContent>
        </w:sdt>
        <w:sdt>
          <w:sdtPr>
            <w:alias w:val="pabaiga"/>
            <w:tag w:val="part_4258ea82f81c4724bd24fb623a1e126f"/>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B4239F1A61F">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2011-04-11,
Žin., 2011, Nr.
45-2140 (2011-04-13), i. k. 1112055ISAK000VA-44            </w:t>
          </w:r>
        </w:p>
        <w:p/>
      </w:sdtContent>
    </w:sdt>
    <w:sdt>
      <w:sdtPr>
        <w:alias w:val="frm."/>
        <w:tag w:val="part_6629590df2fe42fdbfeeb56d30e27bdf"/>
        <w:lock w:val="sdtLocked"/>
        <w:richText/>
      </w:sdtPr>
      <w:sdtContent>
        <w:p>
          <w:pPr>
            <w:rPr>
              <w:rFonts w:eastAsia="Calibri"/>
              <w:bCs/>
              <w:szCs w:val="24"/>
            </w:rPr>
            <w:sectPr>
              <w:headerReference w:type="even" r:id="rId36"/>
              <w:headerReference w:type="default" r:id="rId37"/>
              <w:footerReference w:type="even" r:id="rId38"/>
              <w:footerReference w:type="default" r:id="rId39"/>
              <w:headerReference w:type="first" r:id="rId40"/>
              <w:footerReference w:type="first" r:id="rId41"/>
              <w:pgSz w:w="11906" w:h="16838"/>
              <w:pgMar w:top="1134" w:right="567" w:bottom="1134" w:left="1701" w:header="567" w:footer="567" w:gutter="0"/>
              <w:cols w:space="1296"/>
              <w:titlePg/>
              <w:docGrid w:linePitch="360"/>
            </w:sectPr>
          </w:pPr>
        </w:p>
        <w:p>
          <w:pPr>
            <w:ind w:firstLine="7088"/>
            <w:jc w:val="both"/>
            <w:rPr>
              <w:szCs w:val="24"/>
            </w:rPr>
          </w:pPr>
          <w:r>
            <w:rPr>
              <w:szCs w:val="24"/>
            </w:rPr>
            <w:t>FR0801 forma patvirtinta</w:t>
          </w:r>
        </w:p>
        <w:p>
          <w:pPr>
            <w:ind w:firstLine="7088"/>
            <w:jc w:val="both"/>
            <w:rPr>
              <w:szCs w:val="24"/>
            </w:rPr>
          </w:pPr>
          <w:r>
            <w:rPr>
              <w:szCs w:val="24"/>
            </w:rPr>
            <w:t>Valstybinės mokesčių inspekcijos prie Lietuvos Respublikos finansų</w:t>
          </w:r>
        </w:p>
        <w:p>
          <w:pPr>
            <w:ind w:firstLine="7088"/>
            <w:jc w:val="both"/>
            <w:rPr>
              <w:szCs w:val="24"/>
            </w:rPr>
          </w:pPr>
          <w:r>
            <w:rPr>
              <w:szCs w:val="24"/>
            </w:rPr>
            <w:t>ministerijos viršininko 2005 m. vasario 3 d. įsakymu Nr. VA-16</w:t>
          </w:r>
        </w:p>
        <w:p>
          <w:pPr>
            <w:tabs>
              <w:tab w:val="left" w:pos="7254"/>
            </w:tabs>
            <w:ind w:firstLine="7088"/>
            <w:rPr>
              <w:color w:val="000000"/>
              <w:szCs w:val="24"/>
              <w:lang w:eastAsia="lt-LT"/>
            </w:rPr>
          </w:pPr>
          <w:r>
            <w:rPr>
              <w:rFonts w:eastAsia="Calibri"/>
              <w:szCs w:val="24"/>
            </w:rPr>
            <w:t>(</w:t>
          </w:r>
          <w:r>
            <w:rPr>
              <w:color w:val="000000"/>
              <w:szCs w:val="24"/>
              <w:lang w:eastAsia="lt-LT"/>
            </w:rPr>
            <w:t xml:space="preserve">Valstybinės mokesčių inspekcijos prie Lietuvos Respublikos finansų </w:t>
          </w:r>
        </w:p>
        <w:p>
          <w:pPr>
            <w:tabs>
              <w:tab w:val="left" w:pos="7254"/>
            </w:tabs>
            <w:ind w:firstLine="7088"/>
            <w:rPr>
              <w:rFonts w:ascii="Calibri" w:eastAsia="Calibri" w:hAnsi="Calibri"/>
              <w:sz w:val="22"/>
              <w:szCs w:val="22"/>
            </w:rPr>
          </w:pPr>
          <w:r>
            <w:rPr>
              <w:color w:val="000000"/>
              <w:szCs w:val="24"/>
              <w:lang w:eastAsia="lt-LT"/>
            </w:rPr>
            <w:t>ministerijos viršininko 2015 m.</w:t>
          </w:r>
          <w:r>
            <w:rPr>
              <w:szCs w:val="24"/>
              <w:lang w:eastAsia="lt-LT"/>
            </w:rPr>
            <w:t xml:space="preserve"> spalio 28 d. įsakymo Nr. VA-87 redakcija)</w:t>
          </w:r>
        </w:p>
        <w:p>
          <w:pPr>
            <w:jc w:val="center"/>
            <w:rPr>
              <w:rFonts w:eastAsia="Calibri"/>
              <w:b/>
              <w:szCs w:val="24"/>
            </w:rPr>
          </w:pPr>
        </w:p>
        <w:p>
          <w:pPr>
            <w:jc w:val="center"/>
            <w:rPr>
              <w:rFonts w:eastAsia="Calibri"/>
              <w:b/>
              <w:szCs w:val="24"/>
            </w:rPr>
          </w:pPr>
        </w:p>
        <w:sdt>
          <w:sdtPr>
            <w:alias w:val="Pavadinimas"/>
            <w:tag w:val="title_6629590df2fe42fdbfeeb56d30e27bdf"/>
            <w:lock w:val="sdtLocked"/>
            <w:richText/>
          </w:sdtPr>
          <w:sdtContent>
            <w:p>
              <w:pPr>
                <w:jc w:val="center"/>
                <w:rPr>
                  <w:rFonts w:eastAsia="Calibri"/>
                  <w:b/>
                  <w:szCs w:val="24"/>
                </w:rPr>
              </w:pPr>
              <w:r>
                <w:rPr>
                  <w:rFonts w:eastAsia="Calibri"/>
                  <w:b/>
                  <w:szCs w:val="24"/>
                </w:rPr>
                <w:t>AKCIZAIS APMOKESTINAMŲ PREKIŲ, KURIOMS TAIKOMOS AKCIZŲ LENGVATOS, APYVARTOS ATASKAITA</w:t>
              </w:r>
            </w:p>
          </w:sdtContent>
        </w:sdt>
        <w:p>
          <w:pPr>
            <w:rPr>
              <w:rFonts w:eastAsia="Calibri"/>
              <w:szCs w:val="24"/>
            </w:rPr>
          </w:pPr>
        </w:p>
        <w:p>
          <w:pPr>
            <w:jc w:val="both"/>
            <w:rPr>
              <w:rFonts w:eastAsia="Calibri"/>
              <w:b/>
              <w:szCs w:val="24"/>
            </w:rPr>
          </w:pPr>
          <w:r>
            <w:rPr>
              <w:rFonts w:eastAsia="Calibri"/>
              <w:b/>
              <w:szCs w:val="24"/>
            </w:rPr>
            <w:t>I. Leidimų ir laikotarpių sąrašas:</w:t>
          </w:r>
        </w:p>
        <w:p>
          <w:pPr>
            <w:jc w:val="center"/>
            <w:rPr>
              <w:rFonts w:eastAsia="Calibri"/>
              <w:szCs w:val="24"/>
            </w:rPr>
          </w:pPr>
        </w:p>
        <w:tbl>
          <w:tblPr>
            <w:tblW w:w="5000" w:type="pct"/>
            <w:tblCellMar>
              <w:left w:w="40" w:type="dxa"/>
              <w:right w:w="40" w:type="dxa"/>
            </w:tblCellMar>
            <w:tblLook w:val="0000" w:firstRow="0" w:lastRow="0" w:firstColumn="0" w:lastColumn="0" w:noHBand="0" w:noVBand="0"/>
          </w:tblPr>
          <w:tblGrid>
            <w:gridCol w:w="5327"/>
            <w:gridCol w:w="4565"/>
            <w:gridCol w:w="4759"/>
          </w:tblGrid>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Leidimo (-ų) Nr.</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„nuo“</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„iki“</w:t>
                </w:r>
              </w:p>
            </w:tc>
          </w:tr>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rPr>
              <w:rFonts w:eastAsia="Calibri"/>
              <w:szCs w:val="24"/>
            </w:rPr>
          </w:pPr>
        </w:p>
        <w:p>
          <w:pPr>
            <w:jc w:val="both"/>
            <w:rPr>
              <w:rFonts w:eastAsia="Calibri"/>
              <w:b/>
              <w:szCs w:val="24"/>
            </w:rPr>
          </w:pPr>
          <w:r>
            <w:rPr>
              <w:rFonts w:eastAsia="Calibri"/>
              <w:b/>
              <w:szCs w:val="24"/>
            </w:rPr>
            <w:t>II. Duomenys</w:t>
          </w:r>
        </w:p>
        <w:p>
          <w:pPr>
            <w:jc w:val="both"/>
            <w:rPr>
              <w:rFonts w:eastAsia="Calibri"/>
              <w:szCs w:val="24"/>
            </w:rPr>
          </w:pPr>
        </w:p>
        <w:tbl>
          <w:tblPr>
            <w:tblW w:w="5000" w:type="pct"/>
            <w:tblCellMar>
              <w:left w:w="40" w:type="dxa"/>
              <w:right w:w="40" w:type="dxa"/>
            </w:tblCellMar>
            <w:tblLook w:val="0000" w:firstRow="0" w:lastRow="0" w:firstColumn="0" w:lastColumn="0" w:noHBand="0" w:noVBand="0"/>
          </w:tblPr>
          <w:tblGrid>
            <w:gridCol w:w="3719"/>
            <w:gridCol w:w="1516"/>
            <w:gridCol w:w="1123"/>
            <w:gridCol w:w="1058"/>
            <w:gridCol w:w="1556"/>
            <w:gridCol w:w="1154"/>
            <w:gridCol w:w="1322"/>
            <w:gridCol w:w="1316"/>
            <w:gridCol w:w="756"/>
            <w:gridCol w:w="1131"/>
          </w:tblGrid>
          <w:tr>
            <w:tc>
              <w:tcPr>
                <w:tcW w:w="126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Leidimo (-ų) Nr.</w:t>
                </w:r>
              </w:p>
            </w:tc>
            <w:tc>
              <w:tcPr>
                <w:tcW w:w="517"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Mokesčių mokėtojo kodas</w:t>
                </w:r>
              </w:p>
            </w:tc>
            <w:tc>
              <w:tcPr>
                <w:tcW w:w="383"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Veiksmas</w:t>
                </w:r>
              </w:p>
            </w:tc>
            <w:tc>
              <w:tcPr>
                <w:tcW w:w="36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tipas</w:t>
                </w:r>
              </w:p>
            </w:tc>
            <w:tc>
              <w:tcPr>
                <w:tcW w:w="53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 xml:space="preserve">Dalyvio </w:t>
                </w:r>
              </w:p>
              <w:p>
                <w:pPr>
                  <w:jc w:val="center"/>
                  <w:rPr>
                    <w:rFonts w:eastAsia="Calibri"/>
                    <w:szCs w:val="24"/>
                  </w:rPr>
                </w:pPr>
                <w:r>
                  <w:rPr>
                    <w:rFonts w:eastAsia="Calibri"/>
                    <w:szCs w:val="24"/>
                  </w:rPr>
                  <w:t>numeris</w:t>
                </w:r>
              </w:p>
            </w:tc>
            <w:tc>
              <w:tcPr>
                <w:tcW w:w="394"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kodas</w:t>
                </w:r>
              </w:p>
            </w:tc>
            <w:tc>
              <w:tcPr>
                <w:tcW w:w="45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Tarifinė grupė</w:t>
                </w:r>
              </w:p>
            </w:tc>
            <w:tc>
              <w:tcPr>
                <w:tcW w:w="44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KN</w:t>
                </w:r>
              </w:p>
            </w:tc>
            <w:tc>
              <w:tcPr>
                <w:tcW w:w="258"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Kiekis</w:t>
                </w:r>
              </w:p>
            </w:tc>
            <w:tc>
              <w:tcPr>
                <w:tcW w:w="386"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Data</w:t>
                </w:r>
              </w:p>
            </w:tc>
          </w:tr>
          <w:tr>
            <w:tc>
              <w:tcPr>
                <w:tcW w:w="126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517"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383"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c>
              <w:tcPr>
                <w:tcW w:w="36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4</w:t>
                </w:r>
              </w:p>
            </w:tc>
            <w:tc>
              <w:tcPr>
                <w:tcW w:w="53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5</w:t>
                </w:r>
              </w:p>
            </w:tc>
            <w:tc>
              <w:tcPr>
                <w:tcW w:w="39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6</w:t>
                </w:r>
              </w:p>
            </w:tc>
            <w:tc>
              <w:tcPr>
                <w:tcW w:w="45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7</w:t>
                </w:r>
              </w:p>
            </w:tc>
            <w:tc>
              <w:tcPr>
                <w:tcW w:w="44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8</w:t>
                </w:r>
              </w:p>
            </w:tc>
            <w:tc>
              <w:tcPr>
                <w:tcW w:w="2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9</w:t>
                </w:r>
              </w:p>
            </w:tc>
            <w:tc>
              <w:tcPr>
                <w:tcW w:w="386"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10</w:t>
                </w: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jc w:val="center"/>
          </w:pPr>
          <w:r>
            <w:rPr>
              <w:rFonts w:eastAsia="Calibri"/>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4239F1A61F">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2011-04-11,
Žin., 2011, Nr.
45-2140 (2011-04-13), i. k. 1112055ISAK000VA-44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AFB19104B46">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2011-11-28,
Žin., 2011, Nr.
148-6976 (2011-12-03), i. k. 1112055ISAK00VA-124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9544607d5111e5b7eba10a9b5a9c5f">
            <w:r w:rsidRPr="00532B9F">
              <w:rPr>
                <w:rFonts w:ascii="Times New Roman" w:eastAsia="MS Mincho" w:hAnsi="Times New Roman"/>
                <w:sz w:val="20"/>
                <w:iCs/>
                <w:color w:val="0000FF" w:themeColor="hyperlink"/>
                <w:u w:val="single"/>
              </w:rPr>
              <w:t>VA-87</w:t>
            </w:r>
          </w:fldSimple>
          <w:r>
            <w:rPr>
              <w:rFonts w:ascii="Times New Roman" w:eastAsia="MS Mincho" w:hAnsi="Times New Roman"/>
              <w:sz w:val="20"/>
              <w:iCs/>
            </w:rPr>
            <w:t>,
2015-10-28,
paskelbta TAR 2015-10-28, i. k. 2015-16993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8F5F8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25F6238212DF"/>
  <Relationship Id="rId11" Type="http://schemas.openxmlformats.org/officeDocument/2006/relationships/hyperlink" TargetMode="External" Target="https://www.e-tar.lt/portal/lt/legalAct/TAR.27E702D5683B"/>
  <Relationship Id="rId12" Type="http://schemas.openxmlformats.org/officeDocument/2006/relationships/hyperlink" TargetMode="External" Target="https://www.e-tar.lt/portal/lt/legalAct/TAR.2CD0843B0DEA"/>
  <Relationship Id="rId13" Type="http://schemas.openxmlformats.org/officeDocument/2006/relationships/hyperlink" TargetMode="External" Target="https://www.e-tar.lt/portal/lt/legalAct/TAR.2D46D3F778CA"/>
  <Relationship Id="rId14" Type="http://schemas.openxmlformats.org/officeDocument/2006/relationships/hyperlink" TargetMode="External" Target="https://www.e-tar.lt/portal/lt/legalAct/TAR.35CBF5EE2700"/>
  <Relationship Id="rId15" Type="http://schemas.openxmlformats.org/officeDocument/2006/relationships/hyperlink" TargetMode="External" Target="https://www.e-tar.lt/portal/lt/legalAct/TAR.3E241D899883"/>
  <Relationship Id="rId16" Type="http://schemas.openxmlformats.org/officeDocument/2006/relationships/hyperlink" TargetMode="External" Target="https://www.e-tar.lt/portal/lt/legalAct/TAR.483A0EF1DEA0"/>
  <Relationship Id="rId17" Type="http://schemas.openxmlformats.org/officeDocument/2006/relationships/hyperlink" TargetMode="External" Target="https://www.e-tar.lt/portal/lt/legalAct/TAR.53167F63DDF1"/>
  <Relationship Id="rId18" Type="http://schemas.openxmlformats.org/officeDocument/2006/relationships/hyperlink" TargetMode="External" Target="https://www.e-tar.lt/portal/lt/legalAct/TAR.68EFCF8EC64B"/>
  <Relationship Id="rId19" Type="http://schemas.openxmlformats.org/officeDocument/2006/relationships/hyperlink" TargetMode="External" Target="https://www.e-tar.lt/portal/lt/legalAct/TAR.6D286D552B14"/>
  <Relationship Id="rId2" Type="http://schemas.openxmlformats.org/officeDocument/2006/relationships/endnotes" Target="endnotes.xml"/>
  <Relationship Id="rId20" Type="http://schemas.openxmlformats.org/officeDocument/2006/relationships/hyperlink" TargetMode="External" Target="https://www.e-tar.lt/portal/lt/legalAct/TAR.70A6237392E5"/>
  <Relationship Id="rId21" Type="http://schemas.openxmlformats.org/officeDocument/2006/relationships/hyperlink" TargetMode="External" Target="https://www.e-tar.lt/portal/lt/legalAct/TAR.7E421A12D76D"/>
  <Relationship Id="rId22" Type="http://schemas.openxmlformats.org/officeDocument/2006/relationships/hyperlink" TargetMode="External" Target="https://www.e-tar.lt/portal/lt/legalAct/TAR.850DFAA9B486"/>
  <Relationship Id="rId23" Type="http://schemas.openxmlformats.org/officeDocument/2006/relationships/hyperlink" TargetMode="External" Target="https://www.e-tar.lt/portal/lt/legalAct/TAR.9D6D4D4A890A"/>
  <Relationship Id="rId24" Type="http://schemas.openxmlformats.org/officeDocument/2006/relationships/hyperlink" TargetMode="External" Target="https://www.e-tar.lt/portal/lt/legalAct/TAR.B9E1D301256F"/>
  <Relationship Id="rId25" Type="http://schemas.openxmlformats.org/officeDocument/2006/relationships/hyperlink" TargetMode="External" Target="https://www.e-tar.lt/portal/lt/legalAct/TAR.D75E99E6D5E7"/>
  <Relationship Id="rId26" Type="http://schemas.openxmlformats.org/officeDocument/2006/relationships/hyperlink" TargetMode="External" Target="https://www.e-tar.lt/portal/lt/legalAct/TAR.DCC92960BAE1"/>
  <Relationship Id="rId27" Type="http://schemas.openxmlformats.org/officeDocument/2006/relationships/hyperlink" TargetMode="External" Target="https://www.e-tar.lt/portal/lt/legalAct/TAR.DD751549E569"/>
  <Relationship Id="rId28" Type="http://schemas.openxmlformats.org/officeDocument/2006/relationships/hyperlink" TargetMode="External" Target="https://www.e-tar.lt/portal/lt/legalAct/TAR.EBCDA2D15324"/>
  <Relationship Id="rId29" Type="http://schemas.openxmlformats.org/officeDocument/2006/relationships/hyperlink" TargetMode="External" Target="https://www.e-tar.lt/portal/lt/legalAct/TAR.F318D44953E8"/>
  <Relationship Id="rId3" Type="http://schemas.openxmlformats.org/officeDocument/2006/relationships/fontTable" Target="fontTable.xml"/>
  <Relationship Id="rId30" Type="http://schemas.openxmlformats.org/officeDocument/2006/relationships/image" Target="media/image1.wmf"/>
  <Relationship Id="rId31" Type="http://schemas.openxmlformats.org/officeDocument/2006/relationships/settings" Target="settings.xml"/>
  <Relationship Id="rId32" Type="http://schemas.openxmlformats.org/officeDocument/2006/relationships/styles" Target="styles.xml"/>
  <Relationship Id="rId33" Type="http://schemas.microsoft.com/office/2007/relationships/stylesWithEffects" Target="stylesWithEffects.xml"/>
  <Relationship Id="rId34" Type="http://schemas.openxmlformats.org/officeDocument/2006/relationships/theme" Target="theme/theme1.xml"/>
  <Relationship Id="rId35" Type="http://schemas.openxmlformats.org/officeDocument/2006/relationships/webSettings" Target="webSettings.xml"/>
  <Relationship Id="rId36" Type="http://schemas.openxmlformats.org/officeDocument/2006/relationships/header" Target="header1.xml"/>
  <Relationship Id="rId37" Type="http://schemas.openxmlformats.org/officeDocument/2006/relationships/header" Target="header2.xml"/>
  <Relationship Id="rId38" Type="http://schemas.openxmlformats.org/officeDocument/2006/relationships/footer" Target="footer1.xml"/>
  <Relationship Id="rId39" Type="http://schemas.openxmlformats.org/officeDocument/2006/relationships/footer" Target="footer2.xml"/>
  <Relationship Id="rId4" Type="http://schemas.openxmlformats.org/officeDocument/2006/relationships/footnotes" Target="footnotes.xml"/>
  <Relationship Id="rId40" Type="http://schemas.openxmlformats.org/officeDocument/2006/relationships/header" Target="header3.xml"/>
  <Relationship Id="rId41" Type="http://schemas.openxmlformats.org/officeDocument/2006/relationships/footer" Target="footer3.xml"/>
  <Relationship Id="rId42" Type="http://schemas.openxmlformats.org/officeDocument/2006/relationships/customXml" Target="../customXml/item1.xml"/>
  <Relationship Id="rId5" Type="http://schemas.openxmlformats.org/officeDocument/2006/relationships/hyperlink" TargetMode="External" Target="https://www.e-tar.lt/portal/lt/legalAct/TAR.071D947F3B45"/>
  <Relationship Id="rId6" Type="http://schemas.openxmlformats.org/officeDocument/2006/relationships/hyperlink" TargetMode="External" Target="https://www.e-tar.lt/portal/lt/legalAct/TAR.077276F69388"/>
  <Relationship Id="rId7" Type="http://schemas.openxmlformats.org/officeDocument/2006/relationships/hyperlink" TargetMode="External" Target="https://www.e-tar.lt/portal/lt/legalAct/TAR.0888A117A5AE"/>
  <Relationship Id="rId8" Type="http://schemas.openxmlformats.org/officeDocument/2006/relationships/hyperlink" TargetMode="External" Target="https://www.e-tar.lt/portal/lt/legalAct/TAR.15E6F82FEC4E"/>
  <Relationship Id="rId9" Type="http://schemas.openxmlformats.org/officeDocument/2006/relationships/hyperlink" TargetMode="External" Target="https://www.e-tar.lt/portal/lt/legalAct/TAR.20C8EA7B52FD"/>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DĖL AKCIZAIS APMOKESTINAMŲ PREKIŲ, KURIOMS TAIKOMOS AKCIZŲ LENGVATOS, APYVARTOS ATASKAITOS PATEIKIMO TAISYKLIŲ PATVIRTINIMO" DocPartId="eb8b7e2c64bf4dc8be169783c0ffad9d" PartId="abd6976fee924a3b978d90019fa1b0e2">
    <Part Type="preambule" Nr="" Title="" DocPartId="bf76f495426348eebe3bf83547d1923a" PartId="0a9f89a1b17441ef86beb296a673dd5f">
      <Part Type="punktas" Nr="1" Abbr="1 p." DocPartId="f18b6ba1e15b4d66866b5abb831efaf9" PartId="d9fa70fdf0ad45de932549993ddb9cd4">
        <Part Type="punktas" Nr="1.1" Abbr="1.1 p." DocPartId="747fa146b6694914827ef9c0cdd7d603" PartId="c67be3b61345476ab162f7f4bf75cba9"/>
        <Part Type="punktas" Nr="1.2" Abbr="1.2 p." DocPartId="0a6323a7ca224fb2a209e835020e7602" PartId="e97c3a4d73a04c64a522a942346385c4"/>
      </Part>
      <Part Type="punktas" Nr="2" Abbr="2 p." DocPartId="b0f8bd15aedf46a687968fae53f50a24" PartId="04e39e3209e54e0693672444388d9d19"/>
    </Part>
    <Part Type="signatura" DocPartId="5e58cc6b7f8145ce8c991736dedd1b57" PartId="dce9fd6d4dcd427a811837854930b58f"/>
  </Part>
  <Part Type="patvirtinta" Title="AKCIZAIS APMOKESTINAMŲ PREKIŲ, KURIOMS TAIKOMOS AKCIZŲ LENGVATOS, APYVARTOS ATASKAITŲ PATEIKIMO TAISYKLĖS" DocPartId="02f643cff1434e36a4c3444901ecde89" PartId="6060a285e64b40fb8a2ddc04f2207435">
    <Part Type="skyrius" Nr="1" Title="BENDROSIOS NUOSTATOS" DocPartId="05a5e64ac10a4d5e9d7764d8a9b468a7" PartId="60a294f5970440bb9ab33d3448d77f45">
      <Part Type="punktas" Nr="1" Abbr="1 p." DocPartId="e95ac13463484f52bed1a50791ddf5a4" PartId="c4d8ab040a2d4cc5ae7df59d8ad6b734"/>
      <Part Type="punktas" Nr="2" Abbr="2 p." DocPartId="cc2e548818a24757bbc830027cecc747" PartId="19a62dd7b7e74ee9899561cf857f0787"/>
      <Part Type="punktas" Nr="3" Abbr="3 p." DocPartId="bce6ef98bbee4083b6b45ce8be647464" PartId="1d31055c60394493a5453e2a94859256"/>
      <Part Type="punktas" Nr="4" Abbr="4 p." DocPartId="bad133f68e7f427d9521a3400a00ab95" PartId="dbcc8240492943329b8f7b2f9cdb31f8">
        <Part Type="punktas" Nr="4.1" Abbr="4.1 p." DocPartId="11e537cb094c43cebf6800eb29d74a9d" PartId="45069ae5736346e0af0bdc895577d178"/>
        <Part Type="punktas" Nr="4.2" Abbr="4.2 p." DocPartId="82f0dfb76b9440ab97092910f844b626" PartId="c7a559022c604d49869f8a73b65f07de"/>
        <Part Type="punktas" Nr="4.3" Abbr="4.3 p." DocPartId="d2715b4c438142e8b70564a7cf8a978c" PartId="6146a71adfe94394a004afce2d1a6977"/>
        <Part Type="punktas" Nr="4.4" Abbr="4.4 p." DocPartId="04d7283e65704134b79ddfcfa0be013f" PartId="33289ca5967b4a83967e3b217ae7a21f"/>
      </Part>
    </Part>
    <Part Type="skyrius" Nr="2" Title="ATASKAITOS PATEIKIMAS" DocPartId="d82b662ebef44ce090aeb57578ef5e74" PartId="a5fa79bfd0d44d418bc0ab363d096dea">
      <Part Type="punktas" Nr="5" Abbr="5 p." DocPartId="8a5b9b6e33a34714a8776c1e1054bb10" PartId="35f2094e57ce449e8a067e79b9466f08"/>
      <Part Type="punktas" Nr="6" Abbr="6 p." DocPartId="585c28069b1d46989dd17a1430051086" PartId="50a7062f9305422a931c39d0de9e2b03">
        <Part Type="punktas" Nr="6.1" Abbr="6.1 p." DocPartId="0fd82d2be9dc4f19bd0b92f7d7eca7b5" PartId="a8da1c0e5f7741adb78725d75b6a4370"/>
        <Part Type="punktas" Nr="6.2" Abbr="6.2 p." DocPartId="5cd713e10b1e4110858cb53857c70c79" PartId="a3350ad28a38415a850384eee4ac810e"/>
        <Part Type="punktas" Nr="6.3" Abbr="6.3 p." DocPartId="8fb8f4a15c414b9cbae1ec5e001f4e88" PartId="f696bca631034b3db8f0dba487afaa07"/>
        <Part Type="punktas" Nr="6.4" Abbr="6.4 p." DocPartId="b6b4c8b1e1104ff0911223526da80a3b" PartId="6d6fb69eb23a4ad089425cc0c0c6af9a"/>
        <Part Type="punktas" Nr="6.5" Abbr="6.5 p." DocPartId="4a6a127ed2d1419ca02221a48b19eeec" PartId="d83a4997d0734894a216670a1f40fed1"/>
        <Part Type="punktas" Nr="6.6" Abbr="6.6 p." DocPartId="a4ebc1ad60c24a1eb649ea77f76d61d2" PartId="f52f85f6075d410394dbf28b19cf43dc"/>
        <Part Type="punktas" Nr="6.7" Abbr="6.7 p." DocPartId="c0b5ab9305c54da2a08d70ca5e41174a" PartId="2b06e9f253934b11846034147c530a90"/>
        <Part Type="punktas" Nr="6.8" Abbr="6.8 p." DocPartId="172865db81994f8ea0ac95d1521234c6" PartId="a67c56479050471eaf019e78467122e7"/>
        <Part Type="punktas" Nr="6.9" Abbr="6.9 p." DocPartId="64181c7bcb0a4250aae61d0fedc06375" PartId="98919a55b16a4736babc751359c810e4"/>
        <Part Type="punktas" Nr="6.10" Abbr="6.10 p." DocPartId="d4adcbb00fdb418eb8560f8adc4fa2b8" PartId="af9ca1253bbf4e19bf287850663a219f"/>
        <Part Type="punktas" Nr="6.11" Abbr="6.11 p." DocPartId="9584f626584a4e39a7d9daed88efd9f7" PartId="5f4c340a57a14acda9e2da927b01626f"/>
      </Part>
      <Part Type="punktas" Nr="7" Abbr="7 p." DocPartId="0072e37afe774b758983fd39573e4aad" PartId="e9ae3299888b4cb6b88351a9adb5d6cd"/>
      <Part Type="punktas" Nr="8" Abbr="8 p." DocPartId="23f2db27cabe49c89b1d85714a567fef" PartId="51aee24b795949a19ac4f38c83221a36"/>
    </Part>
    <Part Type="skyrius" Nr="3" Title="ATASKAITOS PILDYMAS" DocPartId="d89a93cbd70746ca9e5654da29b110ae" PartId="7e70cf7c4ee94452b8825aea40590690">
      <Part Type="punktas" Nr="9" Abbr="9 p." DocPartId="4a3a736c149849da851b0ec71de0e468" PartId="a843ea2c85814032a1796503f5707fad"/>
      <Part Type="punktas" Nr="10" Abbr="10 p." DocPartId="0fd31d59621e4b3485493682f66f47d0" PartId="1b075f0e53b840a0b3b5267d74d5bc7f">
        <Part Type="punktas" Nr="10.1" Abbr="10.1 p." DocPartId="136e4af20b2e40e5a0d64bdc6ca060be" PartId="69abb544a81b4381b4040e4ce306bb5e"/>
        <Part Type="punktas" Nr="10.2" Abbr="10.2 p." DocPartId="0b6cb20e0afc41a7bd5adf51dcc20bfa" PartId="e5e2baea38ed4a768df7a50957f7b3f8"/>
        <Part Type="punktas" Nr="10.3" Abbr="10.3 p." DocPartId="3144d3e129764d31a31a5915fb6f838a" PartId="6798f5e0ff8f45c989ee1aca463fee88"/>
      </Part>
      <Part Type="punktas" Nr="11" Abbr="11 p." DocPartId="ddcab9c6f8544fdf8af88f4eb7c10e6a" PartId="7ea3b8ab38bb4570b04ee94d6c4164f4">
        <Part Type="punktas" Nr="11.1" Abbr="11.1 p." DocPartId="0117d04a9a7d4c88a7b414fc3b3115a0" PartId="d3458f179c5941f3926ac4dbef88cee1"/>
        <Part Type="punktas" Nr="11.2" Abbr="11.2 p." DocPartId="2d2d4c1e20664cadbc27654c6affdde5" PartId="3fb0b860c37e405db24c546314cbf097"/>
        <Part Type="punktas" Nr="11.3" Abbr="11.3 p." DocPartId="02861fe3e71f41dcab054533d8b27eff" PartId="c739deb9d7984ff4a4f8b6585fd3e5c6">
          <Part Type="punktas" Nr="11.3.1" Abbr="11.3.1 p." DocPartId="eaea6966a50b4d82bae145bf0ca27da2" PartId="80b676d858e349588db69b877a6bd7cf"/>
          <Part Type="punktas" Nr="11.3.2" Abbr="11.3.2 p." DocPartId="fff5b5e2259a4f168a6f12bb33752c66" PartId="90f8657a81654b76882085af3e558268"/>
          <Part Type="punktas" Nr="11.3.3" Abbr="11.3.3 p." DocPartId="facc50e7a9f849d7a12c06ab08ebe445" PartId="295be0a175654ffb8b8adffd3e6e0298"/>
          <Part Type="punktas" Nr="11.3.4" Abbr="11.3.4 p." DocPartId="c558b7fa4c354f1b82af5fb3e0882efe" PartId="9d1ec668c5d042bc9605ef34d823c57d"/>
          <Part Type="punktas" Nr="11.3.5" Abbr="11.3.5 p." DocPartId="7a04fb7b1b214d38b7883e07c36b3753" PartId="8ae31213511f4132a73b26da6fff3b09"/>
        </Part>
        <Part Type="punktas" Nr="11.4" Abbr="11.4 p." DocPartId="54666647c5d2422b8c30ef86cee18133" PartId="6a67d589f8564a0a9566fd3d7071eff9">
          <Part Type="punktas" Nr="11.4.1" Abbr="11.4.1 p." DocPartId="26163830c7e94b70b535deda46ae69d7" PartId="fd0547b2a965406f8ac8247a76665db8"/>
          <Part Type="punktas" Nr="11.4.2" Abbr="11.4.2 p." DocPartId="d6639855d81a40dda33d143da84d646e" PartId="8edd77e7d82341b780a08ce9d28c54a3"/>
          <Part Type="punktas" Nr="11.4.3" Abbr="11.4.3 p." DocPartId="ffc81a6927e54eac8678ad1c6233db2d" PartId="599f911f7bae4cd4894570de7bfc63fa"/>
          <Part Type="punktas" Nr="11.4.4" Abbr="11.4.4 p." DocPartId="7c3302e5ac984403b8ae4b6423e378fd" PartId="5348cdd49e534db1af1027314adcb4c1"/>
          <Part Type="punktas" Nr="11.4.5" Abbr="11.4.5 p." DocPartId="6dcdd8e0f7fb4f418ec0de12de80dbc4" PartId="a57a6dd2086f4790b9d5fecd11fdc10b"/>
          <Part Type="punktas" Nr="11.4.6" Abbr="11.4.6 p." DocPartId="e251d8a452074bd6bd565966a5579156" PartId="c8499c0afcc94241b8008f41f386cf85"/>
          <Part Type="punktas" Nr="11.4.7" Abbr="11.4.7 p." DocPartId="0d54903f32e64d419f79fd0956840d96" PartId="7a416952437c47bdaaffcdfd52df48c1"/>
        </Part>
        <Part Type="punktas" Nr="11.5" Abbr="11.5 p." DocPartId="cb04570b13f847af87154e365285850e" PartId="17e92a83579c4be292abe23df09e87f6">
          <Part Type="punktas" Nr="11.5.1" Abbr="11.5.1 p." DocPartId="1e86701988e542d3bab924fcc3e142b9" PartId="03d75129b6d04fc88482a8484e6296bc">
            <Part Type="punktas" Nr="11.5.1.1" Abbr="11.5.1.1 p." DocPartId="1be4e96f8d4c4d28851928aa04ad64e6" PartId="77ae80976f04488a9b1fa69164f91fc7"/>
            <Part Type="punktas" Nr="11.5.1.2" Abbr="11.5.1.2 p." DocPartId="77c760b03592413c879479ed8ada962b" PartId="ad46c03474744ec0806497a90430fe11"/>
            <Part Type="punktas" Nr="11.5.1.3" Abbr="11.5.1.3 p." DocPartId="18a891caafe74b6e8056193fcbf2db9b" PartId="9043de82d0924b7b9309c17f1ab42db8"/>
            <Part Type="punktas" Nr="11.5.1.4" Abbr="11.5.1.4 p." DocPartId="1aaf12c7d0054ca0afa756faa1267b9f" PartId="4d47a3b0e43d4e4c81ef2cef7276977c"/>
            <Part Type="punktas" Nr="11.5.1.5" Abbr="11.5.1.5 p." DocPartId="1bcefbd51151431682c4310163a7e8a1" PartId="d91dd6208e3b4b21bff5fa1943bb194a"/>
          </Part>
          <Part Type="punktas" Nr="11.5.2" Abbr="11.5.2 p." DocPartId="f9a7651c7a144af3a32cb620203ef542" PartId="b62a5c6f4d384b91a7849c79b5806529"/>
          <Part Type="punktas" Nr="11.5.3" Abbr="11.5.3 p." DocPartId="a16e36b968a74a35831dd87feffe1cb8" PartId="a522990bbe2a4f0ca3986ce1cad11119"/>
        </Part>
        <Part Type="punktas" Nr="11.6" Abbr="11.6 p." DocPartId="23ea1f05125a4b9880828873d09f3fa2" PartId="b4f031d0074a4ef08d5e9eb40f6b7d92">
          <Part Type="punktas" Nr="11.6.1" Abbr="11.6.1 p." DocPartId="c1db7950fb174043a73a3ebfc520106d" PartId="18b9cac08ec8465da98bca9c02f12410"/>
          <Part Type="punktas" Nr="11.6.2" Abbr="11.6.2 p." DocPartId="65e1ec73b6a1425b9bd5b4e86b051b12" PartId="9823213ccfa042b9be597c68dc2c3379"/>
        </Part>
        <Part Type="punktas" Nr="11.7" Abbr="11.7 p." DocPartId="72084e228ffb4ad7963cf282874d7b2f" PartId="aeb8e85409aa4b7f812db32afe7af180"/>
        <Part Type="punktas" Nr="11.8" Abbr="11.8 p." DocPartId="64beaeb4767e4764b0c757ec12a7fe87" PartId="4d34164de22847f0be0bf74cf130ad57"/>
        <Part Type="punktas" Nr="11.9" Abbr="11.9 p." DocPartId="57787164ed7841baaad2e83d7d36378f" PartId="e7e3e3a0599645a4962c2487b3099125"/>
        <Part Type="punktas" Nr="11.10" Abbr="11.10 p." DocPartId="3fb316ff73ba4b739e0d0e8c096b6409" PartId="d194bd3ba77145748c6f57a9d2435e04"/>
      </Part>
    </Part>
    <Part Type="skyrius" Nr="4" Title="BAIGIAMOSIOS NUOSTATOS" DocPartId="68c19372aa9d42a78144a887db83a7db" PartId="8682aa5990784c3f9c714a90ed372919">
      <Part Type="punktas" Nr="12" Abbr="12 p." DocPartId="c2e20d9f04854c85bf028813695b592c" PartId="dad1b3da302543d29a75e197c83c1e86"/>
    </Part>
    <Part Type="pabaiga" DocPartId="8791972c5bcd4515bd169e4599f6f028" PartId="4258ea82f81c4724bd24fb623a1e126f"/>
  </Part>
  <Part Type="forma" Nr="" Abbr="frm." Title="AKCIZAIS APMOKESTINAMŲ PREKIŲ, KURIOMS TAIKOMOS AKCIZŲ LENGVATOS, APYVARTOS ATASKAITA" DocPartId="501c6509cd5a4678a42aefe26e7e0857" PartId="6629590df2fe42fdbfeeb56d30e27bdf"/>
</Parts>
</file>

<file path=customXml/itemProps1.xml><?xml version="1.0" encoding="utf-8"?>
<ds:datastoreItem xmlns:ds="http://schemas.openxmlformats.org/officeDocument/2006/customXml" ds:itemID="{F78F7D87-18B9-4E44-97BC-5DCBC39AEB23}">
  <ds:schemaRefs>
    <ds:schemaRef ds:uri="http://lrs.lt/TAIS/DocParts"/>
  </ds:schemaRefs>
</ds:datastoreItem>
</file>

<file path=docProps/app.xml><?xml version="1.0" encoding="utf-8"?>
<Properties xmlns="http://schemas.openxmlformats.org/officeDocument/2006/extended-properties">
  <Template>Normal.dotm</Template>
  <TotalTime>6</TotalTime>
  <Pages>13</Pages>
  <Words>23573</Words>
  <Characters>13437</Characters>
  <Application>Microsoft Office Word</Application>
  <DocSecurity>0</DocSecurity>
  <Lines>111</Lines>
  <Paragraphs>73</Paragraphs>
  <ScaleCrop>false</ScaleCrop>
  <Company/>
  <LinksUpToDate>false</LinksUpToDate>
  <CharactersWithSpaces>36937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2016-04-27T11:04:00Z</dcterms:modified>
  <revision>10</revision>
</coreProperties>
</file>