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2020-07-28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E89B08C14DB5">
        <w:r w:rsidRPr="00532B9F">
          <w:rPr>
            <w:rFonts w:ascii="Times New Roman" w:eastAsia="MS Mincho" w:hAnsi="Times New Roman"/>
            <w:sz w:val="20"/>
            <w:i/>
            <w:iCs/>
            <w:color w:val="0000FF" w:themeColor="hyperlink"/>
            <w:u w:val="single"/>
          </w:rPr>
          <w:t>172-6350</w:t>
        </w:r>
      </w:fldSimple>
      <w:r>
        <w:rPr>
          <w:rFonts w:ascii="Times New Roman" w:eastAsia="MS Mincho" w:hAnsi="Times New Roman"/>
          <w:sz w:val="20"/>
          <w:i/>
          <w:iCs/>
        </w:rPr>
        <w:t>, i. k. 1041100NUTA00001495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2020-07-28:</w:t>
      </w:r>
    </w:p>
    <w:p>
      <w:pPr>
        <w:rPr>
          <w:rFonts w:ascii="Times New Roman" w:hAnsi="Times New Roman"/>
          <w:sz w:val="20"/>
          <w:i/>
        </w:rPr>
      </w:pPr>
      <w:r>
        <w:rPr>
          <w:rFonts w:ascii="Times New Roman" w:hAnsi="Times New Roman"/>
          <w:sz w:val="20"/>
          <w:i/>
        </w:rPr>
        <w:t xml:space="preserve">Nr. </w:t>
      </w:r>
      <w:fldSimple w:instr="HYPERLINK https://www.e-tar.lt/portal/legalAct.html?documentId=1ad9a290cfcc11eaabd5b5599dd4eebe">
        <w:r w:rsidRPr="00532B9F">
          <w:rPr>
            <w:rFonts w:ascii="Times New Roman" w:eastAsia="MS Mincho" w:hAnsi="Times New Roman"/>
            <w:sz w:val="20"/>
            <w:i/>
            <w:iCs/>
            <w:color w:val="0000FF" w:themeColor="hyperlink"/>
            <w:u w:val="single"/>
          </w:rPr>
          <w:t>822</w:t>
        </w:r>
      </w:fldSimple>
      <w:r>
        <w:rPr>
          <w:rFonts w:ascii="Times New Roman" w:eastAsia="MS Mincho" w:hAnsi="Times New Roman"/>
          <w:sz w:val="20"/>
          <w:i/>
          <w:iCs/>
        </w:rPr>
        <w:t>,
2020-07-16,
paskelbta TAR 2020-07-27, i. k. 2020-16464                </w:t>
      </w:r>
    </w:p>
    <w:p>
      <w:pPr>
        <w:rPr>
          <w:rFonts w:ascii="Times New Roman" w:hAnsi="Times New Roman"/>
          <w:sz w:val="22"/>
        </w:rPr>
      </w:pPr>
    </w:p>
    <w:p>
      <w:pPr>
        <w:keepNext/>
        <w:jc w:val="center"/>
        <w:rPr>
          <w:b/>
          <w:caps/>
          <w:szCs w:val="24"/>
          <w:lang w:eastAsia="lt-LT"/>
        </w:rPr>
      </w:pPr>
      <w:r>
        <w:rPr>
          <w:b/>
          <w:caps/>
          <w:szCs w:val="24"/>
          <w:lang w:eastAsia="lt-LT"/>
        </w:rPr>
        <w:t>Lietuvos Respublikos Vyriausybė</w:t>
      </w:r>
    </w:p>
    <w:p>
      <w:pPr>
        <w:jc w:val="center"/>
        <w:rPr>
          <w:b/>
          <w:szCs w:val="24"/>
          <w:lang w:eastAsia="lt-LT"/>
        </w:rPr>
      </w:pPr>
      <w:r>
        <w:rPr>
          <w:b/>
          <w:szCs w:val="24"/>
          <w:lang w:eastAsia="lt-LT"/>
        </w:rPr>
        <w:t>NUTARIMAS</w:t>
      </w:r>
    </w:p>
    <w:p>
      <w:pPr>
        <w:keepNext/>
        <w:jc w:val="center"/>
        <w:outlineLvl w:val="1"/>
        <w:rPr>
          <w:b/>
          <w:caps/>
          <w:szCs w:val="24"/>
          <w:lang w:eastAsia="lt-LT"/>
        </w:rPr>
      </w:pPr>
    </w:p>
    <w:p>
      <w:pPr>
        <w:keepNext/>
        <w:jc w:val="center"/>
        <w:outlineLvl w:val="1"/>
        <w:rPr>
          <w:b/>
          <w:caps/>
          <w:szCs w:val="24"/>
          <w:lang w:eastAsia="lt-LT"/>
        </w:rPr>
      </w:pPr>
      <w:r>
        <w:rPr>
          <w:b/>
          <w:caps/>
          <w:szCs w:val="24"/>
          <w:lang w:eastAsia="lt-LT"/>
        </w:rPr>
        <w:t>DĖL UŽSIENIO VALSTYBIŲ, EUROPOS SĄJUNGOS IR TARPTAUTINIŲ VIEŠŲJŲ ORGANIZACIJŲ VĖLIAVŲ kėlIMO ATVEJŲ, STALO IR AUTOMOBILIO VĖLIAVĖLIŲ NAUDOJIMO TVARKOS APRAŠO patvirtinimo</w:t>
      </w:r>
    </w:p>
    <w:p>
      <w:pPr>
        <w:keepNext/>
        <w:jc w:val="center"/>
        <w:outlineLvl w:val="1"/>
        <w:rPr>
          <w:b/>
          <w:caps/>
          <w:szCs w:val="24"/>
          <w:lang w:eastAsia="lt-LT"/>
        </w:rPr>
      </w:pPr>
    </w:p>
    <w:p>
      <w:pPr>
        <w:keepNext/>
        <w:jc w:val="center"/>
        <w:outlineLvl w:val="1"/>
        <w:rPr>
          <w:b/>
        </w:rPr>
      </w:pPr>
      <w:r>
        <w:t>2004 m. lapkričio 25 d. Nr. 1495</w:t>
      </w:r>
    </w:p>
    <w:p>
      <w:pPr>
        <w:keepNext/>
        <w:jc w:val="center"/>
        <w:outlineLvl w:val="1"/>
      </w:pPr>
      <w:r>
        <w:t>Vilnius</w:t>
      </w:r>
    </w:p>
    <w:p>
      <w:pPr>
        <w:keepNext/>
        <w:jc w:val="center"/>
        <w:outlineLvl w:val="1"/>
        <w:rPr>
          <w:b/>
          <w:caps/>
          <w:szCs w:val="24"/>
          <w:lang w:eastAsia="lt-LT"/>
        </w:rPr>
      </w:pPr>
    </w:p>
    <w:p>
      <w:pPr>
        <w:tabs>
          <w:tab w:val="left" w:pos="6804"/>
        </w:tabs>
        <w:rPr>
          <w:szCs w:val="24"/>
          <w:lang w:eastAsia="lt-LT"/>
        </w:rPr>
      </w:pPr>
    </w:p>
    <w:p>
      <w:pPr>
        <w:spacing w:line="360" w:lineRule="atLeast"/>
        <w:ind w:firstLine="720"/>
        <w:jc w:val="both"/>
        <w:rPr>
          <w:szCs w:val="24"/>
          <w:lang w:eastAsia="lt-LT"/>
        </w:rPr>
      </w:pPr>
      <w:r>
        <w:rPr>
          <w:szCs w:val="24"/>
          <w:lang w:eastAsia="lt-LT"/>
        </w:rPr>
        <w:t>Vadovaudamasi Lietuvos Respublikos valstybės vėliavos ir kitų vėliavų įstatymo 12 straipsnio 2 ir 7 dalimis, Lietuvos Respublikos Vyriausybė</w:t>
      </w:r>
      <w:r>
        <w:rPr>
          <w:spacing w:val="80"/>
          <w:szCs w:val="24"/>
          <w:lang w:eastAsia="lt-LT"/>
        </w:rPr>
        <w:t xml:space="preserve"> nutaria</w:t>
      </w:r>
      <w:r>
        <w:rPr>
          <w:szCs w:val="24"/>
          <w:lang w:eastAsia="lt-LT"/>
        </w:rPr>
        <w:t>:</w:t>
      </w:r>
    </w:p>
    <w:p>
      <w:pPr>
        <w:spacing w:line="360" w:lineRule="atLeast"/>
        <w:ind w:firstLine="720"/>
        <w:jc w:val="both"/>
      </w:pPr>
      <w:r>
        <w:rPr>
          <w:szCs w:val="24"/>
          <w:lang w:eastAsia="lt-LT"/>
        </w:rPr>
        <w:t>Patvirtinti Užsienio valstybių, Europos Sąjungos ir tarptautinių viešųjų organizacijų vėliavų kėlimo atvejų, stalo ir automobilio vėliavėlių naudojimo tvarkos aprašą (pridedama).</w:t>
      </w:r>
    </w:p>
    <w:p>
      <w:pPr>
        <w:tabs>
          <w:tab w:val="right" w:pos="9639"/>
        </w:tabs>
      </w:pPr>
    </w:p>
    <w:p>
      <w:pPr>
        <w:tabs>
          <w:tab w:val="right" w:pos="9639"/>
        </w:tabs>
      </w:pPr>
    </w:p>
    <w:p>
      <w:pPr>
        <w:tabs>
          <w:tab w:val="right" w:pos="9639"/>
        </w:tabs>
      </w:pPr>
    </w:p>
    <w:p>
      <w:pPr>
        <w:tabs>
          <w:tab w:val="right" w:pos="9639"/>
        </w:tabs>
      </w:pPr>
      <w:r>
        <w:t>L. E. MINISTRO PIRMININKO PAREIGAS</w:t>
        <w:tab/>
        <w:t>ALGIRDAS BRAZAUSKAS</w:t>
      </w:r>
    </w:p>
    <w:p>
      <w:pPr>
        <w:tabs>
          <w:tab w:val="right" w:pos="9639"/>
        </w:tabs>
      </w:pPr>
    </w:p>
    <w:p>
      <w:pPr>
        <w:tabs>
          <w:tab w:val="right" w:pos="9639"/>
        </w:tabs>
      </w:pPr>
      <w:r>
        <w:t>L. E. UŽSIENIO REIKALŲ MINISTRO PAREIGAS</w:t>
        <w:tab/>
        <w:t>ANTANAS VALIONIS</w:t>
      </w:r>
    </w:p>
    <w:p>
      <w:pPr>
        <w:ind w:firstLine="708"/>
        <w:jc w:val="center"/>
        <w:rPr>
          <w:color w:val="000000"/>
        </w:rPr>
      </w:pPr>
    </w:p>
    <w:p/>
    <w:p>
      <w:pPr>
        <w:ind w:left="4320" w:right="-171" w:firstLine="720"/>
        <w:jc w:val="both"/>
        <w:sectPr>
          <w:headerReference w:type="even" r:id="rId19"/>
          <w:headerReference w:type="default" r:id="rId20"/>
          <w:footerReference w:type="even" r:id="rId21"/>
          <w:footerReference w:type="default" r:id="rId22"/>
          <w:headerReference w:type="first" r:id="rId23"/>
          <w:footerReference w:type="first" r:id="rId24"/>
          <w:pgSz w:w="11906" w:h="16838" w:code="9"/>
          <w:pgMar w:top="1134" w:right="1196" w:bottom="1134" w:left="1701" w:header="720" w:footer="720" w:gutter="0"/>
          <w:pgNumType w:start="1"/>
          <w:cols w:space="720"/>
          <w:titlePg/>
        </w:sectPr>
      </w:pPr>
    </w:p>
    <w:p>
      <w:pPr>
        <w:ind w:left="4320" w:right="-171" w:firstLine="720"/>
        <w:jc w:val="both"/>
        <w:rPr>
          <w:caps/>
          <w:szCs w:val="24"/>
        </w:rPr>
      </w:pPr>
      <w:r>
        <w:rPr>
          <w:caps/>
          <w:szCs w:val="24"/>
        </w:rPr>
        <w:t>Patvirtinta</w:t>
      </w:r>
    </w:p>
    <w:p>
      <w:pPr>
        <w:ind w:left="5040" w:right="-171"/>
        <w:rPr>
          <w:szCs w:val="24"/>
          <w:lang w:eastAsia="lt-LT"/>
        </w:rPr>
      </w:pPr>
      <w:r>
        <w:rPr>
          <w:szCs w:val="24"/>
          <w:lang w:eastAsia="lt-LT"/>
        </w:rPr>
        <w:t>Lietuvos Respublikos Vyriausybės</w:t>
      </w:r>
    </w:p>
    <w:p>
      <w:pPr>
        <w:ind w:left="5040" w:right="-171"/>
        <w:rPr>
          <w:szCs w:val="24"/>
          <w:lang w:eastAsia="lt-LT"/>
        </w:rPr>
      </w:pPr>
      <w:r>
        <w:rPr>
          <w:szCs w:val="24"/>
          <w:lang w:eastAsia="lt-LT"/>
        </w:rPr>
        <w:t xml:space="preserve">2004 m. lapkričio 25 d. nutarimu Nr. 1495 </w:t>
      </w:r>
    </w:p>
    <w:p>
      <w:pPr>
        <w:ind w:left="5040" w:right="-171"/>
        <w:rPr>
          <w:color w:val="000000"/>
          <w:szCs w:val="24"/>
          <w:lang w:eastAsia="lt-LT"/>
        </w:rPr>
      </w:pPr>
      <w:r>
        <w:rPr>
          <w:color w:val="000000"/>
          <w:szCs w:val="24"/>
          <w:lang w:eastAsia="lt-LT"/>
        </w:rPr>
        <w:t xml:space="preserve">(Lietuvos Respublikos Vyriausybės </w:t>
      </w:r>
    </w:p>
    <w:p>
      <w:pPr>
        <w:ind w:left="5040" w:right="-171"/>
        <w:rPr>
          <w:color w:val="000000"/>
          <w:szCs w:val="24"/>
          <w:lang w:eastAsia="lt-LT"/>
        </w:rPr>
      </w:pPr>
      <w:r>
        <w:rPr>
          <w:color w:val="000000"/>
          <w:szCs w:val="24"/>
          <w:lang w:eastAsia="lt-LT"/>
        </w:rPr>
        <w:t>2020 m. liepos 16 d. nutarimo Nr. 822</w:t>
      </w:r>
    </w:p>
    <w:p>
      <w:pPr>
        <w:ind w:left="5040" w:right="-171"/>
        <w:rPr>
          <w:color w:val="000000"/>
          <w:szCs w:val="24"/>
          <w:lang w:eastAsia="lt-LT"/>
        </w:rPr>
      </w:pPr>
      <w:r>
        <w:rPr>
          <w:color w:val="000000"/>
          <w:szCs w:val="24"/>
          <w:lang w:eastAsia="lt-LT"/>
        </w:rPr>
        <w:t>redakcija)</w:t>
      </w:r>
    </w:p>
    <w:p>
      <w:pPr>
        <w:ind w:left="4536"/>
        <w:rPr>
          <w:sz w:val="22"/>
          <w:szCs w:val="22"/>
          <w:lang w:eastAsia="lt-LT"/>
        </w:rPr>
      </w:pPr>
    </w:p>
    <w:p>
      <w:pPr>
        <w:rPr>
          <w:szCs w:val="24"/>
        </w:rPr>
      </w:pPr>
    </w:p>
    <w:p>
      <w:pPr>
        <w:spacing w:line="360" w:lineRule="atLeast"/>
        <w:jc w:val="center"/>
        <w:rPr>
          <w:b/>
          <w:caps/>
          <w:szCs w:val="24"/>
        </w:rPr>
      </w:pPr>
      <w:r>
        <w:rPr>
          <w:b/>
          <w:szCs w:val="24"/>
        </w:rPr>
        <w:t>UŽSIENIO VALSTYBIŲ, EUROPOS SĄJUNGOS IR TARPTAUTINIŲ VIEŠŲJŲ ORGANIZACIJŲ VĖLIAVŲ KĖLIMO ATVEJŲ, STALO IR AUTOMOBILIO VĖLIAVĖLIŲ NAUDOJIMO TVARKOS APRAŠAS</w:t>
      </w:r>
    </w:p>
    <w:p>
      <w:pPr>
        <w:spacing w:line="360" w:lineRule="atLeast"/>
        <w:rPr>
          <w:szCs w:val="24"/>
        </w:rPr>
      </w:pPr>
    </w:p>
    <w:p>
      <w:pPr>
        <w:spacing w:line="360" w:lineRule="atLeast"/>
        <w:jc w:val="center"/>
        <w:rPr>
          <w:b/>
          <w:szCs w:val="24"/>
        </w:rPr>
      </w:pPr>
      <w:r>
        <w:rPr>
          <w:b/>
          <w:szCs w:val="24"/>
        </w:rPr>
        <w:t>I</w:t>
      </w:r>
      <w:r>
        <w:rPr>
          <w:b/>
          <w:szCs w:val="24"/>
        </w:rPr>
        <w:t xml:space="preserve"> SKYRIUS</w:t>
      </w:r>
    </w:p>
    <w:p>
      <w:pPr>
        <w:spacing w:line="360" w:lineRule="atLeast"/>
        <w:jc w:val="center"/>
        <w:rPr>
          <w:b/>
          <w:szCs w:val="24"/>
        </w:rPr>
      </w:pPr>
      <w:r>
        <w:rPr>
          <w:b/>
          <w:szCs w:val="24"/>
        </w:rPr>
        <w:t>BENDROSIOS NUOSTATOS</w:t>
      </w:r>
    </w:p>
    <w:p>
      <w:pPr>
        <w:spacing w:line="360" w:lineRule="atLeast"/>
        <w:ind w:firstLine="720"/>
        <w:jc w:val="both"/>
        <w:rPr>
          <w:szCs w:val="24"/>
        </w:rPr>
      </w:pPr>
    </w:p>
    <w:p>
      <w:pPr>
        <w:spacing w:line="360" w:lineRule="atLeast"/>
        <w:ind w:firstLine="720"/>
        <w:jc w:val="both"/>
        <w:rPr>
          <w:szCs w:val="24"/>
        </w:rPr>
      </w:pPr>
      <w:r>
        <w:rPr>
          <w:szCs w:val="24"/>
        </w:rPr>
        <w:t>1</w:t>
      </w:r>
      <w:r>
        <w:rPr>
          <w:szCs w:val="24"/>
        </w:rPr>
        <w:t>. Užsienio valstybių, Europos Sąjungos ir tarptautinių viešųjų organizacijų vėliavų kėlimo atvejų, stalo ir automobilio vėliavėlių naudojimo tvarkos aprašas (toliau – Aprašas) reglamentuoja atskirus užsienio valstybių, Europos Sąjungos ir tarptautinių viešųjų organizacijų vėliavų kėlimo atvejus, užsienio valstybių, Europos Sąjungos ir tarptautinių viešųjų organizacijų stalo vėliavėlių ir automobilio vėliavėlių naudojimo tvarką.</w:t>
      </w:r>
    </w:p>
    <w:p>
      <w:pPr>
        <w:spacing w:line="360" w:lineRule="atLeast"/>
        <w:ind w:firstLine="720"/>
        <w:jc w:val="both"/>
        <w:rPr>
          <w:szCs w:val="24"/>
        </w:rPr>
      </w:pPr>
      <w:r>
        <w:rPr>
          <w:szCs w:val="24"/>
        </w:rPr>
        <w:t>2</w:t>
      </w:r>
      <w:r>
        <w:rPr>
          <w:szCs w:val="24"/>
        </w:rPr>
        <w:t xml:space="preserve">. Užsienio valstybių, Europos Sąjungos ir tarptautinių viešųjų organizacijų vėliavos keliamos vadovaujantis Lietuvos Respublikos valstybės vėliavos ir kitų vėliavų įstatymo ketvirtuoju skirsniu ir Oficialių svečių vizitų Lietuvos Respublikoje rengimo tvarkos aprašu, patvirtintu Lietuvos Respublikos Vyriausybės 2003 m. lapkričio 27 d. nutarimu Nr. 1485  „Dėl Oficialių svečių vizitų Lietuvos Respublikoje rengimo tvarkos aprašo patvirtinimo“ (toliau –</w:t>
      </w:r>
      <w:r>
        <w:rPr>
          <w:b/>
          <w:bCs/>
          <w:szCs w:val="24"/>
        </w:rPr>
        <w:t xml:space="preserve"> </w:t>
      </w:r>
      <w:r>
        <w:rPr>
          <w:szCs w:val="24"/>
        </w:rPr>
        <w:t>Oficialių svečių vizitų Lietuvos Respublikoje rengimo tvarkos aprašas).</w:t>
      </w:r>
    </w:p>
    <w:p>
      <w:pPr>
        <w:spacing w:line="360" w:lineRule="atLeast"/>
        <w:ind w:firstLine="720"/>
        <w:jc w:val="both"/>
        <w:rPr>
          <w:szCs w:val="24"/>
        </w:rPr>
      </w:pPr>
      <w:r>
        <w:rPr>
          <w:szCs w:val="24"/>
        </w:rPr>
        <w:t>3</w:t>
      </w:r>
      <w:r>
        <w:rPr>
          <w:szCs w:val="24"/>
        </w:rPr>
        <w:t xml:space="preserve">. Apraše vartojamos sąvokos suprantamos taip, kaip jos yra apibrėžtos Valstybės vėliavos ir kitų vėliavų įstatyme, Lietuvos Respublikos vadovybės apsaugos įstatyme ir Oficialių svečių vizitų Lietuvos Respublikoje rengimo tvarkos apraše. </w:t>
      </w:r>
    </w:p>
    <w:p>
      <w:pPr>
        <w:spacing w:line="360" w:lineRule="atLeast"/>
        <w:ind w:firstLine="720"/>
        <w:jc w:val="both"/>
        <w:rPr>
          <w:szCs w:val="24"/>
        </w:rPr>
      </w:pPr>
    </w:p>
    <w:p>
      <w:pPr>
        <w:spacing w:line="360" w:lineRule="atLeast"/>
        <w:jc w:val="center"/>
        <w:rPr>
          <w:b/>
          <w:szCs w:val="24"/>
        </w:rPr>
      </w:pPr>
      <w:r>
        <w:rPr>
          <w:b/>
          <w:szCs w:val="24"/>
        </w:rPr>
        <w:t>II</w:t>
      </w:r>
      <w:r>
        <w:rPr>
          <w:b/>
          <w:szCs w:val="24"/>
        </w:rPr>
        <w:t xml:space="preserve"> SKYRIUS </w:t>
      </w:r>
    </w:p>
    <w:p>
      <w:pPr>
        <w:spacing w:line="360" w:lineRule="atLeast"/>
        <w:jc w:val="center"/>
        <w:rPr>
          <w:b/>
          <w:szCs w:val="24"/>
        </w:rPr>
      </w:pPr>
      <w:r>
        <w:rPr>
          <w:b/>
          <w:szCs w:val="24"/>
        </w:rPr>
        <w:t>UŽSIENIO VALSTYBIŲ IR EUROPOS SĄJUNGOS VĖLIAVŲ KĖLIMO ATVEJAI</w:t>
      </w:r>
    </w:p>
    <w:p>
      <w:pPr>
        <w:spacing w:line="360" w:lineRule="atLeast"/>
        <w:ind w:firstLine="720"/>
        <w:jc w:val="both"/>
        <w:rPr>
          <w:szCs w:val="24"/>
        </w:rPr>
      </w:pPr>
    </w:p>
    <w:p>
      <w:pPr>
        <w:spacing w:line="360" w:lineRule="atLeast"/>
        <w:ind w:firstLine="720"/>
        <w:jc w:val="both"/>
        <w:rPr>
          <w:szCs w:val="24"/>
        </w:rPr>
      </w:pPr>
      <w:r>
        <w:rPr>
          <w:szCs w:val="24"/>
        </w:rPr>
        <w:t>4</w:t>
      </w:r>
      <w:r>
        <w:rPr>
          <w:szCs w:val="24"/>
        </w:rPr>
        <w:t>. Užsienio valstybės vėliava keliama prie Lietuvos Respublikos Prezidento kanceliarijos užsienio valstybės diplomatinės atstovybės vadovo skiriamųjų raštų teikimo proga.</w:t>
      </w:r>
    </w:p>
    <w:p>
      <w:pPr>
        <w:spacing w:line="360" w:lineRule="atLeast"/>
        <w:ind w:firstLine="720"/>
        <w:jc w:val="both"/>
        <w:rPr>
          <w:szCs w:val="24"/>
        </w:rPr>
      </w:pPr>
      <w:r>
        <w:rPr>
          <w:szCs w:val="24"/>
        </w:rPr>
        <w:t>5</w:t>
      </w:r>
      <w:r>
        <w:rPr>
          <w:szCs w:val="24"/>
        </w:rPr>
        <w:t>. Užsienio valstybių vėliavos prie, virš ar ant Lietuvos Respublikos savivaldybių institucijų ir įstaigų pastatų gali būti iškeliamos, kai jose lankosi tų užsienio valstybių ar savivaldybių delegacijos.</w:t>
      </w:r>
    </w:p>
    <w:p>
      <w:pPr>
        <w:spacing w:line="360" w:lineRule="atLeast"/>
        <w:ind w:firstLine="720"/>
        <w:jc w:val="both"/>
        <w:rPr>
          <w:szCs w:val="24"/>
        </w:rPr>
      </w:pPr>
      <w:r>
        <w:rPr>
          <w:szCs w:val="24"/>
        </w:rPr>
        <w:t>6</w:t>
      </w:r>
      <w:r>
        <w:rPr>
          <w:szCs w:val="24"/>
        </w:rPr>
        <w:t>.</w:t>
      </w:r>
      <w:r>
        <w:rPr>
          <w:b/>
          <w:szCs w:val="24"/>
        </w:rPr>
        <w:t> </w:t>
      </w:r>
      <w:r>
        <w:rPr>
          <w:szCs w:val="24"/>
        </w:rPr>
        <w:t>Europos Sąjungos vėliava keliama Europos Vadovų Tarybos patvirtinto pirmininkaujančių valstybių trejeto, į kurį įeina Lietuva, pirmininkavimo Europos Sąjungos Tarybai laikotarpiu prie, virš ar ant pastatų, nurodytų Valstybės vėliavos ir kitų vėliavų įstatymo 5 straipsnio 1 dalies 1–8, 11 ir 12 punktuose.</w:t>
      </w:r>
    </w:p>
    <w:p>
      <w:pPr>
        <w:spacing w:line="360" w:lineRule="atLeast"/>
        <w:jc w:val="center"/>
        <w:rPr>
          <w:b/>
          <w:szCs w:val="24"/>
        </w:rPr>
      </w:pPr>
    </w:p>
    <w:p>
      <w:pPr>
        <w:spacing w:line="360" w:lineRule="atLeast"/>
        <w:jc w:val="center"/>
        <w:rPr>
          <w:b/>
          <w:szCs w:val="24"/>
        </w:rPr>
      </w:pPr>
      <w:r>
        <w:rPr>
          <w:b/>
          <w:szCs w:val="24"/>
        </w:rPr>
        <w:t>III</w:t>
      </w:r>
      <w:r>
        <w:rPr>
          <w:b/>
          <w:szCs w:val="24"/>
        </w:rPr>
        <w:t xml:space="preserve"> SKYRIUS</w:t>
      </w:r>
    </w:p>
    <w:p>
      <w:pPr>
        <w:spacing w:line="360" w:lineRule="atLeast"/>
        <w:jc w:val="center"/>
        <w:rPr>
          <w:b/>
          <w:szCs w:val="24"/>
        </w:rPr>
      </w:pPr>
      <w:r>
        <w:rPr>
          <w:b/>
          <w:szCs w:val="24"/>
        </w:rPr>
        <w:t>UŽSIENIO VALSTYBIŲ, EUROPOS SĄJUNGOS IR TARPTAUTINIŲ VIEŠŲJŲ ORGANIZACIJŲ STALO VĖLIAVĖLIŲ NAUDOJIMAS</w:t>
      </w:r>
    </w:p>
    <w:p>
      <w:pPr>
        <w:spacing w:line="360" w:lineRule="atLeast"/>
        <w:ind w:firstLine="720"/>
        <w:jc w:val="both"/>
        <w:rPr>
          <w:szCs w:val="24"/>
        </w:rPr>
      </w:pPr>
    </w:p>
    <w:p>
      <w:pPr>
        <w:spacing w:line="360" w:lineRule="atLeast"/>
        <w:ind w:firstLine="720"/>
        <w:jc w:val="both"/>
        <w:rPr>
          <w:iCs/>
          <w:szCs w:val="24"/>
        </w:rPr>
      </w:pPr>
      <w:r>
        <w:rPr>
          <w:szCs w:val="24"/>
        </w:rPr>
        <w:t>7</w:t>
      </w:r>
      <w:r>
        <w:rPr>
          <w:szCs w:val="24"/>
        </w:rPr>
        <w:t xml:space="preserve">. Lietuvos Respublikos oficialaus svečio vizito metu jo valstybės, Europos Sąjungos arba tarptautinės viešosios organizacijos stalo vėliavėlė </w:t>
      </w:r>
      <w:r>
        <w:rPr>
          <w:iCs/>
          <w:szCs w:val="24"/>
        </w:rPr>
        <w:t xml:space="preserve">statoma patalpoje, kurioje vyksta oficialus renginys, ant stalo, prie kurio sėdi oficialus svečias, arba prireikus kitoje patalpoje gerai matomoje vietoje. Šiais atvejais oficialaus svečio valstybės, Europos Sąjungos ar tarptautinės viešosios organizacijos stalo vėliavėlei </w:t>
      </w:r>
      <w:r>
        <w:rPr>
          <w:iCs/>
          <w:color w:val="000000"/>
        </w:rPr>
        <w:t>suteikiama garbingiausia pagal heraldikos principus vieta</w:t>
      </w:r>
      <w:r>
        <w:rPr>
          <w:iCs/>
          <w:szCs w:val="24"/>
        </w:rPr>
        <w:t xml:space="preserve">. </w:t>
      </w:r>
    </w:p>
    <w:p>
      <w:pPr>
        <w:spacing w:line="360" w:lineRule="atLeast"/>
        <w:ind w:firstLine="720"/>
        <w:jc w:val="both"/>
        <w:rPr>
          <w:szCs w:val="24"/>
        </w:rPr>
      </w:pPr>
      <w:r>
        <w:rPr>
          <w:szCs w:val="24"/>
        </w:rPr>
        <w:t>8</w:t>
      </w:r>
      <w:r>
        <w:rPr>
          <w:szCs w:val="24"/>
        </w:rPr>
        <w:t>.</w:t>
      </w:r>
      <w:r>
        <w:t xml:space="preserve"> Jeigu </w:t>
      </w:r>
      <w:r>
        <w:rPr>
          <w:szCs w:val="24"/>
        </w:rPr>
        <w:t>oficialaus svečio valstybės, Europos Sąjungos ar tarptautinės viešosios organizacijos stalo vėliavėlė statoma ant stalo, prie kurio sėdi oficialus svečias, ji pastatoma jam iš dešinės arba priešais jį.</w:t>
      </w:r>
    </w:p>
    <w:p>
      <w:pPr>
        <w:spacing w:line="360" w:lineRule="atLeast"/>
        <w:ind w:firstLine="720"/>
        <w:jc w:val="both"/>
        <w:rPr>
          <w:szCs w:val="24"/>
        </w:rPr>
      </w:pPr>
      <w:r>
        <w:rPr>
          <w:szCs w:val="24"/>
        </w:rPr>
        <w:t>9</w:t>
      </w:r>
      <w:r>
        <w:rPr>
          <w:szCs w:val="24"/>
        </w:rPr>
        <w:t xml:space="preserve">. Jeigu užsienio valstybės, Europos Sąjungos arba tarptautinės viešosios organizacijos stalo vėliavėlė statoma nedalyvaujant ją atstovaujančiam oficialiam svečiui,  ji pastatoma kartu su Lietuvos valstybės stalo vėliavėle suteikiant Lietuvos valstybės stalo vėliavėlei garbingiausią pagal heraldikos principus vietą. </w:t>
      </w:r>
    </w:p>
    <w:p>
      <w:pPr>
        <w:spacing w:line="360" w:lineRule="atLeast"/>
        <w:ind w:firstLine="720"/>
        <w:jc w:val="both"/>
        <w:rPr>
          <w:szCs w:val="24"/>
        </w:rPr>
      </w:pPr>
      <w:r>
        <w:rPr>
          <w:szCs w:val="24"/>
        </w:rPr>
        <w:t>10</w:t>
      </w:r>
      <w:r>
        <w:rPr>
          <w:szCs w:val="24"/>
        </w:rPr>
        <w:t xml:space="preserve">. Jeigu oficialaus renginio metu </w:t>
      </w:r>
      <w:r>
        <w:rPr>
          <w:color w:val="000000"/>
        </w:rPr>
        <w:t>kartu statomos kelios užsienio valstybių, Europos Sąjungos ir (arba) kelios tarptautinių viešųjų organizacijų stalo vėliavėlės, </w:t>
      </w:r>
      <w:r>
        <w:rPr>
          <w:szCs w:val="24"/>
        </w:rPr>
        <w:t xml:space="preserve"> jos pastatomos kartu su Lietuvos valstybės stalo vėliavėle laikantis</w:t>
      </w:r>
      <w:r>
        <w:t xml:space="preserve"> </w:t>
      </w:r>
      <w:r>
        <w:rPr>
          <w:szCs w:val="24"/>
        </w:rPr>
        <w:t>Valstybės vėliavos ir kitų vėliavų įstatymo 11 straipsnio 3 dalyje nustatyto eiliškumo ir suteikiant Lietuvos valstybės stalo vėliavėlei garbingiausią pagal heraldikos principus vietą.</w:t>
      </w:r>
    </w:p>
    <w:p>
      <w:pPr>
        <w:spacing w:line="360" w:lineRule="atLeast"/>
        <w:ind w:firstLine="720"/>
        <w:jc w:val="both"/>
        <w:rPr>
          <w:szCs w:val="24"/>
        </w:rPr>
      </w:pPr>
    </w:p>
    <w:p>
      <w:pPr>
        <w:spacing w:line="360" w:lineRule="atLeast"/>
        <w:jc w:val="center"/>
        <w:rPr>
          <w:b/>
          <w:szCs w:val="24"/>
        </w:rPr>
      </w:pPr>
      <w:r>
        <w:rPr>
          <w:b/>
          <w:szCs w:val="24"/>
        </w:rPr>
        <w:t>IV</w:t>
      </w:r>
      <w:r>
        <w:rPr>
          <w:b/>
          <w:szCs w:val="24"/>
        </w:rPr>
        <w:t xml:space="preserve"> SKYRIUS</w:t>
      </w:r>
    </w:p>
    <w:p>
      <w:pPr>
        <w:spacing w:line="360" w:lineRule="atLeast"/>
        <w:jc w:val="center"/>
        <w:rPr>
          <w:b/>
          <w:szCs w:val="24"/>
        </w:rPr>
      </w:pPr>
      <w:r>
        <w:rPr>
          <w:b/>
          <w:szCs w:val="24"/>
        </w:rPr>
        <w:t>UŽSIENIO VALSTYBIŲ, EUROPOS SĄJUNGOS IR TARPTAUTINIŲ VIEŠŲJŲ ORGANIZACIJŲ AUTOMOBILIO VĖLIAVĖLĖS NAUDOJIMAS</w:t>
      </w:r>
    </w:p>
    <w:p>
      <w:pPr>
        <w:spacing w:line="360" w:lineRule="atLeast"/>
        <w:ind w:firstLine="720"/>
        <w:jc w:val="both"/>
        <w:rPr>
          <w:szCs w:val="24"/>
        </w:rPr>
      </w:pPr>
    </w:p>
    <w:p>
      <w:pPr>
        <w:spacing w:line="360" w:lineRule="atLeast"/>
        <w:ind w:firstLine="720"/>
        <w:jc w:val="both"/>
        <w:rPr>
          <w:szCs w:val="24"/>
        </w:rPr>
      </w:pPr>
      <w:r>
        <w:rPr>
          <w:szCs w:val="24"/>
        </w:rPr>
        <w:t>11</w:t>
      </w:r>
      <w:r>
        <w:rPr>
          <w:szCs w:val="24"/>
        </w:rPr>
        <w:t>. Užsienio valstybės, Europos Sąjungos arba tarptautinės viešosios organizacijos automobilio vėliavėlė kabinama ant stovelio, kuris tvirtinamas prie automobilio priekinio dešiniojo sparno.</w:t>
      </w:r>
    </w:p>
    <w:p>
      <w:pPr>
        <w:tabs>
          <w:tab w:val="center" w:pos="-7800"/>
          <w:tab w:val="left" w:pos="900"/>
          <w:tab w:val="right" w:pos="8306"/>
        </w:tabs>
        <w:spacing w:line="360" w:lineRule="auto"/>
        <w:jc w:val="center"/>
        <w:rPr>
          <w:color w:val="000000"/>
        </w:rPr>
      </w:pPr>
      <w:r>
        <w:t>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E1F78E2C503">
        <w:r w:rsidRPr="00532B9F">
          <w:rPr>
            <w:rFonts w:ascii="Times New Roman" w:eastAsia="MS Mincho" w:hAnsi="Times New Roman"/>
            <w:sz w:val="20"/>
            <w:iCs/>
            <w:color w:val="0000FF" w:themeColor="hyperlink"/>
            <w:u w:val="single"/>
          </w:rPr>
          <w:t>238</w:t>
        </w:r>
      </w:fldSimple>
      <w:r>
        <w:rPr>
          <w:rFonts w:ascii="Times New Roman" w:eastAsia="MS Mincho" w:hAnsi="Times New Roman"/>
          <w:sz w:val="20"/>
          <w:iCs/>
        </w:rPr>
        <w:t>,
2013-03-20,
Žin., 2013, Nr.
30-1473 (2013-03-23), i. k. 1131100NUTA00000238                </w:t>
      </w:r>
    </w:p>
    <w:p>
      <w:pPr>
        <w:jc w:val="both"/>
        <w:rPr>
          <w:rFonts w:ascii="Times New Roman" w:hAnsi="Times New Roman"/>
        </w:rPr>
      </w:pPr>
      <w:r>
        <w:rPr>
          <w:rFonts w:ascii="Times New Roman" w:hAnsi="Times New Roman"/>
          <w:sz w:val="20"/>
        </w:rPr>
        <w:t>Dėl Lietuvos Respublikos Vyriausybės 2004 m. lapkričio 25 d. nutarimo Nr. 1495 "Dėl Užsienio valstybių, Europos Sąjungos ir tarptautinių viešųjų organizacijų vėliavų kėlimo atvejų, stalo ir automobilio vėliavėlių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ad9a290cfcc11eaabd5b5599dd4eebe">
        <w:r w:rsidRPr="00532B9F">
          <w:rPr>
            <w:rFonts w:ascii="Times New Roman" w:eastAsia="MS Mincho" w:hAnsi="Times New Roman"/>
            <w:sz w:val="20"/>
            <w:iCs/>
            <w:color w:val="0000FF" w:themeColor="hyperlink"/>
            <w:u w:val="single"/>
          </w:rPr>
          <w:t>822</w:t>
        </w:r>
      </w:fldSimple>
      <w:r>
        <w:rPr>
          <w:rFonts w:ascii="Times New Roman" w:eastAsia="MS Mincho" w:hAnsi="Times New Roman"/>
          <w:sz w:val="20"/>
          <w:iCs/>
        </w:rPr>
        <w:t>,
2020-07-16,
paskelbta TAR 2020-07-27, i. k. 2020-16464                </w:t>
      </w:r>
    </w:p>
    <w:p>
      <w:pPr>
        <w:jc w:val="both"/>
        <w:rPr>
          <w:rFonts w:ascii="Times New Roman" w:hAnsi="Times New Roman"/>
        </w:rPr>
      </w:pPr>
      <w:r>
        <w:rPr>
          <w:rFonts w:ascii="Times New Roman" w:hAnsi="Times New Roman"/>
          <w:sz w:val="20"/>
        </w:rPr>
        <w:t>Dėl Lietuvos Respublikos Vyriausybės 2004 m. lapkričio 25 d. nutarimo Nr. 1495 „Dėl Užsienio valstybių, Europos Sąjungos ir tarptautinių viešųjų organizacijų vėliavų kėlimo atvejų, stalo ir automobilio vėliavėlių 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jc w:val="center"/>
      <w:rPr>
        <w:lang w:eastAsia="lt-LT"/>
      </w:rPr>
    </w:pPr>
    <w:r>
      <w:rPr>
        <w:lang w:eastAsia="lt-LT"/>
      </w:rPr>
      <w:fldChar w:fldCharType="begin"/>
    </w:r>
    <w:r>
      <w:rPr>
        <w:lang w:eastAsia="lt-LT"/>
      </w:rPr>
      <w:instrText xml:space="preserve"> PAGE   \* MERGEFORMAT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53D46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07CAE5E6C2B3"/>
  <Relationship Id="rId12" Type="http://schemas.openxmlformats.org/officeDocument/2006/relationships/hyperlink" TargetMode="External" Target="https://www.e-tar.lt/portal/lt/legalAct/TAR.2F72A0842FAA"/>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eader" Target="header10.xml"/>
  <Relationship Id="rId2" Type="http://schemas.openxmlformats.org/officeDocument/2006/relationships/endnotes" Target="endnotes.xml"/>
  <Relationship Id="rId20" Type="http://schemas.openxmlformats.org/officeDocument/2006/relationships/header" Target="header11.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eader" Target="header12.xml"/>
  <Relationship Id="rId24" Type="http://schemas.openxmlformats.org/officeDocument/2006/relationships/footer" Target="footer12.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5</Pages>
  <Words>5961</Words>
  <Characters>3398</Characters>
  <Application>Microsoft Office Word</Application>
  <DocSecurity>0</DocSecurity>
  <Lines>28</Lines>
  <Paragraphs>18</Paragraphs>
  <ScaleCrop>false</ScaleCrop>
  <Company/>
  <LinksUpToDate>false</LinksUpToDate>
  <CharactersWithSpaces>9341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2015-09-17T04:14:00Z</dcterms:created>
  <dc:creator>marina.buivid@gmail.com</dc:creator>
  <lastModifiedBy>TRAPINSKIENĖ Aušrinė</lastModifiedBy>
  <dcterms:modified xsi:type="dcterms:W3CDTF">2020-07-28T05:28:00Z</dcterms:modified>
  <revision>7</revision>
</coreProperties>
</file>