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6bc59e6f2ba43f78427459519ac80e2"/>
        <w:lock w:val="sdtLocked"/>
        <w:richText/>
      </w:sdtPr>
      <w:sdtContent>
        <w:p>
          <w:pPr>
            <w:jc w:val="both"/>
            <w:rPr>
              <w:rFonts w:ascii="Times New Roman" w:hAnsi="Times New Roman"/>
            </w:rPr>
          </w:pPr>
          <w:r>
            <w:rPr>
              <w:rFonts w:ascii="Times New Roman" w:hAnsi="Times New Roman"/>
              <w:b/>
              <w:i/>
            </w:rPr>
            <w:t>Suvestinė redakcija nuo 2009-04-22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9E10E8274F43">
            <w:r w:rsidRPr="00532B9F">
              <w:rPr>
                <w:rFonts w:ascii="Times New Roman" w:eastAsia="MS Mincho" w:hAnsi="Times New Roman"/>
                <w:sz w:val="20"/>
                <w:i/>
                <w:iCs/>
                <w:color w:val="0000FF" w:themeColor="hyperlink"/>
                <w:u w:val="single"/>
              </w:rPr>
              <w:t>145-5281</w:t>
            </w:r>
          </w:fldSimple>
          <w:r>
            <w:rPr>
              <w:rFonts w:ascii="Times New Roman" w:eastAsia="MS Mincho" w:hAnsi="Times New Roman"/>
              <w:sz w:val="20"/>
              <w:i/>
              <w:iCs/>
            </w:rPr>
            <w:t>, i. k. 1042070ISAKSAK-1462</w:t>
          </w:r>
        </w:p>
        <w:p>
          <w:pPr>
            <w:jc w:val="both"/>
            <w:rPr>
              <w:rFonts w:ascii="Times New Roman" w:hAnsi="Times New Roman"/>
              <w:sz w:val="20"/>
            </w:rPr>
          </w:pPr>
        </w:p>
        <w:p>
          <w:pPr>
            <w:jc w:val="center"/>
            <w:rPr>
              <w:b/>
              <w:color w:val="000000"/>
              <w:szCs w:val="8"/>
              <w:lang w:eastAsia="lt-LT"/>
            </w:rPr>
          </w:pPr>
          <w:r>
            <w:rPr>
              <w:b/>
              <w:color w:val="000000"/>
              <w:szCs w:val="8"/>
              <w:lang w:eastAsia="lt-LT"/>
            </w:rPr>
            <w:pict w14:anchorId="7D289E9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t>LIETUVOS RESPUBLIKOS ŠVIETIMO IR MOKSLO MINISTRAS</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p>
          <w:pPr>
            <w:jc w:val="center"/>
            <w:rPr>
              <w:b/>
              <w:color w:val="000000"/>
              <w:szCs w:val="8"/>
              <w:lang w:eastAsia="lt-LT"/>
            </w:rPr>
          </w:pPr>
          <w:r>
            <w:rPr>
              <w:b/>
              <w:color w:val="000000"/>
              <w:szCs w:val="8"/>
              <w:lang w:eastAsia="lt-LT"/>
            </w:rPr>
            <w:t>DĖL TEISĖS PAŽEIDIMŲ, MOKYKLOS NELANKYMO, NARKOTINIŲ IR PSICHOTROPINIŲ MEDŽIAGŲ VARTOJIMO, ŽIV/AIDS, SMURTO IR NUSIKALSTAMUMO PREVENCIJOS</w:t>
          </w:r>
        </w:p>
        <w:p>
          <w:pPr>
            <w:jc w:val="center"/>
            <w:rPr>
              <w:color w:val="000000"/>
              <w:szCs w:val="8"/>
              <w:lang w:eastAsia="lt-LT"/>
            </w:rPr>
          </w:pPr>
        </w:p>
        <w:p>
          <w:pPr>
            <w:jc w:val="center"/>
            <w:rPr>
              <w:color w:val="000000"/>
              <w:szCs w:val="8"/>
              <w:lang w:eastAsia="lt-LT"/>
            </w:rPr>
          </w:pPr>
          <w:r>
            <w:rPr>
              <w:color w:val="000000"/>
              <w:szCs w:val="8"/>
              <w:lang w:eastAsia="lt-LT"/>
            </w:rPr>
            <w:t>2004 m. rugsėjo 17 d. Nr. ISAK-1462</w:t>
          </w:r>
        </w:p>
        <w:p>
          <w:pPr>
            <w:jc w:val="center"/>
            <w:rPr>
              <w:color w:val="000000"/>
              <w:szCs w:val="8"/>
              <w:lang w:eastAsia="lt-LT"/>
            </w:rPr>
          </w:pPr>
          <w:r>
            <w:rPr>
              <w:color w:val="000000"/>
              <w:szCs w:val="8"/>
              <w:lang w:eastAsia="lt-LT"/>
            </w:rPr>
            <w:t>Vilnius</w:t>
          </w:r>
        </w:p>
        <w:p>
          <w:pPr>
            <w:ind w:firstLine="709"/>
            <w:jc w:val="both"/>
            <w:rPr>
              <w:color w:val="000000"/>
              <w:szCs w:val="8"/>
              <w:lang w:eastAsia="lt-LT"/>
            </w:rPr>
          </w:pPr>
        </w:p>
        <w:sdt>
          <w:sdtPr>
            <w:alias w:val="preambule"/>
            <w:tag w:val="part_bc1f5fe99b144e51b99d7cf0d7cf041e"/>
            <w:lock w:val="sdtLocked"/>
            <w:richText/>
          </w:sdtPr>
          <w:sdtContent>
            <w:p>
              <w:pPr>
                <w:ind w:firstLine="709"/>
                <w:jc w:val="both"/>
                <w:rPr>
                  <w:color w:val="000000"/>
                  <w:lang w:eastAsia="lt-LT"/>
                </w:rPr>
              </w:pPr>
              <w:r>
                <w:rPr>
                  <w:color w:val="000000"/>
                  <w:lang w:eastAsia="lt-LT"/>
                </w:rPr>
                <w:t>Atsižvelgdamas į Valstybinės švietimo strategijos 2003–2012 metų nuostatas, patvirtintas Lietuvos Respublikos Seimo 2003 m. liepos 4 d. nutarimu Nr. IX-1700 (Žin., 2003, Nr.</w:t>
              </w:r>
              <w:r>
                <w:rPr>
                  <w:b/>
                  <w:bCs/>
                  <w:color w:val="000000"/>
                  <w:lang w:eastAsia="lt-LT"/>
                </w:rPr>
                <w:t xml:space="preserve"> </w:t>
              </w:r>
              <w:hyperlink r:id="rId17" w:tgtFrame="_blank" w:history="1">
                <w:r>
                  <w:rPr>
                    <w:color w:val="0000FF" w:themeColor="hyperlink"/>
                    <w:u w:val="single"/>
                    <w:lang w:eastAsia="lt-LT"/>
                  </w:rPr>
                  <w:t>71-3216</w:t>
                </w:r>
              </w:hyperlink>
              <w:r>
                <w:rPr>
                  <w:color w:val="000000"/>
                  <w:lang w:eastAsia="lt-LT"/>
                </w:rPr>
                <w:t>), ir vykdydamas Nacionalinę narkotikų kontrolės ir narkomanijos prevencijos 2004–2008 metų programą,</w:t>
              </w:r>
              <w:r>
                <w:rPr>
                  <w:b/>
                  <w:bCs/>
                  <w:color w:val="000000"/>
                  <w:lang w:eastAsia="lt-LT"/>
                </w:rPr>
                <w:t xml:space="preserve"> </w:t>
              </w:r>
              <w:r>
                <w:rPr>
                  <w:color w:val="000000"/>
                  <w:lang w:eastAsia="lt-LT"/>
                </w:rPr>
                <w:t xml:space="preserve">patvirtintą Lietuvos Respublikos Seimo 2004 m. balandžio 8 d. nutarimu Nr. IX-2110 (Žin., 2004, Nr. </w:t>
              </w:r>
              <w:hyperlink r:id="rId18" w:tgtFrame="_blank" w:history="1">
                <w:r>
                  <w:rPr>
                    <w:color w:val="0000FF" w:themeColor="hyperlink"/>
                    <w:u w:val="single"/>
                    <w:lang w:eastAsia="lt-LT"/>
                  </w:rPr>
                  <w:t>58-2041</w:t>
                </w:r>
              </w:hyperlink>
              <w:r>
                <w:rPr>
                  <w:color w:val="000000"/>
                  <w:lang w:eastAsia="lt-LT"/>
                </w:rPr>
                <w:t>), Vaikų ir jaunimo socializacijos programą, patvirtintą Lietuvos Respublikos Vyriausybės 2004 m. vasario 23 d. nutarimu Nr. 209 (Žin., 2004, Nr.</w:t>
              </w:r>
              <w:r>
                <w:rPr>
                  <w:b/>
                  <w:bCs/>
                  <w:color w:val="000000"/>
                  <w:lang w:eastAsia="lt-LT"/>
                </w:rPr>
                <w:t xml:space="preserve"> </w:t>
              </w:r>
              <w:hyperlink r:id="rId19" w:tgtFrame="_blank" w:history="1">
                <w:r>
                  <w:rPr>
                    <w:color w:val="0000FF" w:themeColor="hyperlink"/>
                    <w:u w:val="single"/>
                    <w:lang w:eastAsia="lt-LT"/>
                  </w:rPr>
                  <w:t>30-995</w:t>
                </w:r>
              </w:hyperlink>
              <w:r>
                <w:rPr>
                  <w:color w:val="000000"/>
                  <w:lang w:eastAsia="lt-LT"/>
                </w:rPr>
                <w:t>) ir siekiant užtikrinti saugią ir sveiką aplinką mokyklos bendruomenei bei sudaryti tinkamas sąlygas vaiko gerovei ir švietimo veiksmingumui:</w:t>
              </w:r>
            </w:p>
          </w:sdtContent>
        </w:sdt>
        <w:sdt>
          <w:sdtPr>
            <w:alias w:val="1 p."/>
            <w:tag w:val="part_4d9fdd25cadd49cbbe5c58b40fdf2ecb"/>
            <w:lock w:val="sdtLocked"/>
            <w:richText/>
          </w:sdtPr>
          <w:sdtContent>
            <w:p>
              <w:pPr>
                <w:ind w:firstLine="709"/>
                <w:jc w:val="both"/>
                <w:rPr>
                  <w:color w:val="000000"/>
                  <w:lang w:eastAsia="lt-LT"/>
                </w:rPr>
              </w:pPr>
              <w:sdt>
                <w:sdtPr>
                  <w:alias w:val="Numeris"/>
                  <w:tag w:val="nr_4d9fdd25cadd49cbbe5c58b40fdf2ecb"/>
                  <w:lock w:val="sdtLocked"/>
                  <w:richText/>
                </w:sdtPr>
                <w:sdtContent>
                  <w:r>
                    <w:rPr>
                      <w:color w:val="000000"/>
                      <w:lang w:eastAsia="lt-LT"/>
                    </w:rPr>
                    <w:t>1</w:t>
                  </w:r>
                </w:sdtContent>
              </w:sdt>
              <w:r>
                <w:rPr>
                  <w:color w:val="000000"/>
                  <w:lang w:eastAsia="lt-LT"/>
                </w:rPr>
                <w:t xml:space="preserve">. </w:t>
              </w:r>
              <w:r>
                <w:rPr>
                  <w:color w:val="000000"/>
                  <w:spacing w:val="60"/>
                  <w:lang w:eastAsia="lt-LT"/>
                </w:rPr>
                <w:t>Nustatau</w:t>
              </w:r>
              <w:r>
                <w:rPr>
                  <w:color w:val="000000"/>
                  <w:lang w:eastAsia="lt-LT"/>
                </w:rPr>
                <w:t>, kad:</w:t>
              </w:r>
            </w:p>
            <w:sdt>
              <w:sdtPr>
                <w:alias w:val="1.1 p."/>
                <w:tag w:val="part_1466fb825c0e4b9b85134899e86b1eee"/>
                <w:lock w:val="sdtLocked"/>
                <w:richText/>
              </w:sdtPr>
              <w:sdtContent>
                <w:p>
                  <w:pPr>
                    <w:ind w:firstLine="709"/>
                    <w:jc w:val="both"/>
                    <w:rPr>
                      <w:color w:val="000000"/>
                      <w:lang w:eastAsia="lt-LT"/>
                    </w:rPr>
                  </w:pPr>
                  <w:sdt>
                    <w:sdtPr>
                      <w:alias w:val="Numeris"/>
                      <w:tag w:val="nr_1466fb825c0e4b9b85134899e86b1eee"/>
                      <w:lock w:val="sdtLocked"/>
                      <w:richText/>
                    </w:sdtPr>
                    <w:sdtContent>
                      <w:r>
                        <w:rPr>
                          <w:color w:val="000000"/>
                          <w:lang w:eastAsia="lt-LT"/>
                        </w:rPr>
                        <w:t>1.1</w:t>
                      </w:r>
                    </w:sdtContent>
                  </w:sdt>
                  <w:r>
                    <w:rPr>
                      <w:color w:val="000000"/>
                      <w:lang w:eastAsia="lt-LT"/>
                    </w:rPr>
                    <w:t>. mokyklų vadovai:</w:t>
                  </w:r>
                </w:p>
                <w:sdt>
                  <w:sdtPr>
                    <w:alias w:val="1.1.1 p."/>
                    <w:tag w:val="part_54c2bd1527cc41b6812bcbf5dbe51e52"/>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sz w:val="22"/>
                        </w:rPr>
                        <w:t>.</w:t>
                      </w:r>
                      <w:r>
                        <w:rPr>
                          <w:rFonts w:ascii="Times New Roman" w:eastAsia="MS Mincho" w:hAnsi="Times New Roman"/>
                          <w:sz w:val="20"/>
                          <w:i/>
                          <w:iCs/>
                        </w:rPr>
                        <w:t xml:space="preserve"> Neteko galios nuo 2009-04-22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1940F1131">
                        <w:r w:rsidRPr="00532B9F">
                          <w:rPr>
                            <w:rFonts w:ascii="Times New Roman" w:eastAsia="MS Mincho" w:hAnsi="Times New Roman"/>
                            <w:sz w:val="20"/>
                            <w:i/>
                            <w:iCs/>
                            <w:color w:val="0000FF" w:themeColor="hyperlink"/>
                            <w:u w:val="single"/>
                          </w:rPr>
                          <w:t>ISAK-705</w:t>
                        </w:r>
                      </w:fldSimple>
                      <w:r>
                        <w:rPr>
                          <w:rFonts w:ascii="Times New Roman" w:eastAsia="MS Mincho" w:hAnsi="Times New Roman"/>
                          <w:sz w:val="20"/>
                          <w:i/>
                          <w:iCs/>
                        </w:rPr>
                        <w:t>,
2009-04-14,
Žin. 2009,
Nr.
44-1725 (2009-04-21), i. k. 1092070ISAKISAK-705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65283BCD32">
                        <w:r w:rsidRPr="00532B9F">
                          <w:rPr>
                            <w:rFonts w:ascii="Times New Roman" w:eastAsia="MS Mincho" w:hAnsi="Times New Roman"/>
                            <w:sz w:val="20"/>
                            <w:i/>
                            <w:iCs/>
                            <w:color w:val="0000FF" w:themeColor="hyperlink"/>
                            <w:u w:val="single"/>
                          </w:rPr>
                          <w:t>ISAK-2567</w:t>
                        </w:r>
                      </w:fldSimple>
                      <w:r>
                        <w:rPr>
                          <w:rFonts w:ascii="Times New Roman" w:eastAsia="MS Mincho" w:hAnsi="Times New Roman"/>
                          <w:sz w:val="20"/>
                          <w:i/>
                          <w:iCs/>
                        </w:rPr>
                        <w:t>,
2007-12-22,
Žin., 2007, Nr.
138-5677 (2007-12-29), i. k. 1072070ISAKSAK-2567            </w:t>
                      </w:r>
                    </w:p>
                    <w:p/>
                  </w:sdtContent>
                </w:sdt>
                <w:sdt>
                  <w:sdtPr>
                    <w:alias w:val="1.1.2 p."/>
                    <w:tag w:val="part_9d578ceb6a0f4ce0a969cf2683e93b0d"/>
                    <w:lock w:val="sdtLocked"/>
                    <w:richText/>
                  </w:sdtPr>
                  <w:sdtContent>
                    <w:p>
                      <w:pPr>
                        <w:pStyle w:val="PlainText"/>
                        <w:ind w:firstLine="567"/>
                        <w:jc w:val="both"/>
                        <w:rPr>
                          <w:rFonts w:ascii="Times New Roman" w:hAnsi="Times New Roman"/>
                          <w:b/>
                          <w:bCs/>
                          <w:sz w:val="22"/>
                        </w:rPr>
                      </w:pPr>
                      <w:r>
                        <w:rPr>
                          <w:rFonts w:ascii="Times New Roman" w:hAnsi="Times New Roman"/>
                          <w:sz w:val="22"/>
                        </w:rPr>
                        <w:t>1.1.2</w:t>
                      </w:r>
                      <w:r>
                        <w:rPr>
                          <w:rFonts w:ascii="Times New Roman" w:hAnsi="Times New Roman"/>
                          <w:sz w:val="22"/>
                        </w:rPr>
                        <w:t>.</w:t>
                      </w:r>
                      <w:r>
                        <w:rPr>
                          <w:rFonts w:ascii="Times New Roman" w:eastAsia="MS Mincho" w:hAnsi="Times New Roman"/>
                          <w:sz w:val="20"/>
                          <w:i/>
                          <w:iCs/>
                        </w:rPr>
                        <w:t xml:space="preserve"> Neteko galios nuo 2008-01-01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65283BCD32">
                        <w:r w:rsidRPr="00532B9F">
                          <w:rPr>
                            <w:rFonts w:ascii="Times New Roman" w:eastAsia="MS Mincho" w:hAnsi="Times New Roman"/>
                            <w:sz w:val="20"/>
                            <w:i/>
                            <w:iCs/>
                            <w:color w:val="0000FF" w:themeColor="hyperlink"/>
                            <w:u w:val="single"/>
                          </w:rPr>
                          <w:t>ISAK-2567</w:t>
                        </w:r>
                      </w:fldSimple>
                      <w:r>
                        <w:rPr>
                          <w:rFonts w:ascii="Times New Roman" w:eastAsia="MS Mincho" w:hAnsi="Times New Roman"/>
                          <w:sz w:val="20"/>
                          <w:i/>
                          <w:iCs/>
                        </w:rPr>
                        <w:t>,
2007-12-22,
Žin. 2007,
Nr.
138-5677 (2007-12-29), i. k. 1072070ISAKSAK-2567        </w:t>
                      </w:r>
                    </w:p>
                    <w:p/>
                  </w:sdtContent>
                </w:sdt>
                <w:sdt>
                  <w:sdtPr>
                    <w:alias w:val="1.1.3 p."/>
                    <w:tag w:val="part_78653b1182874614a6f0b1e3488c1b01"/>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2008-01-01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65283BCD32">
                        <w:r w:rsidRPr="00532B9F">
                          <w:rPr>
                            <w:rFonts w:ascii="Times New Roman" w:eastAsia="MS Mincho" w:hAnsi="Times New Roman"/>
                            <w:sz w:val="20"/>
                            <w:i/>
                            <w:iCs/>
                            <w:color w:val="0000FF" w:themeColor="hyperlink"/>
                            <w:u w:val="single"/>
                          </w:rPr>
                          <w:t>ISAK-2567</w:t>
                        </w:r>
                      </w:fldSimple>
                      <w:r>
                        <w:rPr>
                          <w:rFonts w:ascii="Times New Roman" w:eastAsia="MS Mincho" w:hAnsi="Times New Roman"/>
                          <w:sz w:val="20"/>
                          <w:i/>
                          <w:iCs/>
                        </w:rPr>
                        <w:t>,
2007-12-22,
Žin. 2007,
Nr.
138-5677 (2007-12-29), i. k. 1072070ISAKSAK-2567        </w:t>
                      </w:r>
                    </w:p>
                    <w:p/>
                  </w:sdtContent>
                </w:sdt>
                <w:sdt>
                  <w:sdtPr>
                    <w:alias w:val="1.1.4 p."/>
                    <w:tag w:val="part_9c9578f915d14ce6b6b9f42a0a307573"/>
                    <w:lock w:val="sdtLocked"/>
                    <w:richText/>
                  </w:sdtPr>
                  <w:sdtContent>
                    <w:p>
                      <w:pPr>
                        <w:ind w:firstLine="709"/>
                        <w:jc w:val="both"/>
                        <w:rPr>
                          <w:color w:val="000000"/>
                          <w:lang w:eastAsia="lt-LT"/>
                        </w:rPr>
                      </w:pPr>
                      <w:sdt>
                        <w:sdtPr>
                          <w:alias w:val="Numeris"/>
                          <w:tag w:val="nr_9c9578f915d14ce6b6b9f42a0a307573"/>
                          <w:lock w:val="sdtLocked"/>
                          <w:richText/>
                        </w:sdtPr>
                        <w:sdtContent>
                          <w:r>
                            <w:rPr>
                              <w:color w:val="000000"/>
                              <w:lang w:eastAsia="lt-LT"/>
                            </w:rPr>
                            <w:t>1.1.4</w:t>
                          </w:r>
                        </w:sdtContent>
                      </w:sdt>
                      <w:r>
                        <w:rPr>
                          <w:color w:val="000000"/>
                          <w:lang w:eastAsia="lt-LT"/>
                        </w:rPr>
                        <w:t>. informuoja mokyklos bendruomenę apie pagalbos mokiniui, mokytojui ir mokyklai teikiančių institucijų, policijos, Vaiko teisių apsaugos tarnybos, Pedagoginės psichologinės tarnybos, Psichikos sveikatos centro, Priklausomybės ligų centro, Lietuvos AIDS centro bei organizacijų, dirbančių teisės pažeidimų, mokyklos nelankymo, smurto, prievartos, savižudybių, ŽIV/AIDS prevencijos srityse, adresus ir telefonus;</w:t>
                      </w:r>
                    </w:p>
                  </w:sdtContent>
                </w:sdt>
                <w:sdt>
                  <w:sdtPr>
                    <w:alias w:val="1.1.5 p."/>
                    <w:tag w:val="part_b3cf294c9fd6456ea287c9d0d4a74a2f"/>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2008-01-01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65283BCD32">
                        <w:r w:rsidRPr="00532B9F">
                          <w:rPr>
                            <w:rFonts w:ascii="Times New Roman" w:eastAsia="MS Mincho" w:hAnsi="Times New Roman"/>
                            <w:sz w:val="20"/>
                            <w:i/>
                            <w:iCs/>
                            <w:color w:val="0000FF" w:themeColor="hyperlink"/>
                            <w:u w:val="single"/>
                          </w:rPr>
                          <w:t>ISAK-2567</w:t>
                        </w:r>
                      </w:fldSimple>
                      <w:r>
                        <w:rPr>
                          <w:rFonts w:ascii="Times New Roman" w:eastAsia="MS Mincho" w:hAnsi="Times New Roman"/>
                          <w:sz w:val="20"/>
                          <w:i/>
                          <w:iCs/>
                        </w:rPr>
                        <w:t>,
2007-12-22,
Žin. 2007,
Nr.
138-5677 (2007-12-29), i. k. 1072070ISAKSAK-2567        </w:t>
                      </w:r>
                    </w:p>
                    <w:p/>
                  </w:sdtContent>
                </w:sdt>
                <w:sdt>
                  <w:sdtPr>
                    <w:alias w:val="1.1.6 p."/>
                    <w:tag w:val="part_18fb8c06f5d9497c9de48b02c0d79b37"/>
                    <w:lock w:val="sdtLocked"/>
                    <w:richText/>
                  </w:sdtPr>
                  <w:sdtContent>
                    <w:p>
                      <w:pPr>
                        <w:ind w:firstLine="709"/>
                        <w:jc w:val="both"/>
                        <w:rPr>
                          <w:color w:val="000000"/>
                          <w:lang w:eastAsia="lt-LT"/>
                        </w:rPr>
                      </w:pPr>
                      <w:sdt>
                        <w:sdtPr>
                          <w:alias w:val="Numeris"/>
                          <w:tag w:val="nr_18fb8c06f5d9497c9de48b02c0d79b37"/>
                          <w:lock w:val="sdtLocked"/>
                          <w:richText/>
                        </w:sdtPr>
                        <w:sdtContent>
                          <w:r>
                            <w:rPr>
                              <w:color w:val="000000"/>
                              <w:lang w:eastAsia="lt-LT"/>
                            </w:rPr>
                            <w:t>1.1.6</w:t>
                          </w:r>
                        </w:sdtContent>
                      </w:sdt>
                      <w:r>
                        <w:rPr>
                          <w:color w:val="000000"/>
                          <w:lang w:eastAsia="lt-LT"/>
                        </w:rPr>
                        <w:t>. integruoja į mokyklos ugdymo turinį mokytojų, socialinių pedagogų, psichologų, visuomenės sveikatos specialistų, klasės auklėtojų organizuojamą Narkotinių medžiagų, alkoholio bei tabako vartojimo prevencijos kursą apie narkotinių medžiagų, alkoholio bei tabako žalą žmogaus sveikatai bei visuomenei, siekdami ugdyti mokinių gyvenimo įgūdžius, atsparumą žalingiems įpročiams, plėtodami darbą su šeima;</w:t>
                      </w:r>
                    </w:p>
                  </w:sdtContent>
                </w:sdt>
                <w:sdt>
                  <w:sdtPr>
                    <w:alias w:val="1.1.7 p."/>
                    <w:tag w:val="part_11ae7269670f4207a3658c97735f6791"/>
                    <w:lock w:val="sdtLocked"/>
                    <w:richText/>
                  </w:sdtPr>
                  <w:sdtContent>
                    <w:p>
                      <w:pPr>
                        <w:ind w:firstLine="709"/>
                        <w:jc w:val="both"/>
                        <w:rPr>
                          <w:color w:val="000000"/>
                          <w:lang w:eastAsia="lt-LT"/>
                        </w:rPr>
                      </w:pPr>
                      <w:sdt>
                        <w:sdtPr>
                          <w:alias w:val="Numeris"/>
                          <w:tag w:val="nr_11ae7269670f4207a3658c97735f6791"/>
                          <w:lock w:val="sdtLocked"/>
                          <w:richText/>
                        </w:sdtPr>
                        <w:sdtContent>
                          <w:r>
                            <w:rPr>
                              <w:color w:val="000000"/>
                              <w:lang w:eastAsia="lt-LT"/>
                            </w:rPr>
                            <w:t>1.1.7</w:t>
                          </w:r>
                        </w:sdtContent>
                      </w:sdt>
                      <w:r>
                        <w:rPr>
                          <w:color w:val="000000"/>
                          <w:lang w:eastAsia="lt-LT"/>
                        </w:rPr>
                        <w:t>. sudaro sąlygas tobulinti administracijos, mokytojų, psichologų, socialinių pedagogų, klasių auklėtojų ir kitų asmenų, dirbančių su vaikais, kvalifikaciją narkotinių medžiagų vartojimo, ŽIV/AIDS, smurto, prievartos, savižudybių, nuskalstamumo ir kitais prevencinio darbo klausimais;</w:t>
                      </w:r>
                    </w:p>
                  </w:sdtContent>
                </w:sdt>
                <w:sdt>
                  <w:sdtPr>
                    <w:alias w:val="1.1.8 p."/>
                    <w:tag w:val="part_7b4562b1a6bb49668e738fd9ee44a0c1"/>
                    <w:lock w:val="sdtLocked"/>
                    <w:richText/>
                  </w:sdtPr>
                  <w:sdtContent>
                    <w:p>
                      <w:pPr>
                        <w:ind w:firstLine="709"/>
                        <w:jc w:val="both"/>
                        <w:rPr>
                          <w:color w:val="000000"/>
                          <w:lang w:eastAsia="lt-LT"/>
                        </w:rPr>
                      </w:pPr>
                      <w:sdt>
                        <w:sdtPr>
                          <w:alias w:val="Numeris"/>
                          <w:tag w:val="nr_7b4562b1a6bb49668e738fd9ee44a0c1"/>
                          <w:lock w:val="sdtLocked"/>
                          <w:richText/>
                        </w:sdtPr>
                        <w:sdtContent>
                          <w:r>
                            <w:rPr>
                              <w:color w:val="000000"/>
                              <w:lang w:eastAsia="lt-LT"/>
                            </w:rPr>
                            <w:t>1.1.8</w:t>
                          </w:r>
                        </w:sdtContent>
                      </w:sdt>
                      <w:r>
                        <w:rPr>
                          <w:color w:val="000000"/>
                          <w:lang w:eastAsia="lt-LT"/>
                        </w:rPr>
                        <w:t>. užtikrina, kad narkomanijos, ŽIV/AIDS, prievartos, smurto, nusikalstamumo ir kitoms prevencinėms programoms įgyvendinti būtų naudojama Švietimo ir mokslo ministerijos rekomenduota literatūra ir vaizdinės priemonės;</w:t>
                      </w:r>
                    </w:p>
                  </w:sdtContent>
                </w:sdt>
                <w:sdt>
                  <w:sdtPr>
                    <w:alias w:val="1.1.9 p."/>
                    <w:tag w:val="part_9c1e7c273d574c1eb03568fed7a5728b"/>
                    <w:lock w:val="sdtLocked"/>
                    <w:richText/>
                  </w:sdtPr>
                  <w:sdtContent>
                    <w:p>
                      <w:pPr>
                        <w:ind w:firstLine="709"/>
                        <w:jc w:val="both"/>
                        <w:rPr>
                          <w:color w:val="000000"/>
                          <w:lang w:eastAsia="lt-LT"/>
                        </w:rPr>
                      </w:pPr>
                      <w:sdt>
                        <w:sdtPr>
                          <w:alias w:val="Numeris"/>
                          <w:tag w:val="nr_9c1e7c273d574c1eb03568fed7a5728b"/>
                          <w:lock w:val="sdtLocked"/>
                          <w:richText/>
                        </w:sdtPr>
                        <w:sdtContent>
                          <w:r>
                            <w:rPr>
                              <w:color w:val="000000"/>
                              <w:lang w:eastAsia="lt-LT"/>
                            </w:rPr>
                            <w:t>1.1.9</w:t>
                          </w:r>
                        </w:sdtContent>
                      </w:sdt>
                      <w:r>
                        <w:rPr>
                          <w:color w:val="000000"/>
                          <w:lang w:eastAsia="lt-LT"/>
                        </w:rPr>
                        <w:t xml:space="preserve">. sustiprina Tabako kontrolės įstatymo (Žin., 1996, Nr. </w:t>
                      </w:r>
                      <w:hyperlink r:id="rId20" w:tgtFrame="_blank" w:history="1">
                        <w:r>
                          <w:rPr>
                            <w:color w:val="0000FF" w:themeColor="hyperlink"/>
                            <w:u w:val="single"/>
                            <w:lang w:eastAsia="lt-LT"/>
                          </w:rPr>
                          <w:t>11-281</w:t>
                        </w:r>
                      </w:hyperlink>
                      <w:r>
                        <w:rPr>
                          <w:color w:val="000000"/>
                          <w:lang w:eastAsia="lt-LT"/>
                        </w:rPr>
                        <w:t xml:space="preserve">; 2003, Nr. </w:t>
                      </w:r>
                      <w:hyperlink r:id="rId21" w:tgtFrame="_blank" w:history="1">
                        <w:r>
                          <w:rPr>
                            <w:color w:val="0000FF" w:themeColor="hyperlink"/>
                            <w:u w:val="single"/>
                            <w:lang w:eastAsia="lt-LT"/>
                          </w:rPr>
                          <w:t>117-5317</w:t>
                        </w:r>
                      </w:hyperlink>
                      <w:r>
                        <w:rPr>
                          <w:color w:val="000000"/>
                          <w:lang w:eastAsia="lt-LT"/>
                        </w:rPr>
                        <w:t xml:space="preserve">), Alkoholio kontrolės įstatymo (Žin., 1995, Nr. </w:t>
                      </w:r>
                      <w:hyperlink r:id="rId22" w:tgtFrame="_blank" w:history="1">
                        <w:r>
                          <w:rPr>
                            <w:color w:val="0000FF" w:themeColor="hyperlink"/>
                            <w:u w:val="single"/>
                            <w:lang w:eastAsia="lt-LT"/>
                          </w:rPr>
                          <w:t>44-1073</w:t>
                        </w:r>
                      </w:hyperlink>
                      <w:r>
                        <w:rPr>
                          <w:color w:val="000000"/>
                          <w:lang w:eastAsia="lt-LT"/>
                        </w:rPr>
                        <w:t xml:space="preserve">; 2004, Nr. </w:t>
                      </w:r>
                      <w:hyperlink r:id="rId23" w:tgtFrame="_blank" w:history="1">
                        <w:r>
                          <w:rPr>
                            <w:color w:val="0000FF" w:themeColor="hyperlink"/>
                            <w:u w:val="single"/>
                            <w:lang w:eastAsia="lt-LT"/>
                          </w:rPr>
                          <w:t>47-1548</w:t>
                        </w:r>
                      </w:hyperlink>
                      <w:r>
                        <w:rPr>
                          <w:color w:val="000000"/>
                          <w:lang w:eastAsia="lt-LT"/>
                        </w:rPr>
                        <w:t xml:space="preserve">), Narkotinių ir psichotropinių medžiagų kontrolės įstatymo (Žin., 1998, Nr. </w:t>
                      </w:r>
                      <w:hyperlink r:id="rId24" w:tgtFrame="_blank" w:history="1">
                        <w:r>
                          <w:rPr>
                            <w:color w:val="0000FF" w:themeColor="hyperlink"/>
                            <w:u w:val="single"/>
                            <w:lang w:eastAsia="lt-LT"/>
                          </w:rPr>
                          <w:t>8-161</w:t>
                        </w:r>
                      </w:hyperlink>
                      <w:r>
                        <w:rPr>
                          <w:color w:val="000000"/>
                          <w:lang w:eastAsia="lt-LT"/>
                        </w:rPr>
                        <w:t>) laikymąsi mokyklose, kad mokiniai, pedagogai ir kiti asmenys nevartotų ir neplatintų tabako, alkoholio, narkotinių bei psichotropinių medžiagų;</w:t>
                      </w:r>
                    </w:p>
                  </w:sdtContent>
                </w:sdt>
                <w:sdt>
                  <w:sdtPr>
                    <w:alias w:val="1.1.10 p."/>
                    <w:tag w:val="part_b1830886fad542bea4a8d5e92130f351"/>
                    <w:lock w:val="sdtLocked"/>
                    <w:richText/>
                  </w:sdtPr>
                  <w:sdtContent>
                    <w:p>
                      <w:pPr>
                        <w:ind w:firstLine="709"/>
                        <w:jc w:val="both"/>
                        <w:rPr>
                          <w:color w:val="000000"/>
                          <w:lang w:eastAsia="lt-LT"/>
                        </w:rPr>
                      </w:pPr>
                      <w:sdt>
                        <w:sdtPr>
                          <w:alias w:val="Numeris"/>
                          <w:tag w:val="nr_b1830886fad542bea4a8d5e92130f351"/>
                          <w:lock w:val="sdtLocked"/>
                          <w:richText/>
                        </w:sdtPr>
                        <w:sdtContent>
                          <w:r>
                            <w:rPr>
                              <w:color w:val="000000"/>
                              <w:lang w:eastAsia="lt-LT"/>
                            </w:rPr>
                            <w:t>1.1.10</w:t>
                          </w:r>
                        </w:sdtContent>
                      </w:sdt>
                      <w:r>
                        <w:rPr>
                          <w:color w:val="000000"/>
                          <w:lang w:eastAsia="lt-LT"/>
                        </w:rPr>
                        <w:t>. sudaro sąlygas mokinių atostogų metu naudotis mokyklų baze vietos bendruomenės vaikams, ypatingą dėmesį skiria probleminių ir socialiai remtinų šeimų vaikams;</w:t>
                      </w:r>
                    </w:p>
                  </w:sdtContent>
                </w:sdt>
              </w:sdtContent>
            </w:sdt>
            <w:sdt>
              <w:sdtPr>
                <w:alias w:val="1.2 p."/>
                <w:tag w:val="part_894c63b7ea504c019fe9e01f6b1ba12f"/>
                <w:lock w:val="sdtLocked"/>
                <w:richText/>
              </w:sdtPr>
              <w:sdtContent>
                <w:p>
                  <w:pPr>
                    <w:ind w:firstLine="709"/>
                    <w:jc w:val="both"/>
                    <w:rPr>
                      <w:color w:val="000000"/>
                      <w:lang w:eastAsia="lt-LT"/>
                    </w:rPr>
                  </w:pPr>
                  <w:sdt>
                    <w:sdtPr>
                      <w:alias w:val="Numeris"/>
                      <w:tag w:val="nr_894c63b7ea504c019fe9e01f6b1ba12f"/>
                      <w:lock w:val="sdtLocked"/>
                      <w:richText/>
                    </w:sdtPr>
                    <w:sdtContent>
                      <w:r>
                        <w:rPr>
                          <w:color w:val="000000"/>
                          <w:lang w:eastAsia="lt-LT"/>
                        </w:rPr>
                        <w:t>1.2</w:t>
                      </w:r>
                    </w:sdtContent>
                  </w:sdt>
                  <w:r>
                    <w:rPr>
                      <w:color w:val="000000"/>
                      <w:lang w:eastAsia="lt-LT"/>
                    </w:rPr>
                    <w:t>. savivaldybių administracijos:</w:t>
                  </w:r>
                </w:p>
                <w:sdt>
                  <w:sdtPr>
                    <w:alias w:val="1.2.1 p."/>
                    <w:tag w:val="part_94147e07cd08478295ea287096a1227d"/>
                    <w:lock w:val="sdtLocked"/>
                    <w:richText/>
                  </w:sdtPr>
                  <w:sdtContent>
                    <w:p>
                      <w:pPr>
                        <w:ind w:firstLine="709"/>
                        <w:jc w:val="both"/>
                        <w:rPr>
                          <w:color w:val="000000"/>
                          <w:lang w:eastAsia="lt-LT"/>
                        </w:rPr>
                      </w:pPr>
                      <w:sdt>
                        <w:sdtPr>
                          <w:alias w:val="Numeris"/>
                          <w:tag w:val="nr_94147e07cd08478295ea287096a1227d"/>
                          <w:lock w:val="sdtLocked"/>
                          <w:richText/>
                        </w:sdtPr>
                        <w:sdtContent>
                          <w:r>
                            <w:t>1.2.1</w:t>
                          </w:r>
                        </w:sdtContent>
                      </w:sdt>
                      <w:r>
                        <w:t xml:space="preserve">. įgyvendina priemones, kurios padėtų užtikrinti vaiko teisę į mokslą ir sugrąžintų į mokyklą jos nelankančius vaikus;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65283BCD32">
                        <w:r w:rsidRPr="00532B9F">
                          <w:rPr>
                            <w:rFonts w:ascii="Times New Roman" w:eastAsia="MS Mincho" w:hAnsi="Times New Roman"/>
                            <w:sz w:val="20"/>
                            <w:i/>
                            <w:iCs/>
                            <w:color w:val="0000FF" w:themeColor="hyperlink"/>
                            <w:u w:val="single"/>
                          </w:rPr>
                          <w:t>ISAK-2567</w:t>
                        </w:r>
                      </w:fldSimple>
                      <w:r>
                        <w:rPr>
                          <w:rFonts w:ascii="Times New Roman" w:eastAsia="MS Mincho" w:hAnsi="Times New Roman"/>
                          <w:sz w:val="20"/>
                          <w:i/>
                          <w:iCs/>
                        </w:rPr>
                        <w:t>,
2007-12-22,
Žin., 2007, Nr.
138-5677 (2007-12-29), i. k. 1072070ISAKSAK-2567            </w:t>
                      </w:r>
                    </w:p>
                    <w:p/>
                  </w:sdtContent>
                </w:sdt>
                <w:sdt>
                  <w:sdtPr>
                    <w:alias w:val="1.2.2 p."/>
                    <w:tag w:val="part_5cada0be09a4425e89988cc16bbb92d0"/>
                    <w:lock w:val="sdtLocked"/>
                    <w:richText/>
                  </w:sdtPr>
                  <w:sdtContent>
                    <w:p>
                      <w:pPr>
                        <w:pStyle w:val="PlainText"/>
                        <w:ind w:firstLine="567"/>
                        <w:jc w:val="both"/>
                        <w:rPr>
                          <w:rFonts w:ascii="Times New Roman" w:hAnsi="Times New Roman"/>
                          <w:b/>
                          <w:bCs/>
                          <w:sz w:val="22"/>
                        </w:rPr>
                      </w:pPr>
                      <w:r>
                        <w:rPr>
                          <w:rFonts w:ascii="Times New Roman" w:hAnsi="Times New Roman"/>
                          <w:sz w:val="22"/>
                        </w:rPr>
                        <w:t>1.2.2</w:t>
                      </w:r>
                      <w:r>
                        <w:rPr>
                          <w:rFonts w:ascii="Times New Roman" w:hAnsi="Times New Roman"/>
                          <w:sz w:val="22"/>
                        </w:rPr>
                        <w:t>.</w:t>
                      </w:r>
                      <w:r>
                        <w:rPr>
                          <w:rFonts w:ascii="Times New Roman" w:eastAsia="MS Mincho" w:hAnsi="Times New Roman"/>
                          <w:sz w:val="20"/>
                          <w:i/>
                          <w:iCs/>
                        </w:rPr>
                        <w:t xml:space="preserve"> Neteko galios nuo 2008-01-01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65283BCD32">
                        <w:r w:rsidRPr="00532B9F">
                          <w:rPr>
                            <w:rFonts w:ascii="Times New Roman" w:eastAsia="MS Mincho" w:hAnsi="Times New Roman"/>
                            <w:sz w:val="20"/>
                            <w:i/>
                            <w:iCs/>
                            <w:color w:val="0000FF" w:themeColor="hyperlink"/>
                            <w:u w:val="single"/>
                          </w:rPr>
                          <w:t>ISAK-2567</w:t>
                        </w:r>
                      </w:fldSimple>
                      <w:r>
                        <w:rPr>
                          <w:rFonts w:ascii="Times New Roman" w:eastAsia="MS Mincho" w:hAnsi="Times New Roman"/>
                          <w:sz w:val="20"/>
                          <w:i/>
                          <w:iCs/>
                        </w:rPr>
                        <w:t>,
2007-12-22,
Žin. 2007,
Nr.
138-5677 (2007-12-29), i. k. 1072070ISAKSAK-2567        </w:t>
                      </w:r>
                    </w:p>
                    <w:p/>
                  </w:sdtContent>
                </w:sdt>
                <w:sdt>
                  <w:sdtPr>
                    <w:alias w:val="1.2.3 p."/>
                    <w:tag w:val="part_e03d35a160a04c4aaefb2615786f4f34"/>
                    <w:lock w:val="sdtLocked"/>
                    <w:richText/>
                  </w:sdtPr>
                  <w:sdtContent>
                    <w:p>
                      <w:pPr>
                        <w:ind w:firstLine="709"/>
                        <w:jc w:val="both"/>
                        <w:rPr>
                          <w:color w:val="000000"/>
                          <w:lang w:eastAsia="lt-LT"/>
                        </w:rPr>
                      </w:pPr>
                      <w:sdt>
                        <w:sdtPr>
                          <w:alias w:val="Numeris"/>
                          <w:tag w:val="nr_e03d35a160a04c4aaefb2615786f4f34"/>
                          <w:lock w:val="sdtLocked"/>
                          <w:richText/>
                        </w:sdtPr>
                        <w:sdtContent>
                          <w:r>
                            <w:rPr>
                              <w:color w:val="000000"/>
                              <w:lang w:eastAsia="lt-LT"/>
                            </w:rPr>
                            <w:t>1.2.3</w:t>
                          </w:r>
                        </w:sdtContent>
                      </w:sdt>
                      <w:r>
                        <w:rPr>
                          <w:color w:val="000000"/>
                          <w:lang w:eastAsia="lt-LT"/>
                        </w:rPr>
                        <w:t>. kasmet iki spalio 25 d. teikia Švietimo ir mokslo ministerijai ataskaitas apie mokyklų vykdomas priemones narkotinių medžiagų vartojimo, ŽIV/AIDS, prievartos, smurto, nusikalstamumo prevencijos klausimais bei siūlymus prevenciniam darbui gerinti pagal Švietimo ir mokslo ministerijos parengtas rekomendacijas;</w:t>
                      </w:r>
                    </w:p>
                  </w:sdtContent>
                </w:sdt>
                <w:sdt>
                  <w:sdtPr>
                    <w:alias w:val="1.2.4 p."/>
                    <w:tag w:val="part_4392025a5e724ba89150e94bacf7ad1c"/>
                    <w:lock w:val="sdtLocked"/>
                    <w:richText/>
                  </w:sdtPr>
                  <w:sdtContent>
                    <w:p>
                      <w:pPr>
                        <w:ind w:firstLine="709"/>
                        <w:jc w:val="both"/>
                        <w:rPr>
                          <w:color w:val="000000"/>
                          <w:lang w:eastAsia="lt-LT"/>
                        </w:rPr>
                      </w:pPr>
                      <w:sdt>
                        <w:sdtPr>
                          <w:alias w:val="Numeris"/>
                          <w:tag w:val="nr_4392025a5e724ba89150e94bacf7ad1c"/>
                          <w:lock w:val="sdtLocked"/>
                          <w:richText/>
                        </w:sdtPr>
                        <w:sdtContent>
                          <w:r>
                            <w:rPr>
                              <w:color w:val="000000"/>
                              <w:lang w:eastAsia="lt-LT"/>
                            </w:rPr>
                            <w:t>1.2.4</w:t>
                          </w:r>
                        </w:sdtContent>
                      </w:sdt>
                      <w:r>
                        <w:rPr>
                          <w:color w:val="000000"/>
                          <w:lang w:eastAsia="lt-LT"/>
                        </w:rPr>
                        <w:t>. organizuoja mokytojams, socialiniams pedagogams, psichologams, visuomenės sveikatos specialistams, klasės auklėtojams kvalifikacijos kėlimą narkotinių medžiagų, alkoholio bei tabako vartojimo, smurto, savižudybių ir kitais prevencinio darbo klausimais.</w:t>
                      </w:r>
                    </w:p>
                  </w:sdtContent>
                </w:sdt>
              </w:sdtContent>
            </w:sdt>
          </w:sdtContent>
        </w:sdt>
        <w:sdt>
          <w:sdtPr>
            <w:alias w:val="2 p."/>
            <w:tag w:val="part_6af709c034bd40f2a35bb1384b4f0b6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2008-01-01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65283BCD32">
                <w:r w:rsidRPr="00532B9F">
                  <w:rPr>
                    <w:rFonts w:ascii="Times New Roman" w:eastAsia="MS Mincho" w:hAnsi="Times New Roman"/>
                    <w:sz w:val="20"/>
                    <w:i/>
                    <w:iCs/>
                    <w:color w:val="0000FF" w:themeColor="hyperlink"/>
                    <w:u w:val="single"/>
                  </w:rPr>
                  <w:t>ISAK-2567</w:t>
                </w:r>
              </w:fldSimple>
              <w:r>
                <w:rPr>
                  <w:rFonts w:ascii="Times New Roman" w:eastAsia="MS Mincho" w:hAnsi="Times New Roman"/>
                  <w:sz w:val="20"/>
                  <w:i/>
                  <w:iCs/>
                </w:rPr>
                <w:t>,
2007-12-22,
Žin. 2007,
Nr.
138-5677 (2007-12-29), i. k. 1072070ISAKSAK-2567        </w:t>
              </w:r>
            </w:p>
            <w:p/>
          </w:sdtContent>
        </w:sdt>
        <w:sdt>
          <w:sdtPr>
            <w:alias w:val="3 p."/>
            <w:tag w:val="part_735957db016b4ef981200a98c8e4cd85"/>
            <w:lock w:val="sdtLocked"/>
            <w:richText/>
          </w:sdtPr>
          <w:sdtContent>
            <w:p>
              <w:pPr>
                <w:ind w:firstLine="709"/>
                <w:jc w:val="both"/>
                <w:rPr>
                  <w:color w:val="000000"/>
                  <w:lang w:eastAsia="lt-LT"/>
                </w:rPr>
              </w:pPr>
              <w:sdt>
                <w:sdtPr>
                  <w:alias w:val="Numeris"/>
                  <w:tag w:val="nr_735957db016b4ef981200a98c8e4cd85"/>
                  <w:lock w:val="sdtLocked"/>
                  <w:richText/>
                </w:sdtPr>
                <w:sdtContent>
                  <w:r>
                    <w:rPr>
                      <w:color w:val="000000"/>
                      <w:lang w:eastAsia="lt-LT"/>
                    </w:rPr>
                    <w:t>3</w:t>
                  </w:r>
                </w:sdtContent>
              </w:sdt>
              <w:r>
                <w:rPr>
                  <w:color w:val="000000"/>
                  <w:lang w:eastAsia="lt-LT"/>
                </w:rPr>
                <w:t>. Šis įsakymas taikomas visų grupių ir tipų mokykloms neatsižvelgiant į jų pavaldumą ir nuosavybės formas.</w:t>
              </w:r>
            </w:p>
          </w:sdtContent>
        </w:sdt>
        <w:sdt>
          <w:sdtPr>
            <w:alias w:val="4 p."/>
            <w:tag w:val="part_4c3dd63b1bec4fec9f83b5ef03e605f6"/>
            <w:lock w:val="sdtLocked"/>
            <w:richText/>
          </w:sdtPr>
          <w:sdtContent>
            <w:p>
              <w:pPr>
                <w:ind w:firstLine="709"/>
                <w:jc w:val="both"/>
                <w:rPr>
                  <w:color w:val="000000"/>
                  <w:lang w:eastAsia="lt-LT"/>
                </w:rPr>
              </w:pPr>
              <w:sdt>
                <w:sdtPr>
                  <w:alias w:val="Numeris"/>
                  <w:tag w:val="nr_4c3dd63b1bec4fec9f83b5ef03e605f6"/>
                  <w:lock w:val="sdtLocked"/>
                  <w:richText/>
                </w:sdtPr>
                <w:sdtContent>
                  <w:r>
                    <w:rPr>
                      <w:color w:val="000000"/>
                      <w:lang w:eastAsia="lt-LT"/>
                    </w:rPr>
                    <w:t>4</w:t>
                  </w:r>
                </w:sdtContent>
              </w:sdt>
              <w:r>
                <w:rPr>
                  <w:color w:val="000000"/>
                  <w:lang w:eastAsia="lt-LT"/>
                </w:rPr>
                <w:t xml:space="preserve">. </w:t>
              </w:r>
              <w:r>
                <w:rPr>
                  <w:color w:val="000000"/>
                  <w:spacing w:val="60"/>
                  <w:lang w:eastAsia="lt-LT"/>
                </w:rPr>
                <w:t>Pripažįstu</w:t>
              </w:r>
              <w:r>
                <w:rPr>
                  <w:color w:val="000000"/>
                  <w:lang w:eastAsia="lt-LT"/>
                </w:rPr>
                <w:t xml:space="preserve"> netekusiais galios:</w:t>
              </w:r>
            </w:p>
            <w:sdt>
              <w:sdtPr>
                <w:alias w:val="4.1 p."/>
                <w:tag w:val="part_cf37cbe7f3854c8398c1934d0d8b9901"/>
                <w:lock w:val="sdtLocked"/>
                <w:richText/>
              </w:sdtPr>
              <w:sdtContent>
                <w:p>
                  <w:pPr>
                    <w:ind w:firstLine="709"/>
                    <w:jc w:val="both"/>
                    <w:rPr>
                      <w:color w:val="000000"/>
                      <w:lang w:eastAsia="lt-LT"/>
                    </w:rPr>
                  </w:pPr>
                  <w:sdt>
                    <w:sdtPr>
                      <w:alias w:val="Numeris"/>
                      <w:tag w:val="nr_cf37cbe7f3854c8398c1934d0d8b9901"/>
                      <w:lock w:val="sdtLocked"/>
                      <w:richText/>
                    </w:sdtPr>
                    <w:sdtContent>
                      <w:r>
                        <w:rPr>
                          <w:color w:val="000000"/>
                          <w:lang w:eastAsia="lt-LT"/>
                        </w:rPr>
                        <w:t>4.1</w:t>
                      </w:r>
                    </w:sdtContent>
                  </w:sdt>
                  <w:r>
                    <w:rPr>
                      <w:color w:val="000000"/>
                      <w:lang w:eastAsia="lt-LT"/>
                    </w:rPr>
                    <w:t xml:space="preserve">. švietimo ir mokslo ministro 2000 m. liepos 5 d. įsakymą Nr. 921 „Dėl narkotinių ir psichotropinių medžiagų vartojimo prevencijos švietimo įstaigose“ (Žin., 2000, Nr. </w:t>
                  </w:r>
                  <w:hyperlink r:id="rId25" w:tgtFrame="_blank" w:history="1">
                    <w:r>
                      <w:rPr>
                        <w:color w:val="0000FF" w:themeColor="hyperlink"/>
                        <w:u w:val="single"/>
                        <w:lang w:eastAsia="lt-LT"/>
                      </w:rPr>
                      <w:t>66-2005</w:t>
                    </w:r>
                  </w:hyperlink>
                  <w:r>
                    <w:rPr>
                      <w:color w:val="000000"/>
                      <w:lang w:eastAsia="lt-LT"/>
                    </w:rPr>
                    <w:t>);</w:t>
                  </w:r>
                </w:p>
              </w:sdtContent>
            </w:sdt>
            <w:sdt>
              <w:sdtPr>
                <w:alias w:val="4.2 p."/>
                <w:tag w:val="part_d3f4b5dcde3e4be7b9eafb02fccd68e2"/>
                <w:lock w:val="sdtLocked"/>
                <w:richText/>
              </w:sdtPr>
              <w:sdtContent>
                <w:p>
                  <w:pPr>
                    <w:ind w:firstLine="709"/>
                    <w:jc w:val="both"/>
                    <w:rPr>
                      <w:color w:val="000000"/>
                      <w:lang w:eastAsia="lt-LT"/>
                    </w:rPr>
                  </w:pPr>
                  <w:sdt>
                    <w:sdtPr>
                      <w:alias w:val="Numeris"/>
                      <w:tag w:val="nr_d3f4b5dcde3e4be7b9eafb02fccd68e2"/>
                      <w:lock w:val="sdtLocked"/>
                      <w:richText/>
                    </w:sdtPr>
                    <w:sdtContent>
                      <w:r>
                        <w:rPr>
                          <w:color w:val="000000"/>
                          <w:lang w:eastAsia="lt-LT"/>
                        </w:rPr>
                        <w:t>4.2</w:t>
                      </w:r>
                    </w:sdtContent>
                  </w:sdt>
                  <w:r>
                    <w:rPr>
                      <w:color w:val="000000"/>
                      <w:lang w:eastAsia="lt-LT"/>
                    </w:rPr>
                    <w:t>. švietimo ir mokslo ministro 2000 m. rugpjūčio 31 d. įsakymą Nr. 1087 „Dėl narkotinių ir psichotropinių medžiagų vartojimo prevencijos ugdymo įstaigose“;</w:t>
                  </w:r>
                </w:p>
              </w:sdtContent>
            </w:sdt>
            <w:sdt>
              <w:sdtPr>
                <w:alias w:val="4.3 p."/>
                <w:tag w:val="part_819113e38e6a4d9694a63e3809599861"/>
                <w:lock w:val="sdtLocked"/>
                <w:richText/>
              </w:sdtPr>
              <w:sdtContent>
                <w:p>
                  <w:pPr>
                    <w:ind w:firstLine="709"/>
                    <w:jc w:val="both"/>
                    <w:rPr>
                      <w:color w:val="000000"/>
                      <w:lang w:eastAsia="lt-LT"/>
                    </w:rPr>
                  </w:pPr>
                  <w:sdt>
                    <w:sdtPr>
                      <w:alias w:val="Numeris"/>
                      <w:tag w:val="nr_819113e38e6a4d9694a63e3809599861"/>
                      <w:lock w:val="sdtLocked"/>
                      <w:richText/>
                    </w:sdtPr>
                    <w:sdtContent>
                      <w:r>
                        <w:rPr>
                          <w:color w:val="000000"/>
                          <w:lang w:eastAsia="lt-LT"/>
                        </w:rPr>
                        <w:t>4.3</w:t>
                      </w:r>
                    </w:sdtContent>
                  </w:sdt>
                  <w:r>
                    <w:rPr>
                      <w:color w:val="000000"/>
                      <w:lang w:eastAsia="lt-LT"/>
                    </w:rPr>
                    <w:t xml:space="preserve">. švietimo ir mokslo ministro 2002 m. liepos 5 d. įsakymą Nr. 1275 „Dėl tabako, alkoholio, narkotikų ir kitų psichiką veikiančių medžiagų vartojimo prevencijos švietimo įstaigose“ (Žin., 2002, Nr. </w:t>
                  </w:r>
                  <w:hyperlink r:id="rId26" w:tgtFrame="_blank" w:history="1">
                    <w:r>
                      <w:rPr>
                        <w:color w:val="0000FF" w:themeColor="hyperlink"/>
                        <w:u w:val="single"/>
                        <w:lang w:eastAsia="lt-LT"/>
                      </w:rPr>
                      <w:t>79-3377</w:t>
                    </w:r>
                  </w:hyperlink>
                  <w:r>
                    <w:rPr>
                      <w:color w:val="000000"/>
                      <w:lang w:eastAsia="lt-LT"/>
                    </w:rPr>
                    <w:t>).</w:t>
                  </w:r>
                </w:p>
                <w:p>
                  <w:pPr>
                    <w:ind w:firstLine="709"/>
                    <w:jc w:val="both"/>
                    <w:rPr>
                      <w:color w:val="000000"/>
                      <w:lang w:eastAsia="lt-LT"/>
                    </w:rPr>
                  </w:pPr>
                </w:p>
                <w:p>
                  <w:pPr>
                    <w:ind w:firstLine="709"/>
                    <w:jc w:val="both"/>
                    <w:rPr>
                      <w:color w:val="000000"/>
                      <w:lang w:eastAsia="lt-LT"/>
                    </w:rPr>
                  </w:pPr>
                </w:p>
              </w:sdtContent>
            </w:sdt>
          </w:sdtContent>
        </w:sdt>
        <w:sdt>
          <w:sdtPr>
            <w:alias w:val="signatura"/>
            <w:tag w:val="part_ee0cba1147a749679d0c09bc34a3bde8"/>
            <w:lock w:val="sdtLocked"/>
            <w:richText/>
          </w:sdtPr>
          <w:sdtContent>
            <w:p>
              <w:pPr>
                <w:tabs>
                  <w:tab w:val="right" w:pos="9639"/>
                </w:tabs>
                <w:rPr>
                  <w:caps/>
                </w:rPr>
              </w:pPr>
              <w:r>
                <w:rPr>
                  <w:caps/>
                </w:rPr>
                <w:t>ŠVIETIMO IR MOKSLO MINISTRAS</w:t>
                <w:tab/>
                <w:t>ALGIRDAS MONKEVIČIUS</w:t>
              </w:r>
            </w:p>
            <w:p>
              <w:pPr>
                <w:jc w:val="center"/>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665283BCD32">
            <w:r w:rsidRPr="00532B9F">
              <w:rPr>
                <w:rFonts w:ascii="Times New Roman" w:eastAsia="MS Mincho" w:hAnsi="Times New Roman"/>
                <w:sz w:val="20"/>
                <w:iCs/>
                <w:color w:val="0000FF" w:themeColor="hyperlink"/>
                <w:u w:val="single"/>
              </w:rPr>
              <w:t>ISAK-2567</w:t>
            </w:r>
          </w:fldSimple>
          <w:r>
            <w:rPr>
              <w:rFonts w:ascii="Times New Roman" w:eastAsia="MS Mincho" w:hAnsi="Times New Roman"/>
              <w:sz w:val="20"/>
              <w:iCs/>
            </w:rPr>
            <w:t>,
2007-12-22,
Žin., 2007, Nr.
138-5677 (2007-12-29), i. k. 1072070ISAKSAK-2567                </w:t>
          </w:r>
        </w:p>
        <w:p>
          <w:pPr>
            <w:jc w:val="both"/>
            <w:rPr>
              <w:rFonts w:ascii="Times New Roman" w:hAnsi="Times New Roman"/>
            </w:rPr>
          </w:pPr>
          <w:r>
            <w:rPr>
              <w:rFonts w:ascii="Times New Roman" w:hAnsi="Times New Roman"/>
              <w:sz w:val="20"/>
            </w:rPr>
            <w:t>Dėl švietimo ir mokslo ministro 2004 m. rugsėjo 17 d. įsakymo Nr. ISAK-1462 "Dėl teisės pažeidimų, mokyklos nelankymo, narkotinių ir psichotropinių medžiagų vartojimo, ŽIV/AIDS, smurto ir nusikalstamumo prevencijos"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1940F1131">
            <w:r w:rsidRPr="00532B9F">
              <w:rPr>
                <w:rFonts w:ascii="Times New Roman" w:eastAsia="MS Mincho" w:hAnsi="Times New Roman"/>
                <w:sz w:val="20"/>
                <w:iCs/>
                <w:color w:val="0000FF" w:themeColor="hyperlink"/>
                <w:u w:val="single"/>
              </w:rPr>
              <w:t>ISAK-705</w:t>
            </w:r>
          </w:fldSimple>
          <w:r>
            <w:rPr>
              <w:rFonts w:ascii="Times New Roman" w:eastAsia="MS Mincho" w:hAnsi="Times New Roman"/>
              <w:sz w:val="20"/>
              <w:iCs/>
            </w:rPr>
            <w:t>,
2009-04-14,
Žin., 2009, Nr.
44-1725 (2009-04-21), i. k. 1092070ISAKISAK-705                </w:t>
          </w:r>
        </w:p>
        <w:p>
          <w:pPr>
            <w:jc w:val="both"/>
            <w:rPr>
              <w:rFonts w:ascii="Times New Roman" w:hAnsi="Times New Roman"/>
            </w:rPr>
          </w:pPr>
          <w:r>
            <w:rPr>
              <w:rFonts w:ascii="Times New Roman" w:hAnsi="Times New Roman"/>
              <w:sz w:val="20"/>
            </w:rPr>
            <w:t>Dėl švietimo ir mokslo ministro 2004 m. rugsėjo 17 d. įsakymo Nr. ISAK-1462 "Dėl teisės pažeidimų, mokyklos nelankymo, narkotinių ir psichotropinių medžiagų vartojimo, ŽIV/AIDS, smurto ir nusikalstamumo prevencijos"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477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9BE531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D63799D18558"/>
  <Relationship Id="rId18" Type="http://schemas.openxmlformats.org/officeDocument/2006/relationships/hyperlink" TargetMode="External" Target="https://www.e-tar.lt/portal/lt/legalAct/TAR.08751FC4B149"/>
  <Relationship Id="rId19" Type="http://schemas.openxmlformats.org/officeDocument/2006/relationships/hyperlink" TargetMode="External" Target="https://www.e-tar.lt/portal/lt/legalAct/TAR.665078C14E98"/>
  <Relationship Id="rId2" Type="http://schemas.openxmlformats.org/officeDocument/2006/relationships/header" Target="header2.xml"/>
  <Relationship Id="rId20" Type="http://schemas.openxmlformats.org/officeDocument/2006/relationships/hyperlink" TargetMode="External" Target="https://www.e-tar.lt/portal/lt/legalAct/TAR.F8090E375DA0"/>
  <Relationship Id="rId21" Type="http://schemas.openxmlformats.org/officeDocument/2006/relationships/hyperlink" TargetMode="External" Target="https://www.e-tar.lt/portal/lt/legalAct/TAR.084B9677FCAF"/>
  <Relationship Id="rId22" Type="http://schemas.openxmlformats.org/officeDocument/2006/relationships/hyperlink" TargetMode="External" Target="https://www.e-tar.lt/portal/lt/legalAct/TAR.9E5C5C16B6E6"/>
  <Relationship Id="rId23" Type="http://schemas.openxmlformats.org/officeDocument/2006/relationships/hyperlink" TargetMode="External" Target="https://www.e-tar.lt/portal/lt/legalAct/TAR.65C0438E6F29"/>
  <Relationship Id="rId24" Type="http://schemas.openxmlformats.org/officeDocument/2006/relationships/hyperlink" TargetMode="External" Target="https://www.e-tar.lt/portal/lt/legalAct/TAR.CF3E2829B861"/>
  <Relationship Id="rId25" Type="http://schemas.openxmlformats.org/officeDocument/2006/relationships/hyperlink" TargetMode="External" Target="https://www.e-tar.lt/portal/lt/legalAct/TAR.62C5FCF68173"/>
  <Relationship Id="rId26" Type="http://schemas.openxmlformats.org/officeDocument/2006/relationships/hyperlink" TargetMode="External" Target="https://www.e-tar.lt/portal/lt/legalAct/TAR.1310AEFD77A3"/>
  <Relationship Id="rId27"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8ad744eaba94bca8ac047338cae2b46" PartId="96bc59e6f2ba43f78427459519ac80e2">
    <Part Type="preambule" DocPartId="6b2412cd27014f24af053d2749a5d204" PartId="bc1f5fe99b144e51b99d7cf0d7cf041e"/>
    <Part Type="punktas" Nr="1" Abbr="1 p." DocPartId="bc6814a9b51c4c77bd84693862186d39" PartId="4d9fdd25cadd49cbbe5c58b40fdf2ecb">
      <Part Type="punktas" Nr="1.1" Abbr="1.1 p." DocPartId="533a280a65e8420fbbdd4366a39abd66" PartId="1466fb825c0e4b9b85134899e86b1eee">
        <Part Type="punktas" Nr="1.1.1" Abbr="1.1.1 p." DocPartId="32972d0c3d3647c8bcd55ab6af50a853" PartId="54c2bd1527cc41b6812bcbf5dbe51e52"/>
        <Part Type="punktas" Nr="1.1.2" Abbr="1.1.2 p." DocPartId="5b82989e3bab46b0bae4aa8d5a8b9a84" PartId="9d578ceb6a0f4ce0a969cf2683e93b0d"/>
        <Part Type="punktas" Nr="1.1.3" Abbr="1.1.3 p." DocPartId="56110cbb42004e25926446f72a43b015" PartId="78653b1182874614a6f0b1e3488c1b01"/>
        <Part Type="punktas" Nr="1.1.4" Abbr="1.1.4 p." DocPartId="0a961db81d1c4cdb83ab600bf87ab2ca" PartId="9c9578f915d14ce6b6b9f42a0a307573"/>
        <Part Type="punktas" Nr="1.1.5" Abbr="1.1.5 p." DocPartId="8113a3dcd0de47ffba340d9aedda0720" PartId="b3cf294c9fd6456ea287c9d0d4a74a2f"/>
        <Part Type="punktas" Nr="1.1.6" Abbr="1.1.6 p." DocPartId="7fbf5a433b81480eb4c0cdc42247a3a6" PartId="18fb8c06f5d9497c9de48b02c0d79b37"/>
        <Part Type="punktas" Nr="1.1.7" Abbr="1.1.7 p." DocPartId="0e779e444d904e3cabf5aedbc06f9edf" PartId="11ae7269670f4207a3658c97735f6791"/>
        <Part Type="punktas" Nr="1.1.8" Abbr="1.1.8 p." DocPartId="067a11b9732e4c1f93920137f664c193" PartId="7b4562b1a6bb49668e738fd9ee44a0c1"/>
        <Part Type="punktas" Nr="1.1.9" Abbr="1.1.9 p." DocPartId="52aa602aa6cf4043b1e3c74898cd40b1" PartId="9c1e7c273d574c1eb03568fed7a5728b"/>
        <Part Type="punktas" Nr="1.1.10" Abbr="1.1.10 p." DocPartId="85815c1cd9bc4c738b3d9c107f3c8ca6" PartId="b1830886fad542bea4a8d5e92130f351"/>
      </Part>
      <Part Type="punktas" Nr="1.2" Abbr="1.2 p." DocPartId="805b7f3dac344d168b1b16d5b91780c3" PartId="894c63b7ea504c019fe9e01f6b1ba12f">
        <Part Type="punktas" Nr="1.2.1" Abbr="1.2.1 p." DocPartId="2c332fa1ff7849a69c979dd00c268da0" PartId="94147e07cd08478295ea287096a1227d"/>
        <Part Type="punktas" Nr="1.2.2" Abbr="1.2.2 p." DocPartId="1d41b4ba53cc4eb6b70fe516e5a2694d" PartId="5cada0be09a4425e89988cc16bbb92d0"/>
        <Part Type="punktas" Nr="1.2.3" Abbr="1.2.3 p." DocPartId="0d66e140ba61419a82d8ad41c580932e" PartId="e03d35a160a04c4aaefb2615786f4f34"/>
        <Part Type="punktas" Nr="1.2.4" Abbr="1.2.4 p." DocPartId="eca336c43a094d1888803b6f84500e21" PartId="4392025a5e724ba89150e94bacf7ad1c"/>
      </Part>
    </Part>
    <Part Type="punktas" Nr="2" Abbr="2 p." DocPartId="f1e9c28f18c8433f8590cfc650249153" PartId="6af709c034bd40f2a35bb1384b4f0b6c"/>
    <Part Type="punktas" Nr="3" Abbr="3 p." DocPartId="9de81267eca544fcb96b79bafd2f62c7" PartId="735957db016b4ef981200a98c8e4cd85"/>
    <Part Type="punktas" Nr="4" Abbr="4 p." DocPartId="37b51ec565e0497694b75e598c41ee09" PartId="4c3dd63b1bec4fec9f83b5ef03e605f6">
      <Part Type="punktas" Nr="4.1" Abbr="4.1 p." DocPartId="966c9ef359734846aa966d580d79833b" PartId="cf37cbe7f3854c8398c1934d0d8b9901"/>
      <Part Type="punktas" Nr="4.2" Abbr="4.2 p." DocPartId="04e0252899bd46ac9015055efc2974bd" PartId="d3f4b5dcde3e4be7b9eafb02fccd68e2"/>
      <Part Type="punktas" Nr="4.3" Abbr="4.3 p." DocPartId="47fda4ad64dd4465946fb69a6f0603b0" PartId="819113e38e6a4d9694a63e3809599861"/>
    </Part>
    <Part Type="signatura" DocPartId="17adc14bd2114a578d21014ea5a121f5" PartId="ee0cba1147a749679d0c09bc34a3bde8"/>
  </Part>
</Parts>
</file>

<file path=customXml/itemProps1.xml><?xml version="1.0" encoding="utf-8"?>
<ds:datastoreItem xmlns:ds="http://schemas.openxmlformats.org/officeDocument/2006/customXml" ds:itemID="{242379F2-3624-4F97-BD6D-18177617E255}">
  <ds:schemaRefs>
    <ds:schemaRef ds:uri="http://lrs.lt/TAIS/DocParts"/>
  </ds:schemaRefs>
</ds:datastoreItem>
</file>

<file path=docProps/app.xml><?xml version="1.0" encoding="utf-8"?>
<Properties xmlns="http://schemas.openxmlformats.org/officeDocument/2006/extended-properties">
  <Template>Normal.dotm</Template>
  <TotalTime>0</TotalTime>
  <Pages>2</Pages>
  <Words>3502</Words>
  <Characters>1997</Characters>
  <Application>Microsoft Office Word</Application>
  <DocSecurity>0</DocSecurity>
  <Lines>16</Lines>
  <Paragraphs>10</Paragraphs>
  <ScaleCrop>false</ScaleCrop>
  <Company/>
  <LinksUpToDate>false</LinksUpToDate>
  <CharactersWithSpaces>5489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2015-10-10T15:13:00Z</dcterms:created>
  <dc:creator>Tadeuš Buivid</dc:creator>
  <lastModifiedBy>Loreta RAKAUSKIENĖ</lastModifiedBy>
  <dcterms:modified xsi:type="dcterms:W3CDTF">2016-06-20T10:34:00Z</dcterms:modified>
  <revision>5</revision>
</coreProperties>
</file>