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cf47fd2fb4b4abb8e3dd1b8019bbca6"/>
        <w:lock w:val="sdtLocked"/>
        <w:richText/>
      </w:sdtPr>
      <w:sdtContent>
        <w:p>
          <w:pPr>
            <w:jc w:val="both"/>
            <w:rPr>
              <w:rFonts w:ascii="Times New Roman" w:hAnsi="Times New Roman"/>
            </w:rPr>
          </w:pPr>
          <w:r>
            <w:rPr>
              <w:rFonts w:ascii="Times New Roman" w:hAnsi="Times New Roman"/>
              <w:b/>
              <w:i/>
            </w:rPr>
            <w:t>Suvestinė redakcija nuo 2017-08-10 iki 2022-07-14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7729FF220686">
            <w:r w:rsidRPr="00532B9F">
              <w:rPr>
                <w:rFonts w:ascii="Times New Roman" w:eastAsia="MS Mincho" w:hAnsi="Times New Roman"/>
                <w:sz w:val="20"/>
                <w:i/>
                <w:iCs/>
                <w:color w:val="0000FF" w:themeColor="hyperlink"/>
                <w:u w:val="single"/>
              </w:rPr>
              <w:t>134-4886</w:t>
            </w:r>
          </w:fldSimple>
          <w:r>
            <w:rPr>
              <w:rFonts w:ascii="Times New Roman" w:eastAsia="MS Mincho" w:hAnsi="Times New Roman"/>
              <w:sz w:val="20"/>
              <w:i/>
              <w:iCs/>
            </w:rPr>
            <w:t>, i. k. 1042270ISAK95/I-114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3" o:title=""/>
              </v:shape>
              <w:control r:id="rId14" w:name="Control 3" w:shapeid="_x0000_s1027"/>
            </w:pict>
          </w:r>
          <w:r>
            <w:rPr>
              <w:b/>
              <w:color w:val="000000"/>
            </w:rPr>
            <w:t xml:space="preserve">LIETUVOS RESPUBLIKOS TEISINGUMO MINISTRO </w:t>
          </w:r>
        </w:p>
        <w:p>
          <w:pPr>
            <w:jc w:val="center"/>
            <w:rPr>
              <w:b/>
              <w:color w:val="000000"/>
            </w:rPr>
          </w:pPr>
          <w:r>
            <w:rPr>
              <w:b/>
              <w:color w:val="000000"/>
            </w:rPr>
            <w:t>LIETUVOS RESPUBLIKOS GENERALINIO PROKURORO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EUROPOS AREŠTO ORDERIO IŠDAVIMO IR ASMENS PERĖMIMO PAGAL EUROPOS AREŠTO ORDERĮ TAISYKLIŲ PATVIRTINIMO</w:t>
          </w:r>
        </w:p>
        <w:p>
          <w:pPr>
            <w:jc w:val="center"/>
            <w:rPr>
              <w:color w:val="000000"/>
            </w:rPr>
          </w:pPr>
        </w:p>
        <w:p>
          <w:pPr>
            <w:jc w:val="center"/>
            <w:rPr>
              <w:color w:val="000000"/>
            </w:rPr>
          </w:pPr>
          <w:r>
            <w:rPr>
              <w:color w:val="000000"/>
            </w:rPr>
            <w:t>2004 m. rugpjūčio 26 d. Nr. 1R-195/I-114</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f77e231f62fb462691dca7710ff3d7e0"/>
            <w:lock w:val="sdtLocked"/>
            <w:richText/>
          </w:sdtPr>
          <w:sdtContent>
            <w:p>
              <w:pPr>
                <w:tabs>
                  <w:tab w:val="left" w:pos="1134"/>
                </w:tabs>
                <w:ind w:firstLine="709"/>
                <w:jc w:val="both"/>
                <w:rPr>
                  <w:color w:val="000000"/>
                </w:rPr>
              </w:pPr>
              <w:r>
                <w:t>Vadovaudamiesi Lietuvos Respublikos baudžiamojo proceso kodekso 69</w:t>
              </w:r>
              <w:r>
                <w:rPr>
                  <w:vertAlign w:val="superscript"/>
                </w:rPr>
                <w:t>1</w:t>
              </w:r>
              <w:r>
                <w:t xml:space="preserve"> straipsnio 4 dalimi:</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1 p."/>
            <w:tag w:val="part_5fa36cef9e8f4bcba93b74ff0a17f515"/>
            <w:lock w:val="sdtLocked"/>
            <w:richText/>
          </w:sdtPr>
          <w:sdtContent>
            <w:p>
              <w:pPr>
                <w:ind w:firstLine="709"/>
                <w:jc w:val="both"/>
                <w:rPr>
                  <w:color w:val="000000"/>
                </w:rPr>
              </w:pPr>
              <w:sdt>
                <w:sdtPr>
                  <w:alias w:val="Numeris"/>
                  <w:tag w:val="nr_5fa36cef9e8f4bcba93b74ff0a17f515"/>
                  <w:lock w:val="sdtLocked"/>
                  <w:richText/>
                </w:sdtPr>
                <w:sdtContent>
                  <w:r>
                    <w:rPr>
                      <w:color w:val="000000"/>
                      <w:szCs w:val="22"/>
                    </w:rPr>
                    <w:t>1</w:t>
                  </w:r>
                </w:sdtContent>
              </w:sdt>
              <w:r>
                <w:rPr>
                  <w:color w:val="000000"/>
                  <w:szCs w:val="22"/>
                </w:rPr>
                <w:t xml:space="preserve">. </w:t>
              </w:r>
              <w:r>
                <w:rPr>
                  <w:color w:val="000000"/>
                  <w:spacing w:val="60"/>
                  <w:szCs w:val="22"/>
                </w:rPr>
                <w:t>Tvirtiname</w:t>
              </w:r>
              <w:r>
                <w:rPr>
                  <w:color w:val="000000"/>
                  <w:szCs w:val="22"/>
                </w:rPr>
                <w:t xml:space="preserve"> Europos arešto orderio išdavimo ir asmens perėmimo pagal Europos arešto orderį taisykles (pridedama).</w:t>
              </w:r>
            </w:p>
          </w:sdtContent>
        </w:sdt>
        <w:sdt>
          <w:sdtPr>
            <w:alias w:val="2 p."/>
            <w:tag w:val="part_ee55e8676ae64cd68ff725864d83fc5e"/>
            <w:lock w:val="sdtLocked"/>
            <w:richText/>
          </w:sdtPr>
          <w:sdtContent>
            <w:p>
              <w:pPr>
                <w:ind w:firstLine="709"/>
                <w:jc w:val="both"/>
                <w:rPr>
                  <w:color w:val="000000"/>
                </w:rPr>
              </w:pPr>
              <w:sdt>
                <w:sdtPr>
                  <w:alias w:val="Numeris"/>
                  <w:tag w:val="nr_ee55e8676ae64cd68ff725864d83fc5e"/>
                  <w:lock w:val="sdtLocked"/>
                  <w:richText/>
                </w:sdtPr>
                <w:sdtContent>
                  <w:r>
                    <w:rPr>
                      <w:color w:val="000000"/>
                      <w:szCs w:val="22"/>
                    </w:rPr>
                    <w:t>2</w:t>
                  </w:r>
                </w:sdtContent>
              </w:sdt>
              <w:r>
                <w:rPr>
                  <w:color w:val="000000"/>
                  <w:szCs w:val="22"/>
                </w:rPr>
                <w:t xml:space="preserve">. </w:t>
              </w:r>
              <w:r>
                <w:rPr>
                  <w:color w:val="000000"/>
                  <w:spacing w:val="60"/>
                  <w:szCs w:val="22"/>
                </w:rPr>
                <w:t>Nustatome</w:t>
              </w:r>
              <w:r>
                <w:rPr>
                  <w:color w:val="000000"/>
                  <w:szCs w:val="22"/>
                </w:rPr>
                <w:t xml:space="preserve">, kad Europos arešto orderio išdavimo ir asmens perėmimo pagal Europos arešto orderį taisyklės taikomos Europos arešto orderiams, išduotiems po šių taisyklių įsigaliojimo. </w:t>
              </w:r>
            </w:p>
          </w:sdtContent>
        </w:sdt>
        <w:sdt>
          <w:sdtPr>
            <w:alias w:val="signatura"/>
            <w:tag w:val="part_121fc60dbf4c483d9a04cbd2b92f17ab"/>
            <w:lock w:val="sdtLocked"/>
            <w:richText/>
          </w:sdtPr>
          <w:sdtContent>
            <w:p>
              <w:pPr>
                <w:tabs>
                  <w:tab w:val="right" w:pos="9639"/>
                </w:tabs>
              </w:pPr>
            </w:p>
            <w:p>
              <w:pPr>
                <w:tabs>
                  <w:tab w:val="right" w:pos="9639"/>
                </w:tabs>
              </w:pPr>
            </w:p>
            <w:p>
              <w:pPr>
                <w:tabs>
                  <w:tab w:val="right" w:pos="9639"/>
                </w:tabs>
              </w:pPr>
            </w:p>
            <w:p>
              <w:pPr>
                <w:tabs>
                  <w:tab w:val="right" w:pos="9639"/>
                </w:tabs>
              </w:pPr>
              <w:r>
                <w:t>TEISINGUMO MINISTRAS</w:t>
                <w:tab/>
                <w:t xml:space="preserve">VYTAUTAS MARKEVIČIUS </w:t>
              </w:r>
            </w:p>
            <w:p>
              <w:pPr>
                <w:tabs>
                  <w:tab w:val="right" w:pos="9639"/>
                </w:tabs>
              </w:pPr>
            </w:p>
            <w:p>
              <w:pPr>
                <w:tabs>
                  <w:tab w:val="right" w:pos="9639"/>
                </w:tabs>
              </w:pPr>
            </w:p>
            <w:p>
              <w:pPr>
                <w:tabs>
                  <w:tab w:val="right" w:pos="9639"/>
                </w:tabs>
              </w:pPr>
            </w:p>
            <w:p>
              <w:pPr>
                <w:tabs>
                  <w:tab w:val="right" w:pos="9639"/>
                </w:tabs>
                <w:rPr>
                  <w:color w:val="000000"/>
                  <w:szCs w:val="22"/>
                </w:rPr>
              </w:pPr>
              <w:r>
                <w:t>GENERALINIS PROKURORAS</w:t>
                <w:tab/>
                <w:t>ANTANAS KLIMAVIČIUS</w:t>
              </w:r>
            </w:p>
            <w:p>
              <w:pPr>
                <w:ind w:firstLine="5102"/>
                <w:rPr>
                  <w:color w:val="000000"/>
                  <w:szCs w:val="24"/>
                </w:rPr>
              </w:pPr>
              <w:r>
                <w:rPr>
                  <w:rFonts w:ascii="TimesLT" w:hAnsi="TimesLT"/>
                  <w:sz w:val="12"/>
                  <w:szCs w:val="12"/>
                </w:rPr>
                <w:br w:type="page"/>
              </w:r>
              <w:r>
                <w:rPr>
                  <w:rFonts w:ascii="TimesLT" w:hAnsi="TimesLT"/>
                  <w:szCs w:val="24"/>
                </w:rPr>
                <w:t xml:space="preserve"> </w:t>
              </w:r>
            </w:p>
          </w:sdtContent>
        </w:sdt>
      </w:sdtContent>
    </w:sdt>
    <w:sdt>
      <w:sdtPr>
        <w:alias w:val="patvirtinta"/>
        <w:tag w:val="part_8f2e1048953d4478859c8f8908ab3a48"/>
        <w:lock w:val="sdtLocked"/>
        <w:richText/>
      </w:sdtPr>
      <w:sdtContent>
        <w:p>
          <w:pPr>
            <w:tabs>
              <w:tab w:val="left" w:pos="1304"/>
              <w:tab w:val="left" w:pos="1457"/>
              <w:tab w:val="left" w:pos="1604"/>
              <w:tab w:val="left" w:pos="1757"/>
            </w:tabs>
            <w:ind w:left="4536"/>
            <w:rPr>
              <w:szCs w:val="24"/>
            </w:rPr>
          </w:pPr>
          <w:r>
            <w:rPr>
              <w:szCs w:val="24"/>
            </w:rPr>
            <w:t xml:space="preserve">PATVIRTINTA </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2004 m. rugpjūčio 26 d. įsakymu Nr. 1R-195/I-114</w:t>
          </w:r>
        </w:p>
        <w:p>
          <w:pPr>
            <w:tabs>
              <w:tab w:val="left" w:pos="1304"/>
              <w:tab w:val="left" w:pos="1457"/>
              <w:tab w:val="left" w:pos="1604"/>
              <w:tab w:val="left" w:pos="1757"/>
            </w:tabs>
            <w:ind w:left="4536"/>
            <w:rPr>
              <w:szCs w:val="24"/>
            </w:rPr>
          </w:pPr>
          <w:r>
            <w:rPr>
              <w:szCs w:val="24"/>
            </w:rPr>
            <w:t xml:space="preserve">(Lietuvos Respublikos teisingumo ministro ir </w:t>
          </w:r>
        </w:p>
        <w:p>
          <w:pPr>
            <w:tabs>
              <w:tab w:val="left" w:pos="1304"/>
              <w:tab w:val="left" w:pos="1457"/>
              <w:tab w:val="left" w:pos="1604"/>
              <w:tab w:val="left" w:pos="1757"/>
            </w:tabs>
            <w:ind w:left="4536"/>
            <w:rPr>
              <w:szCs w:val="24"/>
            </w:rPr>
          </w:pPr>
          <w:r>
            <w:rPr>
              <w:szCs w:val="24"/>
            </w:rPr>
            <w:t xml:space="preserve">Lietuvos Respublikos generalinio prokuroro </w:t>
          </w:r>
        </w:p>
        <w:p>
          <w:pPr>
            <w:tabs>
              <w:tab w:val="left" w:pos="1304"/>
              <w:tab w:val="left" w:pos="1457"/>
              <w:tab w:val="left" w:pos="1604"/>
              <w:tab w:val="left" w:pos="1757"/>
            </w:tabs>
            <w:ind w:left="4536"/>
            <w:rPr>
              <w:szCs w:val="24"/>
            </w:rPr>
          </w:pPr>
          <w:r>
            <w:rPr>
              <w:szCs w:val="24"/>
            </w:rPr>
            <w:t>2013 m. gruodžio 27 d. įsakymo Nr. 1R-313/I-331</w:t>
          </w:r>
        </w:p>
        <w:p>
          <w:pPr>
            <w:tabs>
              <w:tab w:val="left" w:pos="1304"/>
              <w:tab w:val="left" w:pos="1457"/>
              <w:tab w:val="left" w:pos="1604"/>
              <w:tab w:val="left" w:pos="1757"/>
            </w:tabs>
            <w:ind w:left="4536"/>
            <w:rPr>
              <w:szCs w:val="24"/>
            </w:rPr>
          </w:pPr>
          <w:r>
            <w:rPr>
              <w:szCs w:val="24"/>
            </w:rPr>
            <w:t>redakcija)</w:t>
          </w:r>
        </w:p>
        <w:p>
          <w:pPr>
            <w:tabs>
              <w:tab w:val="left" w:pos="1304"/>
              <w:tab w:val="left" w:pos="1457"/>
              <w:tab w:val="left" w:pos="1604"/>
              <w:tab w:val="left" w:pos="1757"/>
            </w:tabs>
            <w:ind w:left="2880" w:firstLine="1940"/>
            <w:rPr>
              <w:szCs w:val="24"/>
            </w:rPr>
          </w:pPr>
        </w:p>
        <w:p>
          <w:pPr>
            <w:ind w:firstLine="312"/>
            <w:jc w:val="both"/>
            <w:rPr>
              <w:szCs w:val="24"/>
            </w:rPr>
          </w:pPr>
        </w:p>
        <w:p>
          <w:pPr>
            <w:jc w:val="center"/>
            <w:rPr>
              <w:b/>
              <w:bCs/>
              <w:caps/>
              <w:szCs w:val="24"/>
            </w:rPr>
          </w:pPr>
          <w:sdt>
            <w:sdtPr>
              <w:alias w:val="Pavadinimas"/>
              <w:tag w:val="title_8f2e1048953d4478859c8f8908ab3a48"/>
              <w:lock w:val="sdtLocked"/>
              <w:richText/>
            </w:sdtPr>
            <w:sdtContent>
              <w:r>
                <w:rPr>
                  <w:b/>
                  <w:bCs/>
                  <w:caps/>
                  <w:szCs w:val="24"/>
                </w:rPr>
                <w:t>EUROPOS AREŠTO ORDERIO IŠDAVIMO IR ASMENS PERĖMIMO PAGAL EUROPOS AREŠTO ORDERĮ TAISYKLĖS</w:t>
              </w:r>
            </w:sdtContent>
          </w:sdt>
        </w:p>
        <w:p>
          <w:pPr>
            <w:jc w:val="center"/>
            <w:rPr>
              <w:b/>
              <w:bCs/>
              <w:caps/>
              <w:szCs w:val="24"/>
            </w:rPr>
          </w:pPr>
        </w:p>
        <w:sdt>
          <w:sdtPr>
            <w:alias w:val="skyrius"/>
            <w:tag w:val="part_0623843604fa4ec9a84e27a5eaba19e9"/>
            <w:lock w:val="sdtLocked"/>
            <w:richText/>
          </w:sdtPr>
          <w:sdtContent>
            <w:p>
              <w:pPr>
                <w:jc w:val="center"/>
                <w:rPr>
                  <w:b/>
                  <w:bCs/>
                  <w:caps/>
                  <w:szCs w:val="24"/>
                </w:rPr>
              </w:pPr>
              <w:sdt>
                <w:sdtPr>
                  <w:alias w:val="Numeris"/>
                  <w:tag w:val="nr_0623843604fa4ec9a84e27a5eaba19e9"/>
                  <w:lock w:val="sdtLocked"/>
                  <w:richText/>
                </w:sdtPr>
                <w:sdtContent>
                  <w:r>
                    <w:rPr>
                      <w:b/>
                      <w:bCs/>
                      <w:caps/>
                      <w:szCs w:val="24"/>
                    </w:rPr>
                    <w:t>I</w:t>
                  </w:r>
                </w:sdtContent>
              </w:sdt>
              <w:r>
                <w:t xml:space="preserve"> </w:t>
              </w:r>
              <w:r>
                <w:rPr>
                  <w:b/>
                  <w:bCs/>
                  <w:caps/>
                  <w:szCs w:val="24"/>
                </w:rPr>
                <w:t>SKYRIUS</w:t>
              </w:r>
            </w:p>
            <w:p>
              <w:pPr>
                <w:jc w:val="center"/>
                <w:rPr>
                  <w:b/>
                  <w:bCs/>
                  <w:caps/>
                  <w:szCs w:val="24"/>
                </w:rPr>
              </w:pPr>
              <w:sdt>
                <w:sdtPr>
                  <w:alias w:val="Pavadinimas"/>
                  <w:tag w:val="title_0623843604fa4ec9a84e27a5eaba19e9"/>
                  <w:lock w:val="sdtLocked"/>
                  <w:richText/>
                </w:sdtPr>
                <w:sdtContent>
                  <w:r>
                    <w:rPr>
                      <w:b/>
                      <w:bCs/>
                      <w:caps/>
                      <w:szCs w:val="24"/>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 p."/>
                <w:tag w:val="part_a462f21539e74e098a4b00c784de6445"/>
                <w:lock w:val="sdtLocked"/>
                <w:richText/>
              </w:sdtPr>
              <w:sdtContent>
                <w:p>
                  <w:pPr>
                    <w:ind w:firstLine="851"/>
                    <w:jc w:val="both"/>
                    <w:rPr>
                      <w:szCs w:val="24"/>
                    </w:rPr>
                  </w:pPr>
                  <w:sdt>
                    <w:sdtPr>
                      <w:alias w:val="Numeris"/>
                      <w:tag w:val="nr_a462f21539e74e098a4b00c784de6445"/>
                      <w:lock w:val="sdtLocked"/>
                      <w:richText/>
                    </w:sdtPr>
                    <w:sdtContent>
                      <w:r>
                        <w:rPr>
                          <w:szCs w:val="24"/>
                        </w:rPr>
                        <w:t>1</w:t>
                      </w:r>
                    </w:sdtContent>
                  </w:sdt>
                  <w:r>
                    <w:rPr>
                      <w:szCs w:val="24"/>
                    </w:rPr>
                    <w:t xml:space="preserve">. Europos arešto orderio išdavimo ir asmens perėmimo pagal Europos arešto orderį taisyklės (toliau – Taisyklės) nustato Europos arešto orderio dėl Lietuvos Respublikoje ieškomų asmenų išdavimo ir pagal išduotą Europos arešto orderį Lietuvos Respublikai perduodamų asmenų perėmimo iš kitos valstybės tvarką. </w:t>
                  </w:r>
                </w:p>
              </w:sdtContent>
            </w:sdt>
            <w:sdt>
              <w:sdtPr>
                <w:alias w:val="2 p."/>
                <w:tag w:val="part_6b75bdfcc10d46ce979bbd96998962d7"/>
                <w:lock w:val="sdtLocked"/>
                <w:richText/>
              </w:sdtPr>
              <w:sdtContent>
                <w:p>
                  <w:pPr>
                    <w:tabs>
                      <w:tab w:val="left" w:pos="1134"/>
                    </w:tabs>
                    <w:ind w:firstLine="851"/>
                    <w:jc w:val="both"/>
                    <w:rPr>
                      <w:szCs w:val="24"/>
                    </w:rPr>
                  </w:pPr>
                  <w:sdt>
                    <w:sdtPr>
                      <w:alias w:val="Numeris"/>
                      <w:tag w:val="nr_6b75bdfcc10d46ce979bbd96998962d7"/>
                      <w:lock w:val="sdtLocked"/>
                      <w:richText/>
                    </w:sdtPr>
                    <w:sdtContent>
                      <w:r>
                        <w:t>2</w:t>
                      </w:r>
                    </w:sdtContent>
                  </w:sdt>
                  <w:r>
                    <w:t>. Taisyklės įgyvendina 2002 m. birželio 13 d. Tarybos pamatinio sprendimo 2002/584/TVR dėl Europos arešto orderio ir perdavimo tarp valstybių narių tvarkos (OL 2004 m. specialusis leidimas, 19 skyrius, 6 tomas, p. 34) nuostatas, 2009 m. vasario 26 d. Tarybos pamatinio sprendimo 2009/299/TVR, iš dalies keičiančio Pamatinius sprendimus 2002/584/TVR, 2005/214/TVR, 2006/783/TVR, 2008/909/TVR ir 2008/947/TVR ir stiprinančio asmenų procesines teises bei skatinančio tarpusavio pripažinimo principo taikymą sprendimams, priimtiems asmeniui asmeniškai nedalyvavus teisminiame nagrinėjime (OL 2009 L 81, p. 24), ir 2013 m. spalio 22 d. Europos Parlamento ir Tarybos direktyvos 2013/48/ES dėl teisės turėti advokatą vykstant baudžiamajam procesui ir Europos arešto orderio vykdymo procedūroms ir dėl teisės reikalauti, kad po laisvės atėmimo būtų informuota trečioji šalis, ir teisės susisiekti su trečiaisiais asmenimis ir konsulinėmis įstaigomis laisvės atėmimo metu (OL 2013 L 294, p. 1),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3 p."/>
                <w:tag w:val="part_f7014f5fceb24cb0b872508176643818"/>
                <w:lock w:val="sdtLocked"/>
                <w:richText/>
              </w:sdtPr>
              <w:sdtContent>
                <w:p>
                  <w:pPr>
                    <w:tabs>
                      <w:tab w:val="left" w:pos="1134"/>
                    </w:tabs>
                    <w:ind w:firstLine="851"/>
                    <w:jc w:val="both"/>
                    <w:rPr>
                      <w:szCs w:val="24"/>
                    </w:rPr>
                  </w:pPr>
                  <w:sdt>
                    <w:sdtPr>
                      <w:alias w:val="Numeris"/>
                      <w:tag w:val="nr_f7014f5fceb24cb0b872508176643818"/>
                      <w:lock w:val="sdtLocked"/>
                      <w:richText/>
                    </w:sdtPr>
                    <w:sdtContent>
                      <w:r>
                        <w:t>3</w:t>
                      </w:r>
                    </w:sdtContent>
                  </w:sdt>
                  <w:r>
                    <w:t>. Taisyklėse vartojamos sąvokos atitinka Lietuvos Respublikos baudžiamojo kodekso ir Lietuvos Respublikos baudžiamojo proceso kodekso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4 p."/>
                <w:tag w:val="part_42b3d59d0e8a4ae19f5ae16cda208e07"/>
                <w:lock w:val="sdtLocked"/>
                <w:richText/>
              </w:sdtPr>
              <w:sdtContent>
                <w:p>
                  <w:pPr>
                    <w:ind w:firstLine="851"/>
                    <w:jc w:val="both"/>
                    <w:rPr>
                      <w:szCs w:val="24"/>
                    </w:rPr>
                  </w:pPr>
                  <w:sdt>
                    <w:sdtPr>
                      <w:alias w:val="Numeris"/>
                      <w:tag w:val="nr_42b3d59d0e8a4ae19f5ae16cda208e07"/>
                      <w:lock w:val="sdtLocked"/>
                      <w:richText/>
                    </w:sdtPr>
                    <w:sdtContent>
                      <w:r>
                        <w:rPr>
                          <w:szCs w:val="24"/>
                        </w:rPr>
                        <w:t>4</w:t>
                      </w:r>
                    </w:sdtContent>
                  </w:sdt>
                  <w:r>
                    <w:rPr>
                      <w:szCs w:val="24"/>
                    </w:rPr>
                    <w:t>. Ikiteisminio tyrimo ir baudžiamosios bylos nagrinėjimo teisme metu Europos arešto orderį dėl nuo ikiteisminio tyrimo ar teismo pasislėpusio įtariamojo ar kaltinamojo išduoda Lietuvos Respublikos generalinė prokuratūra. Šiuo atveju Europos arešto orderis išduodamas esant šioms sąlygoms:</w:t>
                  </w:r>
                </w:p>
                <w:sdt>
                  <w:sdtPr>
                    <w:alias w:val="4.1 p."/>
                    <w:tag w:val="part_91bdd34769bc41a2a77b0ae9c95d4875"/>
                    <w:lock w:val="sdtLocked"/>
                    <w:richText/>
                  </w:sdtPr>
                  <w:sdtContent>
                    <w:p>
                      <w:pPr>
                        <w:ind w:firstLine="851"/>
                        <w:jc w:val="both"/>
                        <w:rPr>
                          <w:szCs w:val="24"/>
                        </w:rPr>
                      </w:pPr>
                      <w:sdt>
                        <w:sdtPr>
                          <w:alias w:val="Numeris"/>
                          <w:tag w:val="nr_91bdd34769bc41a2a77b0ae9c95d4875"/>
                          <w:lock w:val="sdtLocked"/>
                          <w:richText/>
                        </w:sdtPr>
                        <w:sdtContent>
                          <w:r>
                            <w:rPr>
                              <w:szCs w:val="24"/>
                            </w:rPr>
                            <w:t>4.1</w:t>
                          </w:r>
                        </w:sdtContent>
                      </w:sdt>
                      <w:r>
                        <w:rPr>
                          <w:szCs w:val="24"/>
                        </w:rPr>
                        <w:t xml:space="preserve">. </w:t>
                      </w:r>
                      <w:r>
                        <w:rPr>
                          <w:rFonts w:ascii="TimesLT" w:hAnsi="TimesLT"/>
                          <w:szCs w:val="24"/>
                        </w:rPr>
                        <w:t>baudžiamasis procesas yra pradėtas dėl nusikaltimo, numatyto 2002 m. birželio 13 d. Tarybos pagrindų sprendimo 2002/584/TVR dėl Europos arešto orderio ir valstybių narių tarpusavio perdavimo procedūrų 2 straipsnio 2 dalyje (Lietuvos Respublikos baudžiamojo kodekso straipsnių atitikmenys nurodyti Taisyklių 2 priede), arba dėl kito nusikaltimo, už kurį pagal Lietuvos Respublikos baudžiamąjį kodeksą numatyta bent vienerių metų laisvės atėmimo bausmė, išskyrus nesunkų nusikaltimą, kuriuo nepadaryta didelė turtinė žala. Jeigu baudžiamasis procesas yra pradėtas dėl kelių nusikalstamų veikų, iš kurių bent viena atitinka šiuos kriterijus, kartu su Europos arešto orderiu užsienio valstybei pateikiamas prašymas dėl asmens perdavimo ir dėl kitų nusikalstamų veikų</w:t>
                      </w:r>
                      <w:r>
                        <w:rPr>
                          <w:szCs w:val="24"/>
                        </w:rPr>
                        <w:t>;</w:t>
                      </w:r>
                    </w:p>
                  </w:sdtContent>
                </w:sdt>
                <w:sdt>
                  <w:sdtPr>
                    <w:alias w:val="4.2 p."/>
                    <w:tag w:val="part_9ea9b4fd0c8a4c7388060b5b27e51ad7"/>
                    <w:lock w:val="sdtLocked"/>
                    <w:richText/>
                  </w:sdtPr>
                  <w:sdtContent>
                    <w:p>
                      <w:pPr>
                        <w:ind w:firstLine="851"/>
                        <w:jc w:val="both"/>
                        <w:rPr>
                          <w:szCs w:val="24"/>
                        </w:rPr>
                      </w:pPr>
                      <w:sdt>
                        <w:sdtPr>
                          <w:alias w:val="Numeris"/>
                          <w:tag w:val="nr_9ea9b4fd0c8a4c7388060b5b27e51ad7"/>
                          <w:lock w:val="sdtLocked"/>
                          <w:richText/>
                        </w:sdtPr>
                        <w:sdtContent>
                          <w:r>
                            <w:rPr>
                              <w:szCs w:val="24"/>
                            </w:rPr>
                            <w:t>4.2</w:t>
                          </w:r>
                        </w:sdtContent>
                      </w:sdt>
                      <w:r>
                        <w:rPr>
                          <w:szCs w:val="24"/>
                        </w:rPr>
                        <w:t>. yra pagrindas manyti, kad įtariamasis ar kaltinamasis gali būti Europos Sąjungos valstybėje narėje ar kitoje valstybėje, kuri taiko asmenų perdavimo pagal Europos arešto orderį tvarką;</w:t>
                      </w:r>
                    </w:p>
                  </w:sdtContent>
                </w:sdt>
                <w:sdt>
                  <w:sdtPr>
                    <w:alias w:val="4.3 p."/>
                    <w:tag w:val="part_27dad8021a974189bd0494d7bb3f725d"/>
                    <w:lock w:val="sdtLocked"/>
                    <w:richText/>
                  </w:sdtPr>
                  <w:sdtContent>
                    <w:p>
                      <w:pPr>
                        <w:ind w:firstLine="851"/>
                        <w:jc w:val="both"/>
                        <w:rPr>
                          <w:szCs w:val="24"/>
                        </w:rPr>
                      </w:pPr>
                      <w:sdt>
                        <w:sdtPr>
                          <w:alias w:val="Numeris"/>
                          <w:tag w:val="nr_27dad8021a974189bd0494d7bb3f725d"/>
                          <w:lock w:val="sdtLocked"/>
                          <w:richText/>
                        </w:sdtPr>
                        <w:sdtContent>
                          <w:r>
                            <w:rPr>
                              <w:szCs w:val="24"/>
                            </w:rPr>
                            <w:t>4.3</w:t>
                          </w:r>
                        </w:sdtContent>
                      </w:sdt>
                      <w:r>
                        <w:rPr>
                          <w:szCs w:val="24"/>
                        </w:rPr>
                        <w:t>. gauta ikiteisminio tyrimo teisėjo ar teismo nutartis dėl kardomosios priemonės – suėmimo skyrimo.</w:t>
                      </w:r>
                    </w:p>
                  </w:sdtContent>
                </w:sdt>
                <w:sdt>
                  <w:sdtPr>
                    <w:alias w:val="4.4 p."/>
                    <w:tag w:val="part_73141c2c3ca84568a24891dbdae4856d"/>
                    <w:lock w:val="sdtLocked"/>
                    <w:richText/>
                  </w:sdtPr>
                  <w:sdtContent>
                    <w:p>
                      <w:pPr>
                        <w:ind w:firstLine="851"/>
                        <w:jc w:val="both"/>
                        <w:rPr>
                          <w:szCs w:val="24"/>
                        </w:rPr>
                      </w:pPr>
                      <w:sdt>
                        <w:sdtPr>
                          <w:alias w:val="Numeris"/>
                          <w:tag w:val="nr_73141c2c3ca84568a24891dbdae4856d"/>
                          <w:lock w:val="sdtLocked"/>
                          <w:richText/>
                        </w:sdtPr>
                        <w:sdtContent>
                          <w:r>
                            <w:rPr>
                              <w:szCs w:val="24"/>
                            </w:rPr>
                            <w:t>4.4</w:t>
                          </w:r>
                        </w:sdtContent>
                      </w:sdt>
                      <w:r>
                        <w:rPr>
                          <w:szCs w:val="24"/>
                        </w:rPr>
                        <w:t xml:space="preserve">. </w:t>
                      </w:r>
                      <w:r>
                        <w:rPr>
                          <w:rFonts w:ascii="TimesLT" w:hAnsi="TimesLT"/>
                          <w:szCs w:val="24"/>
                        </w:rPr>
                        <w:t>išnaudotos kitos galimybės užtikrinti įtariamojo ar kaltinamojo dalyvavimą procese ar išnagrinėti bylą kaltinamajam nedalyvaujant;</w:t>
                      </w:r>
                    </w:p>
                  </w:sdtContent>
                </w:sdt>
                <w:sdt>
                  <w:sdtPr>
                    <w:alias w:val="4.5 p."/>
                    <w:tag w:val="part_f4fa3b9b85624770aa0fdda5596b1066"/>
                    <w:lock w:val="sdtLocked"/>
                    <w:richText/>
                  </w:sdtPr>
                  <w:sdtContent>
                    <w:p>
                      <w:pPr>
                        <w:ind w:firstLine="851"/>
                        <w:jc w:val="both"/>
                        <w:rPr>
                          <w:szCs w:val="24"/>
                        </w:rPr>
                      </w:pPr>
                      <w:sdt>
                        <w:sdtPr>
                          <w:alias w:val="Numeris"/>
                          <w:tag w:val="nr_f4fa3b9b85624770aa0fdda5596b1066"/>
                          <w:lock w:val="sdtLocked"/>
                          <w:richText/>
                        </w:sdtPr>
                        <w:sdtContent>
                          <w:r>
                            <w:rPr>
                              <w:szCs w:val="24"/>
                            </w:rPr>
                            <w:t>4.5</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įtariamojo ar kaltinamojo asmenybę.</w:t>
                      </w:r>
                    </w:p>
                  </w:sdtContent>
                </w:sdt>
              </w:sdtContent>
            </w:sdt>
            <w:sdt>
              <w:sdtPr>
                <w:alias w:val="5 p."/>
                <w:tag w:val="part_7fce506e696c4b84af9400bad882fa31"/>
                <w:lock w:val="sdtLocked"/>
                <w:richText/>
              </w:sdtPr>
              <w:sdtContent>
                <w:p>
                  <w:pPr>
                    <w:ind w:firstLine="851"/>
                    <w:jc w:val="both"/>
                    <w:rPr>
                      <w:szCs w:val="24"/>
                    </w:rPr>
                  </w:pPr>
                  <w:sdt>
                    <w:sdtPr>
                      <w:alias w:val="Numeris"/>
                      <w:tag w:val="nr_7fce506e696c4b84af9400bad882fa31"/>
                      <w:lock w:val="sdtLocked"/>
                      <w:richText/>
                    </w:sdtPr>
                    <w:sdtContent>
                      <w:r>
                        <w:t>5</w:t>
                      </w:r>
                    </w:sdtContent>
                  </w:sdt>
                  <w:r>
                    <w:t xml:space="preserve">. Europos arešto orderį dėl laisvės atėmimo bausme nuteisto ir nuo šios bausmės vykdymo pasislėpusio asmens išduoda apygardos teismas pagal nuosprendį ar nutartį panaikinti bausmės vykdymo atidėjimą arba nutartį dėl lygtinai iš pataisos įstaigos paleisto asmens pasiuntimo į pataisos įstaigą atlikti likusios laisvės atėmimo bausmės priėmusio teismo veiklos teritoriją (toliau – apygardos teismas). Šiuo atveju Europos arešto orderis išduodamas esant šioms sąlygoms: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sdt>
                  <w:sdtPr>
                    <w:alias w:val="5.1 p."/>
                    <w:tag w:val="part_b0c2978e89e54328af8def7233a7f1fe"/>
                    <w:lock w:val="sdtLocked"/>
                    <w:richText/>
                  </w:sdtPr>
                  <w:sdtContent>
                    <w:p>
                      <w:pPr>
                        <w:ind w:firstLine="851"/>
                        <w:jc w:val="both"/>
                        <w:rPr>
                          <w:szCs w:val="24"/>
                        </w:rPr>
                      </w:pPr>
                      <w:sdt>
                        <w:sdtPr>
                          <w:alias w:val="Numeris"/>
                          <w:tag w:val="nr_b0c2978e89e54328af8def7233a7f1fe"/>
                          <w:lock w:val="sdtLocked"/>
                          <w:richText/>
                        </w:sdtPr>
                        <w:sdtContent>
                          <w:r>
                            <w:rPr>
                              <w:szCs w:val="24"/>
                            </w:rPr>
                            <w:t>5.1</w:t>
                          </w:r>
                        </w:sdtContent>
                      </w:sdt>
                      <w:r>
                        <w:rPr>
                          <w:szCs w:val="24"/>
                        </w:rPr>
                        <w:t>. likusi laisvės atėmimo bausmė yra keturi mėnesiai ar ilgesnis terminas;</w:t>
                      </w:r>
                    </w:p>
                  </w:sdtContent>
                </w:sdt>
                <w:sdt>
                  <w:sdtPr>
                    <w:alias w:val="5.2 p."/>
                    <w:tag w:val="part_9bd804cee70740c1bcc4d8688afa9286"/>
                    <w:lock w:val="sdtLocked"/>
                    <w:richText/>
                  </w:sdtPr>
                  <w:sdtContent>
                    <w:p>
                      <w:pPr>
                        <w:ind w:firstLine="851"/>
                        <w:jc w:val="both"/>
                        <w:rPr>
                          <w:szCs w:val="24"/>
                        </w:rPr>
                      </w:pPr>
                      <w:sdt>
                        <w:sdtPr>
                          <w:alias w:val="Numeris"/>
                          <w:tag w:val="nr_9bd804cee70740c1bcc4d8688afa9286"/>
                          <w:lock w:val="sdtLocked"/>
                          <w:richText/>
                        </w:sdtPr>
                        <w:sdtContent>
                          <w:r>
                            <w:rPr>
                              <w:szCs w:val="24"/>
                            </w:rPr>
                            <w:t>5.2</w:t>
                          </w:r>
                        </w:sdtContent>
                      </w:sdt>
                      <w:r>
                        <w:rPr>
                          <w:szCs w:val="24"/>
                        </w:rPr>
                        <w:t>. yra pagrindas manyti, kad nuteistasis gali būti Europos Sąjungos valstybėje narėje ar kitoje valstybėje, kuri taiko asmenų perdavimo pagal Europos arešto orderį tvarką;</w:t>
                      </w:r>
                    </w:p>
                  </w:sdtContent>
                </w:sdt>
                <w:sdt>
                  <w:sdtPr>
                    <w:alias w:val="5.3 p."/>
                    <w:tag w:val="part_e73aa2034af546dd9ee88860df95e0cd"/>
                    <w:lock w:val="sdtLocked"/>
                    <w:richText/>
                  </w:sdtPr>
                  <w:sdtContent>
                    <w:p>
                      <w:pPr>
                        <w:ind w:firstLine="851"/>
                        <w:jc w:val="both"/>
                        <w:rPr>
                          <w:szCs w:val="24"/>
                        </w:rPr>
                      </w:pPr>
                      <w:sdt>
                        <w:sdtPr>
                          <w:alias w:val="Numeris"/>
                          <w:tag w:val="nr_e73aa2034af546dd9ee88860df95e0cd"/>
                          <w:lock w:val="sdtLocked"/>
                          <w:richText/>
                        </w:sdtPr>
                        <w:sdtContent>
                          <w:r>
                            <w:rPr>
                              <w:szCs w:val="24"/>
                            </w:rPr>
                            <w:t>5.3</w:t>
                          </w:r>
                        </w:sdtContent>
                      </w:sdt>
                      <w:r>
                        <w:rPr>
                          <w:szCs w:val="24"/>
                        </w:rPr>
                        <w:t xml:space="preserve">. </w:t>
                      </w:r>
                      <w:r>
                        <w:rPr>
                          <w:rFonts w:ascii="TimesLT" w:hAnsi="TimesLT"/>
                          <w:szCs w:val="24"/>
                        </w:rPr>
                        <w:t>asmens perdavimas pagal Europos arešto orderį atitinka proporcingumo ir proceso ekonomiškumo principus, atsižvelgiant į padaryto nusikaltimo pavojingumo pobūdį ir mastą, nuteistojo asmenybę.</w:t>
                      </w:r>
                    </w:p>
                    <w:p>
                      <w:pPr>
                        <w:ind w:firstLine="851"/>
                        <w:jc w:val="both"/>
                        <w:rPr>
                          <w:szCs w:val="24"/>
                        </w:rPr>
                      </w:pPr>
                    </w:p>
                  </w:sdtContent>
                </w:sdt>
              </w:sdtContent>
            </w:sdt>
          </w:sdtContent>
        </w:sdt>
        <w:sdt>
          <w:sdtPr>
            <w:alias w:val="skyrius"/>
            <w:tag w:val="part_ba1e7999cdb74eeb87a29490481b80f3"/>
            <w:lock w:val="sdtLocked"/>
            <w:richText/>
          </w:sdtPr>
          <w:sdtContent>
            <w:p>
              <w:pPr>
                <w:ind w:firstLine="851"/>
                <w:jc w:val="center"/>
                <w:rPr>
                  <w:b/>
                  <w:bCs/>
                  <w:caps/>
                  <w:szCs w:val="24"/>
                </w:rPr>
              </w:pPr>
              <w:sdt>
                <w:sdtPr>
                  <w:alias w:val="Numeris"/>
                  <w:tag w:val="nr_ba1e7999cdb74eeb87a29490481b80f3"/>
                  <w:lock w:val="sdtLocked"/>
                  <w:richText/>
                </w:sdtPr>
                <w:sdtContent>
                  <w:r>
                    <w:rPr>
                      <w:b/>
                      <w:bCs/>
                      <w:caps/>
                      <w:szCs w:val="24"/>
                    </w:rPr>
                    <w:t>II</w:t>
                  </w:r>
                </w:sdtContent>
              </w:sdt>
              <w:r>
                <w:rPr>
                  <w:b/>
                  <w:bCs/>
                  <w:caps/>
                  <w:szCs w:val="24"/>
                </w:rPr>
                <w:t xml:space="preserve"> SKYRIUS</w:t>
              </w:r>
            </w:p>
            <w:p>
              <w:pPr>
                <w:ind w:firstLine="851"/>
                <w:jc w:val="center"/>
                <w:rPr>
                  <w:b/>
                  <w:bCs/>
                  <w:caps/>
                  <w:szCs w:val="24"/>
                </w:rPr>
              </w:pPr>
              <w:sdt>
                <w:sdtPr>
                  <w:alias w:val="Pavadinimas"/>
                  <w:tag w:val="title_ba1e7999cdb74eeb87a29490481b80f3"/>
                  <w:lock w:val="sdtLocked"/>
                  <w:richText/>
                </w:sdtPr>
                <w:sdtContent>
                  <w:r>
                    <w:rPr>
                      <w:b/>
                      <w:bCs/>
                      <w:caps/>
                      <w:szCs w:val="24"/>
                    </w:rPr>
                    <w:t xml:space="preserve">KREIPIMASIS DĖL EUROPOS AREŠTO ORDERIO IŠDAVIMO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6 p."/>
                <w:tag w:val="part_90cf132f4bfd4ed099ccbb4b15e9047a"/>
                <w:lock w:val="sdtLocked"/>
                <w:richText/>
              </w:sdtPr>
              <w:sdtContent>
                <w:p>
                  <w:pPr>
                    <w:tabs>
                      <w:tab w:val="left" w:pos="1134"/>
                    </w:tabs>
                    <w:ind w:firstLine="851"/>
                    <w:jc w:val="both"/>
                    <w:rPr>
                      <w:szCs w:val="24"/>
                    </w:rPr>
                  </w:pPr>
                  <w:sdt>
                    <w:sdtPr>
                      <w:alias w:val="Numeris"/>
                      <w:tag w:val="nr_90cf132f4bfd4ed099ccbb4b15e9047a"/>
                      <w:lock w:val="sdtLocked"/>
                      <w:richText/>
                    </w:sdtPr>
                    <w:sdtContent>
                      <w:r>
                        <w:t>6</w:t>
                      </w:r>
                    </w:sdtContent>
                  </w:sdt>
                  <w:r>
                    <w:t>. Ikiteisminio tyrimo metu paaiškėjus, kad yra Taisyklių 4 punkte (išskyrus 4.3 papunktį) nustatytos sąlygos išduoti Europos arešto orderį, ikiteisminiam tyrimui vadovaujantis prokuroras Lietuvos Respublikos baudžiamojo proceso kodekso 123 straipsnyje nustatyta tvarka kreipiasi į ikiteisminio tyrimo teisėją dėl kardomosios priemonės – suėmimo skyrimo įtariamajam. Gavęs ikiteisminio tyrimo teisėjo nutartį suimti įtariamąjį, prokuroras surašo motyvuotą prašymą Lietuvos Respublikos generalinei prokuratūrai dėl Europos arešto orderio išdavimo. Prie prašymo pridedamas ikiteisminio tyrimo teisėjo nutarties dėl kardomosios priemonės – suėmimo skyrimo įtariamajam nuorašas ir Europos arešto orderio (išskyrus (i) punktą) projektas pagal Taisyklių 1 priede nustatytą formą.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7 p."/>
                <w:tag w:val="part_88d74309e5194507a14e4965b688b54f"/>
                <w:lock w:val="sdtLocked"/>
                <w:richText/>
              </w:sdtPr>
              <w:sdtContent>
                <w:p>
                  <w:pPr>
                    <w:ind w:firstLine="851"/>
                    <w:jc w:val="both"/>
                    <w:rPr>
                      <w:szCs w:val="24"/>
                    </w:rPr>
                  </w:pPr>
                  <w:sdt>
                    <w:sdtPr>
                      <w:alias w:val="Numeris"/>
                      <w:tag w:val="nr_88d74309e5194507a14e4965b688b54f"/>
                      <w:lock w:val="sdtLocked"/>
                      <w:richText/>
                    </w:sdtPr>
                    <w:sdtContent>
                      <w:r>
                        <w:rPr>
                          <w:rFonts w:ascii="TimesLT" w:hAnsi="TimesLT"/>
                          <w:szCs w:val="24"/>
                        </w:rPr>
                        <w:t>7</w:t>
                      </w:r>
                    </w:sdtContent>
                  </w:sdt>
                  <w:r>
                    <w:rPr>
                      <w:rFonts w:ascii="TimesLT" w:hAnsi="TimesLT"/>
                      <w:szCs w:val="24"/>
                    </w:rPr>
                    <w:t xml:space="preserve">. Tais atvejais, kai baudžiamoji byla yra perduota teismui ir yra 4 punkte nustatytos sąlygos išduoti Europos arešto orderį, nutarties nuorašą paskirti kardomąją priemonę – suėmimą nuo teismo pasislėpusiam kaltinamajam, teismas perduoda Lietuvos Respublikos generalinei prokuratūrai. </w:t>
                  </w:r>
                  <w:r>
                    <w:rPr>
                      <w:szCs w:val="24"/>
                    </w:rPr>
                    <w:t>Kartu su nutartimi teismas perduoda ir Europos arešto orderio (išskyrus (i) punktą) projektą.</w:t>
                  </w:r>
                </w:p>
              </w:sdtContent>
            </w:sdt>
            <w:sdt>
              <w:sdtPr>
                <w:alias w:val="8 p."/>
                <w:tag w:val="part_e24cf871ca6d4896a36b31644334f5bb"/>
                <w:lock w:val="sdtLocked"/>
                <w:richText/>
              </w:sdtPr>
              <w:sdtContent>
                <w:p>
                  <w:pPr>
                    <w:ind w:firstLine="851"/>
                    <w:jc w:val="both"/>
                    <w:rPr>
                      <w:rFonts w:ascii="TimesLT" w:hAnsi="TimesLT"/>
                      <w:szCs w:val="24"/>
                    </w:rPr>
                  </w:pPr>
                  <w:sdt>
                    <w:sdtPr>
                      <w:alias w:val="Numeris"/>
                      <w:tag w:val="nr_e24cf871ca6d4896a36b31644334f5bb"/>
                      <w:lock w:val="sdtLocked"/>
                      <w:richText/>
                    </w:sdtPr>
                    <w:sdtContent>
                      <w:r>
                        <w:rPr>
                          <w:rFonts w:ascii="TimesLT" w:hAnsi="TimesLT"/>
                          <w:szCs w:val="24"/>
                        </w:rPr>
                        <w:t>8</w:t>
                      </w:r>
                    </w:sdtContent>
                  </w:sdt>
                  <w:r>
                    <w:rPr>
                      <w:rFonts w:ascii="TimesLT" w:hAnsi="TimesLT"/>
                      <w:szCs w:val="24"/>
                    </w:rPr>
                    <w:t xml:space="preserve">. Jeigu apkaltinamasis nuosprendis priimtas kaltinamajam nedalyvaujant arba gaunama duomenų, kad nuteistasis, kuris iki nuosprendžio įsiteisėjimo nebuvo suimtas, pasislėpė nuo nuosprendžiu paskirtos laisvės atėmimo bausmės vykdymo, ir yra 5 punkte nustatytos sąlygos išduoti Europos arešto orderį, įsiteisėjusio apkaltinamojo teismo nuosprendžio, kuriuo buvo paskirta laisvės atėmimo bausmė, nuorašą kartu su Europos arešto orderio (išskyrus (i) punktą) projektu nuosprendį priėmęs apylinkės teismas siunčia apygardos teismui. Jeigu nuosprendį priėmė apygardos teismas, nuosprendžio nuorašas kartu su Europos arešto orderio (išskyrus (i) punktą) projektu pateikiami apygardos teismo pirmininkui ar Baudžiamųjų bylų skyriaus pirmininkui. </w:t>
                  </w:r>
                </w:p>
              </w:sdtContent>
            </w:sdt>
            <w:sdt>
              <w:sdtPr>
                <w:alias w:val="9 p."/>
                <w:tag w:val="part_d652e618715c4c6b90a8bb8c88b4ef11"/>
                <w:lock w:val="sdtLocked"/>
                <w:richText/>
              </w:sdtPr>
              <w:sdtContent>
                <w:p>
                  <w:pPr>
                    <w:tabs>
                      <w:tab w:val="left" w:pos="1134"/>
                    </w:tabs>
                    <w:ind w:firstLine="851"/>
                    <w:jc w:val="both"/>
                    <w:rPr>
                      <w:rFonts w:ascii="TimesLT" w:hAnsi="TimesLT"/>
                      <w:szCs w:val="24"/>
                    </w:rPr>
                  </w:pPr>
                  <w:sdt>
                    <w:sdtPr>
                      <w:alias w:val="Numeris"/>
                      <w:tag w:val="nr_d652e618715c4c6b90a8bb8c88b4ef11"/>
                      <w:lock w:val="sdtLocked"/>
                      <w:richText/>
                    </w:sdtPr>
                    <w:sdtContent>
                      <w:r>
                        <w:t>9</w:t>
                      </w:r>
                    </w:sdtContent>
                  </w:sdt>
                  <w:r>
                    <w:t>. Tais atvejais, kai yra priimta ir įsiteisėjusi nutartis panaikinti bausmės vykdymo atidėjimą arba nutartis dėl lygtinai iš pataisos įstaigos paleisto asmens pasiuntimo į pataisos įstaigą atlikti likusios laisvės atėmimo bausmės, ir yra 5 punkte nustatytos sąlygos išduoti Europos arešto orderį, nutarties nuorašą kartu su Europos arešto orderio (išskyrus (i) punktą) projektu apygardos teismui siunčia šią nutartį priėmęs apylinkės teismas.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
              <w:sdtPr>
                <w:alias w:val="10 p."/>
                <w:tag w:val="part_6e90788bbb394023812a4dfae29d61bf"/>
                <w:lock w:val="sdtLocked"/>
                <w:richText/>
              </w:sdtPr>
              <w:sdtContent>
                <w:p>
                  <w:pPr>
                    <w:ind w:firstLine="851"/>
                    <w:jc w:val="both"/>
                    <w:rPr>
                      <w:szCs w:val="24"/>
                    </w:rPr>
                  </w:pPr>
                  <w:sdt>
                    <w:sdtPr>
                      <w:alias w:val="Numeris"/>
                      <w:tag w:val="nr_6e90788bbb394023812a4dfae29d61bf"/>
                      <w:lock w:val="sdtLocked"/>
                      <w:richText/>
                    </w:sdtPr>
                    <w:sdtContent>
                      <w:r>
                        <w:rPr>
                          <w:szCs w:val="24"/>
                        </w:rPr>
                        <w:t>10</w:t>
                      </w:r>
                    </w:sdtContent>
                  </w:sdt>
                  <w:r>
                    <w:rPr>
                      <w:szCs w:val="24"/>
                    </w:rPr>
                    <w:t>.</w:t>
                  </w:r>
                  <w:r>
                    <w:rPr>
                      <w:b/>
                      <w:szCs w:val="24"/>
                    </w:rPr>
                    <w:t xml:space="preserve"> </w:t>
                  </w:r>
                  <w:r>
                    <w:rPr>
                      <w:szCs w:val="24"/>
                    </w:rPr>
                    <w:t>Jeigu įtariamasis ar kaltinamasis, dėl kurio padarytos nusikalstamos veikos pradėtas baudžiamasis procesas, taip pat nėra atlikęs visos ar dalies ankstesniu teismo nuosprendžiu paskirtos laisvės atėmimo bausmės, Taisyklių 6-9 punktuose nustatyta tvarka kreipiamasi dėl dviejų Europos arešto orderių išdavimo: į Lietuvos Respublikos generalinę prokuratūrą – dėl nuo ikiteisminio tyrimo ar teismo pasislėpusio įtariamojo ar kaltinamojo baudžiamojo persekiojimo ir į apygardos teismą – dėl laisvės atėmimo bausme nuteisto ir nuo šios bausmės vykdymo pasislėpusio asmens sulaikymo.</w:t>
                  </w:r>
                </w:p>
              </w:sdtContent>
            </w:sdt>
            <w:sdt>
              <w:sdtPr>
                <w:alias w:val="11 p."/>
                <w:tag w:val="part_9ed2b5cabc2e4db5909c36abc4744f0e"/>
                <w:lock w:val="sdtLocked"/>
                <w:richText/>
              </w:sdtPr>
              <w:sdtContent>
                <w:p>
                  <w:pPr>
                    <w:ind w:firstLine="851"/>
                    <w:jc w:val="both"/>
                    <w:rPr>
                      <w:b/>
                      <w:szCs w:val="24"/>
                    </w:rPr>
                  </w:pPr>
                  <w:sdt>
                    <w:sdtPr>
                      <w:alias w:val="Numeris"/>
                      <w:tag w:val="nr_9ed2b5cabc2e4db5909c36abc4744f0e"/>
                      <w:lock w:val="sdtLocked"/>
                      <w:richText/>
                    </w:sdtPr>
                    <w:sdtContent>
                      <w:r>
                        <w:rPr>
                          <w:szCs w:val="24"/>
                        </w:rPr>
                        <w:t>11</w:t>
                      </w:r>
                    </w:sdtContent>
                  </w:sdt>
                  <w:r>
                    <w:rPr>
                      <w:szCs w:val="24"/>
                    </w:rPr>
                    <w:t>. Prireikus ikiteisminiam tyrimui vadovaujantis prokuroras</w:t>
                  </w:r>
                  <w:r>
                    <w:rPr>
                      <w:b/>
                      <w:szCs w:val="24"/>
                    </w:rPr>
                    <w:t xml:space="preserve"> </w:t>
                  </w:r>
                  <w:r>
                    <w:rPr>
                      <w:szCs w:val="24"/>
                    </w:rPr>
                    <w:t xml:space="preserve">ar teismas kreipiasi į teritorinę policijos įstaigą arba bausmę vykdančią instituciją, kad būtų gauta įtariamojo ar kaltinamojo (nuteistojo) nuotrauka, pirštų antspaudai ar kita informacija, reikalinga Europos arešto orderio projektui parengti. </w:t>
                  </w:r>
                </w:p>
                <w:p>
                  <w:pPr>
                    <w:ind w:firstLine="851"/>
                    <w:jc w:val="both"/>
                    <w:rPr>
                      <w:b/>
                      <w:szCs w:val="24"/>
                    </w:rPr>
                  </w:pPr>
                </w:p>
              </w:sdtContent>
            </w:sdt>
          </w:sdtContent>
        </w:sdt>
        <w:sdt>
          <w:sdtPr>
            <w:alias w:val="skyrius"/>
            <w:tag w:val="part_5fbd67a01f6340819a76e50936798620"/>
            <w:lock w:val="sdtLocked"/>
            <w:richText/>
          </w:sdtPr>
          <w:sdtContent>
            <w:p>
              <w:pPr>
                <w:ind w:firstLine="851"/>
                <w:jc w:val="center"/>
                <w:rPr>
                  <w:b/>
                  <w:bCs/>
                  <w:caps/>
                  <w:szCs w:val="24"/>
                </w:rPr>
              </w:pPr>
              <w:sdt>
                <w:sdtPr>
                  <w:alias w:val="Numeris"/>
                  <w:tag w:val="nr_5fbd67a01f6340819a76e50936798620"/>
                  <w:lock w:val="sdtLocked"/>
                  <w:richText/>
                </w:sdtPr>
                <w:sdtContent>
                  <w:r>
                    <w:rPr>
                      <w:b/>
                      <w:bCs/>
                      <w:caps/>
                      <w:szCs w:val="24"/>
                    </w:rPr>
                    <w:t>III</w:t>
                  </w:r>
                </w:sdtContent>
              </w:sdt>
              <w:r>
                <w:rPr>
                  <w:b/>
                  <w:bCs/>
                  <w:caps/>
                  <w:szCs w:val="24"/>
                </w:rPr>
                <w:t xml:space="preserve"> SKYRIUS</w:t>
              </w:r>
            </w:p>
            <w:p>
              <w:pPr>
                <w:ind w:firstLine="851"/>
                <w:jc w:val="center"/>
                <w:rPr>
                  <w:b/>
                  <w:bCs/>
                  <w:caps/>
                  <w:szCs w:val="24"/>
                </w:rPr>
              </w:pPr>
              <w:sdt>
                <w:sdtPr>
                  <w:alias w:val="Pavadinimas"/>
                  <w:tag w:val="title_5fbd67a01f6340819a76e50936798620"/>
                  <w:lock w:val="sdtLocked"/>
                  <w:richText/>
                </w:sdtPr>
                <w:sdtContent>
                  <w:r>
                    <w:rPr>
                      <w:b/>
                      <w:bCs/>
                      <w:caps/>
                      <w:szCs w:val="24"/>
                    </w:rPr>
                    <w:t xml:space="preserve">EUROPOS AREŠTO ORDERIO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2 p."/>
                <w:tag w:val="part_d331f6e705d84c38b967565b55948a7a"/>
                <w:lock w:val="sdtLocked"/>
                <w:richText/>
              </w:sdtPr>
              <w:sdtContent>
                <w:p>
                  <w:pPr>
                    <w:ind w:firstLine="851"/>
                    <w:jc w:val="both"/>
                    <w:rPr>
                      <w:szCs w:val="24"/>
                    </w:rPr>
                  </w:pPr>
                  <w:sdt>
                    <w:sdtPr>
                      <w:alias w:val="Numeris"/>
                      <w:tag w:val="nr_d331f6e705d84c38b967565b55948a7a"/>
                      <w:lock w:val="sdtLocked"/>
                      <w:richText/>
                    </w:sdtPr>
                    <w:sdtContent>
                      <w:r>
                        <w:rPr>
                          <w:szCs w:val="24"/>
                        </w:rPr>
                        <w:t>12</w:t>
                      </w:r>
                    </w:sdtContent>
                  </w:sdt>
                  <w:r>
                    <w:rPr>
                      <w:szCs w:val="24"/>
                    </w:rPr>
                    <w:t xml:space="preserve">. </w:t>
                  </w:r>
                  <w:r>
                    <w:rPr>
                      <w:rFonts w:ascii="TimesLT" w:hAnsi="TimesLT"/>
                      <w:szCs w:val="24"/>
                    </w:rPr>
                    <w:t>Lietuvos Respublikos generalinė prokuratūra, gavusi Taisyklių II skyriuje nurodytus dokumentus, juos išnagrinėja, ir, esant Taisyklių 4 punkte išvardytoms sąlygoms, išduoda Europos arešto orderį. Jeigu Europos arešto orderiui išduoti trūksta informacijos, Lietuvos Respublikos generalinė prokuratūra kreipiasi į prašymą dėl Europos arešto orderio išdavimo pateikusią instituciją, kad ši pateiktų trūkstamą informaciją per Lietuvos Respublikos generalinės prokuratūros nurodytą terminą. Jeigu Europos arešto orderį išduoti nėra sąlygų arba per nurodytą terminą nėra gaunama trūkstama informacija, prašymas išduoti Europos arešto orderį grąžinamas jį pateikusiai institucijai</w:t>
                  </w:r>
                  <w:r>
                    <w:rPr>
                      <w:szCs w:val="24"/>
                    </w:rPr>
                    <w:t xml:space="preserve">. </w:t>
                  </w:r>
                </w:p>
              </w:sdtContent>
            </w:sdt>
            <w:sdt>
              <w:sdtPr>
                <w:alias w:val="13 p."/>
                <w:tag w:val="part_56cfec31801e421ab0cdbf56ae0976d6"/>
                <w:lock w:val="sdtLocked"/>
                <w:richText/>
              </w:sdtPr>
              <w:sdtContent>
                <w:p>
                  <w:pPr>
                    <w:ind w:firstLine="851"/>
                    <w:jc w:val="both"/>
                    <w:rPr>
                      <w:szCs w:val="24"/>
                    </w:rPr>
                  </w:pPr>
                  <w:sdt>
                    <w:sdtPr>
                      <w:alias w:val="Numeris"/>
                      <w:tag w:val="nr_56cfec31801e421ab0cdbf56ae0976d6"/>
                      <w:lock w:val="sdtLocked"/>
                      <w:richText/>
                    </w:sdtPr>
                    <w:sdtContent>
                      <w:r>
                        <w:rPr>
                          <w:szCs w:val="24"/>
                        </w:rPr>
                        <w:t>13</w:t>
                      </w:r>
                    </w:sdtContent>
                  </w:sdt>
                  <w:r>
                    <w:rPr>
                      <w:szCs w:val="24"/>
                    </w:rPr>
                    <w:t xml:space="preserve">. </w:t>
                  </w:r>
                  <w:r>
                    <w:rPr>
                      <w:rFonts w:ascii="TimesLT" w:hAnsi="TimesLT"/>
                      <w:szCs w:val="24"/>
                    </w:rPr>
                    <w:t>Apygardos teisme gautus š</w:t>
                  </w:r>
                  <w:r>
                    <w:rPr>
                      <w:szCs w:val="24"/>
                    </w:rPr>
                    <w:t xml:space="preserve">ių </w:t>
                  </w:r>
                  <w:r>
                    <w:rPr>
                      <w:rFonts w:ascii="TimesLT" w:hAnsi="TimesLT"/>
                      <w:szCs w:val="24"/>
                    </w:rPr>
                    <w:t>Taisyklių II skyriuje nurodytus dokumentus nagrinėja apygardos teismo pirmininko ar Baudžiamųjų bylų skyriaus pirmininko paskirtas teisėjas, kuris, esant Taisyklių 5 punkte išvardytoms sąlygoms, išduoda Europos arešto orderį. Jeigu Europos arešto orderiui išduoti trūksta informacijos, apygardos teismas kreipiasi į dokumentus dėl Europos arešto orderio išdavimo pateikusią instituciją arba teritorinę policijos įstaigą ar bausmę vykdančią instituciją, kad šios pateiktų reikiamą informaciją per apygardos teismo nurodytą terminą. Jeigu Europos arešto orderį išduoti nėra sąlygų arba per nurodytą terminą nėra gaunama trūkstama informacija, priimama motyvuota nutartis atsisakyti išduoti Europos arešto orderį ir apie tai informuojama Europos arešto orderio išdavimą inicijavusi institucija</w:t>
                  </w:r>
                  <w:r>
                    <w:rPr>
                      <w:szCs w:val="24"/>
                    </w:rPr>
                    <w:t>.</w:t>
                  </w:r>
                </w:p>
              </w:sdtContent>
            </w:sdt>
            <w:sdt>
              <w:sdtPr>
                <w:alias w:val="14 p."/>
                <w:tag w:val="part_e92bcdb9939045439530d9bea66af004"/>
                <w:lock w:val="sdtLocked"/>
                <w:richText/>
              </w:sdtPr>
              <w:sdtContent>
                <w:p>
                  <w:pPr>
                    <w:ind w:firstLine="851"/>
                    <w:jc w:val="both"/>
                    <w:rPr>
                      <w:szCs w:val="24"/>
                    </w:rPr>
                  </w:pPr>
                  <w:sdt>
                    <w:sdtPr>
                      <w:alias w:val="Numeris"/>
                      <w:tag w:val="nr_e92bcdb9939045439530d9bea66af004"/>
                      <w:lock w:val="sdtLocked"/>
                      <w:richText/>
                    </w:sdtPr>
                    <w:sdtContent>
                      <w:r>
                        <w:rPr>
                          <w:szCs w:val="24"/>
                        </w:rPr>
                        <w:t>14</w:t>
                      </w:r>
                    </w:sdtContent>
                  </w:sdt>
                  <w:r>
                    <w:rPr>
                      <w:szCs w:val="24"/>
                    </w:rPr>
                    <w:t>.</w:t>
                  </w:r>
                  <w:r>
                    <w:rPr>
                      <w:b/>
                      <w:szCs w:val="24"/>
                    </w:rPr>
                    <w:t xml:space="preserve"> </w:t>
                  </w:r>
                  <w:r>
                    <w:rPr>
                      <w:szCs w:val="24"/>
                    </w:rPr>
                    <w:t xml:space="preserve">Europos arešto orderis turi būti išduotas ne vėliau kaip per 5 darbo dienas nuo visos Europos arešto orderiui parengti reikalingos informacijos gavimo. </w:t>
                  </w:r>
                </w:p>
              </w:sdtContent>
            </w:sdt>
            <w:sdt>
              <w:sdtPr>
                <w:alias w:val="15 p."/>
                <w:tag w:val="part_2fdb482af7584ffbb6df8dd424f068fe"/>
                <w:lock w:val="sdtLocked"/>
                <w:richText/>
              </w:sdtPr>
              <w:sdtContent>
                <w:p>
                  <w:pPr>
                    <w:ind w:firstLine="851"/>
                    <w:jc w:val="both"/>
                    <w:rPr>
                      <w:szCs w:val="24"/>
                    </w:rPr>
                  </w:pPr>
                  <w:sdt>
                    <w:sdtPr>
                      <w:alias w:val="Numeris"/>
                      <w:tag w:val="nr_2fdb482af7584ffbb6df8dd424f068fe"/>
                      <w:lock w:val="sdtLocked"/>
                      <w:richText/>
                    </w:sdtPr>
                    <w:sdtContent>
                      <w:r>
                        <w:rPr>
                          <w:szCs w:val="24"/>
                        </w:rPr>
                        <w:t>15</w:t>
                      </w:r>
                    </w:sdtContent>
                  </w:sdt>
                  <w:r>
                    <w:rPr>
                      <w:szCs w:val="24"/>
                    </w:rPr>
                    <w:t xml:space="preserve">. Europos arešto orderis rengiamas pagal Taisyklių 1 priede nustatytą Europos arešto orderio formą. </w:t>
                  </w:r>
                </w:p>
              </w:sdtContent>
            </w:sdt>
            <w:sdt>
              <w:sdtPr>
                <w:alias w:val="16 p."/>
                <w:tag w:val="part_f7ae10bea5b048d7b191f06cf3fa64c9"/>
                <w:lock w:val="sdtLocked"/>
                <w:richText/>
              </w:sdtPr>
              <w:sdtContent>
                <w:p>
                  <w:pPr>
                    <w:ind w:firstLine="851"/>
                    <w:jc w:val="both"/>
                    <w:rPr>
                      <w:szCs w:val="24"/>
                    </w:rPr>
                  </w:pPr>
                  <w:sdt>
                    <w:sdtPr>
                      <w:alias w:val="Numeris"/>
                      <w:tag w:val="nr_f7ae10bea5b048d7b191f06cf3fa64c9"/>
                      <w:lock w:val="sdtLocked"/>
                      <w:richText/>
                    </w:sdtPr>
                    <w:sdtContent>
                      <w:r>
                        <w:rPr>
                          <w:szCs w:val="24"/>
                        </w:rPr>
                        <w:t>16</w:t>
                      </w:r>
                    </w:sdtContent>
                  </w:sdt>
                  <w:r>
                    <w:rPr>
                      <w:szCs w:val="24"/>
                    </w:rPr>
                    <w:t xml:space="preserve">. Rengiant Europos arešto orderį būtina atsižvelgti į užsienio valstybių padarytus pareiškimus pagal </w:t>
                  </w:r>
                  <w:smartTag w:uri="urn:schemas-microsoft-com:office:smarttags" w:element="metricconverter">
                    <w:smartTagPr>
                      <w:attr w:name="ProductID" w:val="2002 m"/>
                    </w:smartTagPr>
                    <w:r>
                      <w:rPr>
                        <w:szCs w:val="24"/>
                      </w:rPr>
                      <w:t>2002 m</w:t>
                    </w:r>
                  </w:smartTag>
                  <w:r>
                    <w:rPr>
                      <w:szCs w:val="24"/>
                    </w:rPr>
                    <w:t xml:space="preserve">. birželio 13 d. Tarybos pagrindų sprendimą 2002/584/TVR dėl Europos arešto orderio ir valstybių narių tarpusavio perdavimo procedūrų, Europos Sąjungos institucijų priimtus teisės aktus ir į Europos arešto orderiui išduoti ir jam vykdyti svarbias aplinkybes. </w:t>
                  </w:r>
                </w:p>
              </w:sdtContent>
            </w:sdt>
            <w:sdt>
              <w:sdtPr>
                <w:alias w:val="17 p."/>
                <w:tag w:val="part_2fb9de6accb44b6683aca58b904910fe"/>
                <w:lock w:val="sdtLocked"/>
                <w:richText/>
              </w:sdtPr>
              <w:sdtContent>
                <w:p>
                  <w:pPr>
                    <w:ind w:firstLine="851"/>
                    <w:jc w:val="both"/>
                    <w:rPr>
                      <w:szCs w:val="24"/>
                    </w:rPr>
                  </w:pPr>
                  <w:sdt>
                    <w:sdtPr>
                      <w:alias w:val="Numeris"/>
                      <w:tag w:val="nr_2fb9de6accb44b6683aca58b904910fe"/>
                      <w:lock w:val="sdtLocked"/>
                      <w:richText/>
                    </w:sdtPr>
                    <w:sdtContent>
                      <w:r>
                        <w:rPr>
                          <w:szCs w:val="24"/>
                        </w:rPr>
                        <w:t>17</w:t>
                      </w:r>
                    </w:sdtContent>
                  </w:sdt>
                  <w:r>
                    <w:rPr>
                      <w:szCs w:val="24"/>
                    </w:rPr>
                    <w:t>.</w:t>
                  </w:r>
                  <w:r>
                    <w:rPr>
                      <w:b/>
                      <w:szCs w:val="24"/>
                    </w:rPr>
                    <w:t xml:space="preserve"> </w:t>
                  </w:r>
                  <w:r>
                    <w:rPr>
                      <w:szCs w:val="24"/>
                    </w:rPr>
                    <w:t xml:space="preserve">Europos arešto orderį pasirašo Lietuvos Respublikos generalinis prokuroras arba jo įgaliotas prokuroras, jeigu Europos arešto orderį išduoda apygardos teismas, – </w:t>
                  </w:r>
                  <w:r>
                    <w:rPr>
                      <w:rFonts w:ascii="TimesLT" w:hAnsi="TimesLT"/>
                      <w:szCs w:val="24"/>
                    </w:rPr>
                    <w:t>apygardos teismo teisėjas</w:t>
                  </w:r>
                  <w:r>
                    <w:rPr>
                      <w:szCs w:val="24"/>
                    </w:rPr>
                    <w:t xml:space="preserve">. </w:t>
                  </w:r>
                </w:p>
              </w:sdtContent>
            </w:sdt>
            <w:sdt>
              <w:sdtPr>
                <w:alias w:val="18 p."/>
                <w:tag w:val="part_abc163d6565e4872aab76398c7b540c7"/>
                <w:lock w:val="sdtLocked"/>
                <w:richText/>
              </w:sdtPr>
              <w:sdtContent>
                <w:p>
                  <w:pPr>
                    <w:ind w:firstLine="851"/>
                    <w:jc w:val="both"/>
                    <w:rPr>
                      <w:szCs w:val="24"/>
                    </w:rPr>
                  </w:pPr>
                  <w:sdt>
                    <w:sdtPr>
                      <w:alias w:val="Numeris"/>
                      <w:tag w:val="nr_abc163d6565e4872aab76398c7b540c7"/>
                      <w:lock w:val="sdtLocked"/>
                      <w:richText/>
                    </w:sdtPr>
                    <w:sdtContent>
                      <w:r>
                        <w:rPr>
                          <w:szCs w:val="24"/>
                        </w:rPr>
                        <w:t>18</w:t>
                      </w:r>
                    </w:sdtContent>
                  </w:sdt>
                  <w:r>
                    <w:rPr>
                      <w:szCs w:val="24"/>
                    </w:rPr>
                    <w:t xml:space="preserve">. Europos arešto orderis surašomas lietuvių kalba. Europos arešto orderio oficialų vertimą į reikalingą užsienio valstybės kalbą užtikrina jį išdavusi institucija. </w:t>
                  </w:r>
                </w:p>
                <w:p>
                  <w:pPr>
                    <w:ind w:firstLine="851"/>
                    <w:jc w:val="both"/>
                    <w:rPr>
                      <w:szCs w:val="24"/>
                    </w:rPr>
                  </w:pPr>
                </w:p>
                <w:p>
                  <w:pPr>
                    <w:ind w:firstLine="851"/>
                    <w:jc w:val="both"/>
                    <w:rPr>
                      <w:szCs w:val="24"/>
                    </w:rPr>
                  </w:pPr>
                </w:p>
                <w:p>
                  <w:pPr>
                    <w:ind w:firstLine="851"/>
                    <w:jc w:val="both"/>
                    <w:rPr>
                      <w:szCs w:val="24"/>
                    </w:rPr>
                  </w:pPr>
                </w:p>
              </w:sdtContent>
            </w:sdt>
          </w:sdtContent>
        </w:sdt>
        <w:sdt>
          <w:sdtPr>
            <w:alias w:val="skyrius"/>
            <w:tag w:val="part_3388111191f343f299360c9c2a9008d6"/>
            <w:lock w:val="sdtLocked"/>
            <w:richText/>
          </w:sdtPr>
          <w:sdtContent>
            <w:p>
              <w:pPr>
                <w:jc w:val="center"/>
                <w:rPr>
                  <w:b/>
                  <w:bCs/>
                  <w:caps/>
                  <w:szCs w:val="24"/>
                </w:rPr>
              </w:pPr>
              <w:sdt>
                <w:sdtPr>
                  <w:alias w:val="Numeris"/>
                  <w:tag w:val="nr_3388111191f343f299360c9c2a9008d6"/>
                  <w:lock w:val="sdtLocked"/>
                  <w:richText/>
                </w:sdtPr>
                <w:sdtContent>
                  <w:r>
                    <w:rPr>
                      <w:b/>
                      <w:bCs/>
                      <w:caps/>
                      <w:szCs w:val="24"/>
                    </w:rPr>
                    <w:t>IV</w:t>
                  </w:r>
                </w:sdtContent>
              </w:sdt>
              <w:r>
                <w:t xml:space="preserve"> </w:t>
              </w:r>
              <w:r>
                <w:rPr>
                  <w:b/>
                  <w:bCs/>
                  <w:caps/>
                  <w:szCs w:val="24"/>
                </w:rPr>
                <w:t>SKYRIUS</w:t>
              </w:r>
            </w:p>
            <w:p>
              <w:pPr>
                <w:jc w:val="center"/>
                <w:rPr>
                  <w:b/>
                  <w:bCs/>
                  <w:caps/>
                  <w:szCs w:val="24"/>
                </w:rPr>
              </w:pPr>
              <w:sdt>
                <w:sdtPr>
                  <w:alias w:val="Pavadinimas"/>
                  <w:tag w:val="title_3388111191f343f299360c9c2a9008d6"/>
                  <w:lock w:val="sdtLocked"/>
                  <w:richText/>
                </w:sdtPr>
                <w:sdtContent>
                  <w:r>
                    <w:rPr>
                      <w:b/>
                      <w:bCs/>
                      <w:caps/>
                      <w:szCs w:val="24"/>
                    </w:rPr>
                    <w:t xml:space="preserve"> EUROPOS AREŠTO ORDERIO PERDAVIMAS UŽSIENIO VALSTYBĖS KOMPETENTINGOMS INSTITUCIJOMS. PRAŠOMO ASMENS PERĖMIMAS IŠ UŽSIENIO VALSTYBĖS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19 p."/>
                <w:tag w:val="part_3f6bd824a9084952baf81afaac26b073"/>
                <w:lock w:val="sdtLocked"/>
                <w:richText/>
              </w:sdtPr>
              <w:sdtContent>
                <w:p>
                  <w:pPr>
                    <w:ind w:firstLine="851"/>
                    <w:jc w:val="both"/>
                    <w:rPr>
                      <w:szCs w:val="24"/>
                    </w:rPr>
                  </w:pPr>
                  <w:sdt>
                    <w:sdtPr>
                      <w:alias w:val="Numeris"/>
                      <w:tag w:val="nr_3f6bd824a9084952baf81afaac26b073"/>
                      <w:lock w:val="sdtLocked"/>
                      <w:richText/>
                    </w:sdtPr>
                    <w:sdtContent>
                      <w:r>
                        <w:rPr>
                          <w:szCs w:val="24"/>
                        </w:rPr>
                        <w:t>19</w:t>
                      </w:r>
                    </w:sdtContent>
                  </w:sdt>
                  <w:r>
                    <w:rPr>
                      <w:szCs w:val="24"/>
                    </w:rPr>
                    <w:t>. Europos arešto orderis užsienio valstybės kompetentingoms institucijoms perduodamas šiais būdais:</w:t>
                  </w:r>
                </w:p>
                <w:sdt>
                  <w:sdtPr>
                    <w:alias w:val="19.1 p."/>
                    <w:tag w:val="part_6b496aa1542f42f4b680e54fc3ca312a"/>
                    <w:lock w:val="sdtLocked"/>
                    <w:richText/>
                  </w:sdtPr>
                  <w:sdtContent>
                    <w:p>
                      <w:pPr>
                        <w:ind w:firstLine="851"/>
                        <w:jc w:val="both"/>
                        <w:rPr>
                          <w:szCs w:val="24"/>
                        </w:rPr>
                      </w:pPr>
                      <w:sdt>
                        <w:sdtPr>
                          <w:alias w:val="Numeris"/>
                          <w:tag w:val="nr_6b496aa1542f42f4b680e54fc3ca312a"/>
                          <w:lock w:val="sdtLocked"/>
                          <w:richText/>
                        </w:sdtPr>
                        <w:sdtContent>
                          <w:r>
                            <w:rPr>
                              <w:szCs w:val="24"/>
                            </w:rPr>
                            <w:t>19.1</w:t>
                          </w:r>
                        </w:sdtContent>
                      </w:sdt>
                      <w:r>
                        <w:rPr>
                          <w:szCs w:val="24"/>
                        </w:rPr>
                        <w:t>.</w:t>
                      </w:r>
                      <w:r>
                        <w:rPr>
                          <w:b/>
                          <w:szCs w:val="24"/>
                        </w:rPr>
                        <w:t xml:space="preserve"> </w:t>
                      </w:r>
                      <w:r>
                        <w:rPr>
                          <w:szCs w:val="24"/>
                        </w:rPr>
                        <w:t>jeigu žinoma ieškomo asmens buvimo vieta, Europos arešto orderis tiesiogiai persiunčiamas kompetentingai tos valstybės institucijai. Prireikus</w:t>
                      </w:r>
                      <w:r>
                        <w:rPr>
                          <w:b/>
                          <w:szCs w:val="24"/>
                        </w:rPr>
                        <w:t xml:space="preserve"> </w:t>
                      </w:r>
                      <w:r>
                        <w:rPr>
                          <w:szCs w:val="24"/>
                        </w:rPr>
                        <w:t>Europos arešto orderis gali būti siunčiamas ir per saugią Europos teisminio tinklo telekomunikacijų sistemą, kai ji bus sukurta, Lietuvos Respublikos teisingumo ministeriją arba Lietuvos Respublikos generalinės prokuratūros prokurorą – Lietuvos nacionalinį narį Eurojuste (Lietuvos nacionalinio nario Eurojuste pavaduotoją). Visais atvejais Europos arešto orderio kopija tiesiogiai siunčiama ir Lietuvos kriminalinės policijos biuro padaliniui, atsakingam už perėmimų pagal Europos arešto orderį organizavimą ir koordinavimą;</w:t>
                      </w:r>
                    </w:p>
                  </w:sdtContent>
                </w:sdt>
                <w:sdt>
                  <w:sdtPr>
                    <w:alias w:val="19.2 p."/>
                    <w:tag w:val="part_9c9aef790651483ba036f93bcc5552ba"/>
                    <w:lock w:val="sdtLocked"/>
                    <w:richText/>
                  </w:sdtPr>
                  <w:sdtContent>
                    <w:p>
                      <w:pPr>
                        <w:ind w:firstLine="851"/>
                        <w:jc w:val="both"/>
                        <w:rPr>
                          <w:szCs w:val="24"/>
                        </w:rPr>
                      </w:pPr>
                      <w:sdt>
                        <w:sdtPr>
                          <w:alias w:val="Numeris"/>
                          <w:tag w:val="nr_9c9aef790651483ba036f93bcc5552ba"/>
                          <w:lock w:val="sdtLocked"/>
                          <w:richText/>
                        </w:sdtPr>
                        <w:sdtContent>
                          <w:r>
                            <w:rPr>
                              <w:szCs w:val="24"/>
                            </w:rPr>
                            <w:t>19.2</w:t>
                          </w:r>
                        </w:sdtContent>
                      </w:sdt>
                      <w:r>
                        <w:rPr>
                          <w:szCs w:val="24"/>
                        </w:rPr>
                        <w:t>.</w:t>
                      </w:r>
                      <w:r>
                        <w:rPr>
                          <w:b/>
                          <w:szCs w:val="24"/>
                        </w:rPr>
                        <w:t xml:space="preserve"> </w:t>
                      </w:r>
                      <w:r>
                        <w:rPr>
                          <w:szCs w:val="24"/>
                        </w:rPr>
                        <w:t>jeigu ieškomo asmens buvimo vieta nėra žinoma, Europos arešto orderis tiesiogiai siunčiamas Lietuvos kriminalinės policijos biuro padaliniui, atsakingam už perėmimų pagal Europos arešto orderį organizavimą ir koordinavimą.</w:t>
                      </w:r>
                      <w:r>
                        <w:rPr>
                          <w:b/>
                          <w:szCs w:val="24"/>
                        </w:rPr>
                        <w:t xml:space="preserve"> </w:t>
                      </w:r>
                      <w:r>
                        <w:rPr>
                          <w:szCs w:val="24"/>
                        </w:rPr>
                        <w:t xml:space="preserve">Šis padalinys Europos arešto orderį ar jį sudarančią informaciją perduoda per Šengeno informacinę sistemą (SIS II). </w:t>
                      </w:r>
                    </w:p>
                  </w:sdtContent>
                </w:sdt>
              </w:sdtContent>
            </w:sdt>
            <w:sdt>
              <w:sdtPr>
                <w:alias w:val="20 p."/>
                <w:tag w:val="part_bbae5b5a014448909ca92e27a7f9312f"/>
                <w:lock w:val="sdtLocked"/>
                <w:richText/>
              </w:sdtPr>
              <w:sdtContent>
                <w:p>
                  <w:pPr>
                    <w:ind w:firstLine="851"/>
                    <w:jc w:val="both"/>
                    <w:rPr>
                      <w:szCs w:val="24"/>
                    </w:rPr>
                  </w:pPr>
                  <w:sdt>
                    <w:sdtPr>
                      <w:alias w:val="Numeris"/>
                      <w:tag w:val="nr_bbae5b5a014448909ca92e27a7f9312f"/>
                      <w:lock w:val="sdtLocked"/>
                      <w:richText/>
                    </w:sdtPr>
                    <w:sdtContent>
                      <w:r>
                        <w:rPr>
                          <w:szCs w:val="24"/>
                        </w:rPr>
                        <w:t>20</w:t>
                      </w:r>
                    </w:sdtContent>
                  </w:sdt>
                  <w:r>
                    <w:rPr>
                      <w:szCs w:val="24"/>
                    </w:rPr>
                    <w:t>. Jeigu Europos arešto orderį išdavusi institucija nežino kompetentingos užsienio valstybės institucijos, ji pateikia reikiamą užklausimą, taip pat ir per Europos teisminį tinklą, kad gautų tokią informaciją iš sprendimą vykdančios valstybės narės.</w:t>
                  </w:r>
                </w:p>
              </w:sdtContent>
            </w:sdt>
            <w:sdt>
              <w:sdtPr>
                <w:alias w:val="21 p."/>
                <w:tag w:val="part_cd510b54883140aabd8bdad2a0fe5a0f"/>
                <w:lock w:val="sdtLocked"/>
                <w:richText/>
              </w:sdtPr>
              <w:sdtContent>
                <w:p>
                  <w:pPr>
                    <w:ind w:firstLine="851"/>
                    <w:jc w:val="both"/>
                    <w:rPr>
                      <w:b/>
                      <w:szCs w:val="24"/>
                    </w:rPr>
                  </w:pPr>
                  <w:sdt>
                    <w:sdtPr>
                      <w:alias w:val="Numeris"/>
                      <w:tag w:val="nr_cd510b54883140aabd8bdad2a0fe5a0f"/>
                      <w:lock w:val="sdtLocked"/>
                      <w:richText/>
                    </w:sdtPr>
                    <w:sdtContent>
                      <w:r>
                        <w:rPr>
                          <w:szCs w:val="24"/>
                        </w:rPr>
                        <w:t>21</w:t>
                      </w:r>
                    </w:sdtContent>
                  </w:sdt>
                  <w:r>
                    <w:rPr>
                      <w:szCs w:val="24"/>
                    </w:rPr>
                    <w:t xml:space="preserve">. Visais klausimais, susijusiais su išduoto Europos arešto orderio persiuntimu ir vykdymu, su kompetentingomis užsienio valstybės institucijomis tiesiogiai susižino Europos arešto orderį išdavusi institucija. </w:t>
                  </w:r>
                </w:p>
              </w:sdtContent>
            </w:sdt>
            <w:sdt>
              <w:sdtPr>
                <w:alias w:val="22 p."/>
                <w:tag w:val="part_95498ba44f244f7a8df62bf225f3b9f6"/>
                <w:lock w:val="sdtLocked"/>
                <w:richText/>
              </w:sdtPr>
              <w:sdtContent>
                <w:p>
                  <w:pPr>
                    <w:ind w:firstLine="851"/>
                    <w:jc w:val="both"/>
                    <w:rPr>
                      <w:szCs w:val="24"/>
                    </w:rPr>
                  </w:pPr>
                  <w:sdt>
                    <w:sdtPr>
                      <w:alias w:val="Numeris"/>
                      <w:tag w:val="nr_95498ba44f244f7a8df62bf225f3b9f6"/>
                      <w:lock w:val="sdtLocked"/>
                      <w:richText/>
                    </w:sdtPr>
                    <w:sdtContent>
                      <w:r>
                        <w:rPr>
                          <w:szCs w:val="24"/>
                        </w:rPr>
                        <w:t>22</w:t>
                      </w:r>
                    </w:sdtContent>
                  </w:sdt>
                  <w:r>
                    <w:rPr>
                      <w:szCs w:val="24"/>
                    </w:rPr>
                    <w:t>. Gavusi užsienio valstybės sutikimą dėl pagal išduotą Europos arešto orderį sulaikyto asmens perdavimo Lietuvos Respublikai,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3 p."/>
                <w:tag w:val="part_4d83e655b74b46999bf680977e751e8b"/>
                <w:lock w:val="sdtLocked"/>
                <w:richText/>
              </w:sdtPr>
              <w:sdtContent>
                <w:p>
                  <w:pPr>
                    <w:ind w:firstLine="851"/>
                    <w:jc w:val="both"/>
                    <w:rPr>
                      <w:szCs w:val="24"/>
                    </w:rPr>
                  </w:pPr>
                  <w:sdt>
                    <w:sdtPr>
                      <w:alias w:val="Numeris"/>
                      <w:tag w:val="nr_4d83e655b74b46999bf680977e751e8b"/>
                      <w:lock w:val="sdtLocked"/>
                      <w:richText/>
                    </w:sdtPr>
                    <w:sdtContent>
                      <w:r>
                        <w:rPr>
                          <w:szCs w:val="24"/>
                        </w:rPr>
                        <w:t>23</w:t>
                      </w:r>
                    </w:sdtContent>
                  </w:sdt>
                  <w:r>
                    <w:rPr>
                      <w:szCs w:val="24"/>
                    </w:rPr>
                    <w:t>. Dėl s</w:t>
                  </w:r>
                  <w:r>
                    <w:rPr>
                      <w:bCs/>
                      <w:color w:val="000000"/>
                      <w:szCs w:val="24"/>
                    </w:rPr>
                    <w:t xml:space="preserve">uimto asmens vežimo tranzitu per užsienio valstybės teritoriją į kompetentingą užsienio valstybės instituciją kreipiasi Lietuvos Respublikos generalinė prokuratūra ar Lietuvos Respublikos teisingumo ministerija, gavusi </w:t>
                  </w:r>
                  <w:r>
                    <w:rPr>
                      <w:szCs w:val="24"/>
                    </w:rPr>
                    <w:t>Lietuvos kriminalinės policijos biuro padalinio, atsakingo už perėmimų pagal Europos arešto orderį organizavimą ir koordinavimą, prašymą.</w:t>
                  </w:r>
                </w:p>
              </w:sdtContent>
            </w:sdt>
            <w:sdt>
              <w:sdtPr>
                <w:alias w:val="24 p."/>
                <w:tag w:val="part_133f05090d48400ba82f3e3f5243bfc2"/>
                <w:lock w:val="sdtLocked"/>
                <w:richText/>
              </w:sdtPr>
              <w:sdtContent>
                <w:p>
                  <w:pPr>
                    <w:ind w:firstLine="851"/>
                    <w:jc w:val="both"/>
                  </w:pPr>
                  <w:sdt>
                    <w:sdtPr>
                      <w:alias w:val="Numeris"/>
                      <w:tag w:val="nr_133f05090d48400ba82f3e3f5243bfc2"/>
                      <w:lock w:val="sdtLocked"/>
                      <w:richText/>
                    </w:sdtPr>
                    <w:sdtContent>
                      <w:r>
                        <w:rPr>
                          <w:szCs w:val="24"/>
                        </w:rPr>
                        <w:t>24</w:t>
                      </w:r>
                    </w:sdtContent>
                  </w:sdt>
                  <w:r>
                    <w:rPr>
                      <w:szCs w:val="24"/>
                    </w:rPr>
                    <w:t>. Tais atvejais, kai Lietuvos Respublikos teisingumo ministerija yra kompetentinga kreiptis į užsienio valstybės kompetentingą instituciją dėl s</w:t>
                  </w:r>
                  <w:r>
                    <w:rPr>
                      <w:bCs/>
                      <w:color w:val="000000"/>
                      <w:szCs w:val="24"/>
                    </w:rPr>
                    <w:t xml:space="preserve">uimto asmens vežimo tranzitu per jos teritoriją, </w:t>
                  </w:r>
                  <w:r>
                    <w:rPr>
                      <w:szCs w:val="24"/>
                    </w:rPr>
                    <w:t>Lietuvos kriminalinės policijos biuro padalinys, atsakingas už perėmimų pagal Europos arešto orderį organizavimą ir koordinavimą, kartu su prašymu parengti prašymą dėl tranzito Lietuvos Respublikos teisingumo ministerijai siunčia Europos arešto orderio ir jo vertimo į užsienio valstybės kalbą kopijas.</w:t>
                  </w:r>
                </w:p>
              </w:sdtContent>
            </w:sdt>
            <w:sdt>
              <w:sdtPr>
                <w:alias w:val="24-1 p."/>
                <w:tag w:val="part_fb19b1a20a5945259f340eff50d09193"/>
                <w:lock w:val="sdtLocked"/>
                <w:richText/>
              </w:sdtPr>
              <w:sdtContent>
                <w:p>
                  <w:pPr>
                    <w:tabs>
                      <w:tab w:val="left" w:pos="1134"/>
                    </w:tabs>
                    <w:ind w:firstLine="851"/>
                    <w:jc w:val="both"/>
                    <w:rPr>
                      <w:szCs w:val="24"/>
                    </w:rPr>
                  </w:pPr>
                  <w:sdt>
                    <w:sdtPr>
                      <w:alias w:val="Numeris"/>
                      <w:tag w:val="nr_fb19b1a20a5945259f340eff50d09193"/>
                      <w:lock w:val="sdtLocked"/>
                      <w:richText/>
                    </w:sdtPr>
                    <w:sdtContent>
                      <w:r>
                        <w:t>24</w:t>
                      </w:r>
                      <w:r>
                        <w:rPr>
                          <w:vertAlign w:val="superscript"/>
                        </w:rPr>
                        <w:t>1</w:t>
                      </w:r>
                    </w:sdtContent>
                  </w:sdt>
                  <w:r>
                    <w:t xml:space="preserve">. Tais atvejais, kai pagal išduotą Europos arešto orderį Lietuvos Respublikai prašomas perduoti užsienio valstybėje esantis asmuo pageidauja Europos arešto orderio vykdymo procedūros metu turėti gynėją Lietuvos Respublikoje, kuris suteikdamas informacijos ir konsultuodamas padėtų gynėjui Europos arešto orderį vykdančiojoje valstybėje narėje, ir iki tol gynėjo nėra pasikvietęs pats asmuo arba jo sutikimu ar pavedimu nėra pakvietę kiti asmenys, Europos arešto orderį išdavusi institucija perduoti prašomam asmeniui suprantama kalba nedelsdama suteikia informaciją apie jo teisės turėti gynėją, įskaitant teisės į valstybės garantuojamą teisinę pagalbą, įgyvendinimo tvarką Lietuvos Respublikoje. Ši informacija pateikiama per Europos arešto orderį vykdančios valstybės kompetentingą instituciją, kuri informavo apie asmens pageidavimą turėti gynėją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Content>
            </w:sdt>
          </w:sdtContent>
        </w:sdt>
        <w:sdt>
          <w:sdtPr>
            <w:alias w:val="skyrius"/>
            <w:tag w:val="part_860dddd5992f42f5aa7b9f709db648d3"/>
            <w:lock w:val="sdtLocked"/>
            <w:richText/>
          </w:sdtPr>
          <w:sdtContent>
            <w:p>
              <w:pPr>
                <w:jc w:val="center"/>
                <w:rPr>
                  <w:b/>
                  <w:bCs/>
                  <w:caps/>
                  <w:szCs w:val="24"/>
                </w:rPr>
              </w:pPr>
              <w:sdt>
                <w:sdtPr>
                  <w:alias w:val="Numeris"/>
                  <w:tag w:val="nr_860dddd5992f42f5aa7b9f709db648d3"/>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860dddd5992f42f5aa7b9f709db648d3"/>
                  <w:lock w:val="sdtLocked"/>
                  <w:richText/>
                </w:sdtPr>
                <w:sdtContent>
                  <w:r>
                    <w:rPr>
                      <w:b/>
                      <w:bCs/>
                      <w:caps/>
                      <w:szCs w:val="24"/>
                    </w:rPr>
                    <w:t xml:space="preserve">ASMENS PERĖMIMAS IŠ UŽSIENIO VALSTYBĖS LAIKINAI BAUDŽIAMOJO PROCESO VEIKSMAMS ATLIKTI IR JO SUGRĄŽINIMAS PERDAVUSIAI VALSTYBEI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5 p."/>
                <w:tag w:val="part_b2fd0329d7964e9abf36293551c031bd"/>
                <w:lock w:val="sdtLocked"/>
                <w:richText/>
              </w:sdtPr>
              <w:sdtContent>
                <w:p>
                  <w:pPr>
                    <w:ind w:firstLine="851"/>
                    <w:jc w:val="both"/>
                    <w:rPr>
                      <w:szCs w:val="24"/>
                    </w:rPr>
                  </w:pPr>
                  <w:sdt>
                    <w:sdtPr>
                      <w:alias w:val="Numeris"/>
                      <w:tag w:val="nr_b2fd0329d7964e9abf36293551c031bd"/>
                      <w:lock w:val="sdtLocked"/>
                      <w:richText/>
                    </w:sdtPr>
                    <w:sdtContent>
                      <w:r>
                        <w:rPr>
                          <w:szCs w:val="24"/>
                        </w:rPr>
                        <w:t>25</w:t>
                      </w:r>
                    </w:sdtContent>
                  </w:sdt>
                  <w:r>
                    <w:rPr>
                      <w:szCs w:val="24"/>
                    </w:rPr>
                    <w:t xml:space="preserve">. Asmuo perimamas iš užsienio valstybės laikinai baudžiamojo proceso veiksmams atlikti susitarimo tarp Europos arešto orderį išdavusios institucijos ir vykdančiosios teisminės institucijos pagrindu, susitarime numatytam laikui ir sąlygomis. </w:t>
                  </w:r>
                </w:p>
              </w:sdtContent>
            </w:sdt>
            <w:sdt>
              <w:sdtPr>
                <w:alias w:val="26 p."/>
                <w:tag w:val="part_e5cc5a0176ad4fa2a557666ae4619a29"/>
                <w:lock w:val="sdtLocked"/>
                <w:richText/>
              </w:sdtPr>
              <w:sdtContent>
                <w:p>
                  <w:pPr>
                    <w:ind w:firstLine="851"/>
                    <w:jc w:val="both"/>
                    <w:rPr>
                      <w:szCs w:val="24"/>
                    </w:rPr>
                  </w:pPr>
                  <w:sdt>
                    <w:sdtPr>
                      <w:alias w:val="Numeris"/>
                      <w:tag w:val="nr_e5cc5a0176ad4fa2a557666ae4619a29"/>
                      <w:lock w:val="sdtLocked"/>
                      <w:richText/>
                    </w:sdtPr>
                    <w:sdtContent>
                      <w:r>
                        <w:rPr>
                          <w:szCs w:val="24"/>
                        </w:rPr>
                        <w:t>26</w:t>
                      </w:r>
                    </w:sdtContent>
                  </w:sdt>
                  <w:r>
                    <w:rPr>
                      <w:szCs w:val="24"/>
                    </w:rPr>
                    <w:t>.</w:t>
                  </w:r>
                  <w:r>
                    <w:rPr>
                      <w:b/>
                      <w:szCs w:val="24"/>
                    </w:rPr>
                    <w:t xml:space="preserve"> </w:t>
                  </w:r>
                  <w:r>
                    <w:rPr>
                      <w:szCs w:val="24"/>
                    </w:rPr>
                    <w:t>Gavusi užsienio valstybės sutikimą dėl pagal išduotą Europos arešto orderį sulaikyto asmens perdavimo Lietuvos Respublikai laikinai atlikti baudžiamojo proceso veiksmams, Europos arešto orderį išdavusi institucija tiesiogiai kreipiasi į Lietuvos kriminalinės policijos biuro padalinį, atsakingą už perėmimų pagal Europos arešto orderį organizavimą ir koordinavimą</w:t>
                  </w:r>
                  <w:r>
                    <w:rPr>
                      <w:b/>
                      <w:szCs w:val="24"/>
                    </w:rPr>
                    <w:t xml:space="preserve"> </w:t>
                  </w:r>
                  <w:r>
                    <w:rPr>
                      <w:szCs w:val="24"/>
                    </w:rPr>
                    <w:t xml:space="preserve">su prašymu organizuoti minėto asmens perėmimą. </w:t>
                  </w:r>
                </w:p>
              </w:sdtContent>
            </w:sdt>
            <w:sdt>
              <w:sdtPr>
                <w:alias w:val="27 p."/>
                <w:tag w:val="part_fecff206ec4b45bdb9fd75a181690bce"/>
                <w:lock w:val="sdtLocked"/>
                <w:richText/>
              </w:sdtPr>
              <w:sdtContent>
                <w:p>
                  <w:pPr>
                    <w:ind w:firstLine="851"/>
                    <w:jc w:val="both"/>
                    <w:rPr>
                      <w:szCs w:val="24"/>
                    </w:rPr>
                  </w:pPr>
                  <w:sdt>
                    <w:sdtPr>
                      <w:alias w:val="Numeris"/>
                      <w:tag w:val="nr_fecff206ec4b45bdb9fd75a181690bce"/>
                      <w:lock w:val="sdtLocked"/>
                      <w:richText/>
                    </w:sdtPr>
                    <w:sdtContent>
                      <w:r>
                        <w:rPr>
                          <w:szCs w:val="24"/>
                        </w:rPr>
                        <w:t>27</w:t>
                      </w:r>
                    </w:sdtContent>
                  </w:sdt>
                  <w:r>
                    <w:rPr>
                      <w:szCs w:val="24"/>
                    </w:rPr>
                    <w:t xml:space="preserve">. Užsienio valstybei asmenį perdavus laikinai atlikti baudžiamojo proceso veiksmams, Europos arešto orderį išdavusi institucija kontroliuoja, kada su šiuo asmeniu baigiami atlikti baudžiamojo proceso veiksmai arba sueina užsienio valstybės nustatytas laikino perdavimo terminas. Suėjus šiam terminui arba gavus užsienio valstybės reikalavimą grąžinti laikinai perduotą asmenį, Europos arešto orderį išdavusi institucija tiesiogiai kreipiasi į Lietuvos kriminalinės policijos biuro padalinį, atsakingą už perėmimų pagal Europos arešto orderį organizavimą ir koordinavimą, ir suimto asmens kardomojo kalinimo (suėmimo) vietos administraciją, kad šis asmuo būtų nedelsiant sugrąžintas jį laikinai perdavusiai valstybei. </w:t>
                  </w:r>
                </w:p>
              </w:sdtContent>
            </w:sdt>
            <w:sdt>
              <w:sdtPr>
                <w:alias w:val="28 p."/>
                <w:tag w:val="part_732953699a204b70a4e682a8a42218de"/>
                <w:lock w:val="sdtLocked"/>
                <w:richText/>
              </w:sdtPr>
              <w:sdtContent>
                <w:p>
                  <w:pPr>
                    <w:ind w:firstLine="851"/>
                    <w:jc w:val="both"/>
                    <w:rPr>
                      <w:szCs w:val="24"/>
                    </w:rPr>
                  </w:pPr>
                  <w:sdt>
                    <w:sdtPr>
                      <w:alias w:val="Numeris"/>
                      <w:tag w:val="nr_732953699a204b70a4e682a8a42218de"/>
                      <w:lock w:val="sdtLocked"/>
                      <w:richText/>
                    </w:sdtPr>
                    <w:sdtContent>
                      <w:r>
                        <w:rPr>
                          <w:szCs w:val="24"/>
                        </w:rPr>
                        <w:t>28</w:t>
                      </w:r>
                    </w:sdtContent>
                  </w:sdt>
                  <w:r>
                    <w:rPr>
                      <w:szCs w:val="24"/>
                    </w:rPr>
                    <w:t xml:space="preserve">. Europos arešto orderį išdavusi institucija į Lietuvos kriminalinės policijos biuro padalinį, atsakingą už perėmimų pagal Europos arešto orderį organizavimą ir koordinavimą, ir į suimto asmens kardomojo kalinimo (suėmimo) vietos administraciją kreipiasi ne vėliau kaip prieš 7 darbo dienas iki numatytos perduoto asmens sugrąžinimo perdavusiai valstybei dienos. </w:t>
                  </w:r>
                </w:p>
                <w:p>
                  <w:pPr>
                    <w:ind w:firstLine="851"/>
                    <w:jc w:val="both"/>
                    <w:rPr>
                      <w:szCs w:val="24"/>
                    </w:rPr>
                  </w:pPr>
                </w:p>
                <w:p>
                  <w:pPr>
                    <w:jc w:val="both"/>
                    <w:rPr>
                      <w:szCs w:val="24"/>
                    </w:rPr>
                  </w:pPr>
                </w:p>
              </w:sdtContent>
            </w:sdt>
          </w:sdtContent>
        </w:sdt>
        <w:sdt>
          <w:sdtPr>
            <w:alias w:val="skyrius"/>
            <w:tag w:val="part_97ccbb27f4ca47ef9c06471a726da04c"/>
            <w:lock w:val="sdtLocked"/>
            <w:richText/>
          </w:sdtPr>
          <w:sdtContent>
            <w:p>
              <w:pPr>
                <w:ind w:firstLine="851"/>
                <w:jc w:val="center"/>
                <w:rPr>
                  <w:b/>
                  <w:bCs/>
                  <w:caps/>
                  <w:szCs w:val="24"/>
                </w:rPr>
              </w:pPr>
              <w:sdt>
                <w:sdtPr>
                  <w:alias w:val="Numeris"/>
                  <w:tag w:val="nr_97ccbb27f4ca47ef9c06471a726da04c"/>
                  <w:lock w:val="sdtLocked"/>
                  <w:richText/>
                </w:sdtPr>
                <w:sdtContent>
                  <w:r>
                    <w:rPr>
                      <w:b/>
                      <w:bCs/>
                      <w:caps/>
                      <w:szCs w:val="24"/>
                    </w:rPr>
                    <w:t>VI</w:t>
                  </w:r>
                </w:sdtContent>
              </w:sdt>
              <w:r>
                <w:rPr>
                  <w:b/>
                  <w:bCs/>
                  <w:caps/>
                  <w:szCs w:val="24"/>
                </w:rPr>
                <w:t xml:space="preserve"> SKYRIUS</w:t>
              </w:r>
            </w:p>
            <w:p>
              <w:pPr>
                <w:ind w:firstLine="851"/>
                <w:jc w:val="center"/>
                <w:rPr>
                  <w:b/>
                  <w:bCs/>
                  <w:caps/>
                  <w:szCs w:val="24"/>
                </w:rPr>
              </w:pPr>
              <w:sdt>
                <w:sdtPr>
                  <w:alias w:val="Pavadinimas"/>
                  <w:tag w:val="title_97ccbb27f4ca47ef9c06471a726da04c"/>
                  <w:lock w:val="sdtLocked"/>
                  <w:richText/>
                </w:sdtPr>
                <w:sdtContent>
                  <w:r>
                    <w:rPr>
                      <w:b/>
                      <w:bCs/>
                      <w:caps/>
                      <w:szCs w:val="24"/>
                    </w:rPr>
                    <w:t xml:space="preserve">BAIGIAMOSIOS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04b707cbe11e7827cd63159af616c">
                <w:r w:rsidRPr="00532B9F">
                  <w:rPr>
                    <w:rFonts w:ascii="Times New Roman" w:eastAsia="MS Mincho" w:hAnsi="Times New Roman"/>
                    <w:sz w:val="20"/>
                    <w:i/>
                    <w:iCs/>
                    <w:color w:val="0000FF" w:themeColor="hyperlink"/>
                    <w:u w:val="single"/>
                  </w:rPr>
                  <w:t>1R-202/I-274</w:t>
                </w:r>
              </w:fldSimple>
              <w:r>
                <w:rPr>
                  <w:rFonts w:ascii="Times New Roman" w:eastAsia="MS Mincho" w:hAnsi="Times New Roman"/>
                  <w:sz w:val="20"/>
                  <w:i/>
                  <w:iCs/>
                </w:rPr>
                <w:t>,
2017-08-07,
paskelbta TAR 2017-08-09, i. k. 2017-13195        </w:t>
              </w:r>
            </w:p>
            <w:p/>
            <w:sdt>
              <w:sdtPr>
                <w:alias w:val="29 p."/>
                <w:tag w:val="part_d9b186f2d1c04125954cee3c460a9138"/>
                <w:lock w:val="sdtLocked"/>
                <w:richText/>
              </w:sdtPr>
              <w:sdtContent>
                <w:p>
                  <w:pPr>
                    <w:ind w:firstLine="851"/>
                    <w:jc w:val="both"/>
                    <w:rPr>
                      <w:szCs w:val="24"/>
                    </w:rPr>
                  </w:pPr>
                  <w:sdt>
                    <w:sdtPr>
                      <w:alias w:val="Numeris"/>
                      <w:tag w:val="nr_d9b186f2d1c04125954cee3c460a9138"/>
                      <w:lock w:val="sdtLocked"/>
                      <w:richText/>
                    </w:sdtPr>
                    <w:sdtContent>
                      <w:r>
                        <w:rPr>
                          <w:szCs w:val="24"/>
                        </w:rPr>
                        <w:t>29</w:t>
                      </w:r>
                    </w:sdtContent>
                  </w:sdt>
                  <w:r>
                    <w:rPr>
                      <w:szCs w:val="24"/>
                    </w:rPr>
                    <w:t>.</w:t>
                  </w:r>
                  <w:r>
                    <w:rPr>
                      <w:b/>
                      <w:szCs w:val="24"/>
                    </w:rPr>
                    <w:t xml:space="preserve"> </w:t>
                  </w:r>
                  <w:r>
                    <w:rPr>
                      <w:szCs w:val="24"/>
                    </w:rPr>
                    <w:t>Lietuvos Respublikos generalinė prokuratūra, apygardų teismai ir Lietuvos kriminalinės policijos biuro padalinys, atsakingas už perėmimų pagal Europos arešto orderį organizavimą ir koordinavimą, keičiasi informacija apie išduotus Europos arešto orderius, jų vykdymo eigą ir Lietuvos Respublikos perimtus asmenis.</w:t>
                  </w:r>
                </w:p>
              </w:sdtContent>
            </w:sdt>
            <w:sdt>
              <w:sdtPr>
                <w:alias w:val="30 p."/>
                <w:tag w:val="part_02f00898a3b44745baa9e168893fdd0a"/>
                <w:lock w:val="sdtLocked"/>
                <w:richText/>
              </w:sdtPr>
              <w:sdtContent>
                <w:p>
                  <w:pPr>
                    <w:ind w:firstLine="720"/>
                    <w:jc w:val="both"/>
                    <w:rPr>
                      <w:szCs w:val="24"/>
                    </w:rPr>
                  </w:pPr>
                  <w:sdt>
                    <w:sdtPr>
                      <w:alias w:val="Numeris"/>
                      <w:tag w:val="nr_02f00898a3b44745baa9e168893fdd0a"/>
                      <w:lock w:val="sdtLocked"/>
                      <w:richText/>
                    </w:sdtPr>
                    <w:sdtContent>
                      <w:r>
                        <w:rPr>
                          <w:szCs w:val="24"/>
                        </w:rPr>
                        <w:t>30</w:t>
                      </w:r>
                    </w:sdtContent>
                  </w:sdt>
                  <w:r>
                    <w:rPr>
                      <w:szCs w:val="24"/>
                    </w:rPr>
                    <w:t xml:space="preserve">. Išnykus išduoto Europos arešto orderio sąlygoms ir pagrindams, Europos arešto orderis atšaukiamas jį išdavusios institucijos sprendimu. </w:t>
                  </w:r>
                </w:p>
              </w:sdtContent>
            </w:sdt>
            <w:sdt>
              <w:sdtPr>
                <w:alias w:val="31 p."/>
                <w:tag w:val="part_720d4aef93ba4214b9a9a888b67b725a"/>
                <w:lock w:val="sdtLocked"/>
                <w:richText/>
              </w:sdtPr>
              <w:sdtContent>
                <w:p>
                  <w:pPr>
                    <w:ind w:firstLine="720"/>
                    <w:jc w:val="both"/>
                    <w:rPr>
                      <w:szCs w:val="24"/>
                    </w:rPr>
                  </w:pPr>
                  <w:sdt>
                    <w:sdtPr>
                      <w:alias w:val="Numeris"/>
                      <w:tag w:val="nr_720d4aef93ba4214b9a9a888b67b725a"/>
                      <w:lock w:val="sdtLocked"/>
                      <w:richText/>
                    </w:sdtPr>
                    <w:sdtContent>
                      <w:r>
                        <w:rPr>
                          <w:szCs w:val="24"/>
                        </w:rPr>
                        <w:t>31</w:t>
                      </w:r>
                    </w:sdtContent>
                  </w:sdt>
                  <w:r>
                    <w:rPr>
                      <w:szCs w:val="24"/>
                    </w:rPr>
                    <w:t>. Paaiškėjus 30 punkte nurodytoms aplinkybėms, dėl kurių reikalinga atšaukti Europos arešto orderį, Europos arešto orderio išdavimą inicijavusi institucija nedelsdama apie tai informuoja Europos arešto orderį išdavusią instituciją.</w:t>
                  </w:r>
                </w:p>
                <w:p>
                  <w:pPr>
                    <w:ind w:firstLine="851"/>
                    <w:jc w:val="both"/>
                    <w:rPr>
                      <w:szCs w:val="24"/>
                    </w:rPr>
                  </w:pPr>
                </w:p>
              </w:sdtContent>
            </w:sdt>
          </w:sdtContent>
        </w:sdt>
        <w:sdt>
          <w:sdtPr>
            <w:alias w:val="pabaiga"/>
            <w:tag w:val="part_f3350f31279c4233acb462c3ddc871b3"/>
            <w:lock w:val="sdtLocked"/>
            <w:richText/>
          </w:sdtPr>
          <w:sdtContent>
            <w:p>
              <w:pPr>
                <w:jc w:val="center"/>
                <w:rPr>
                  <w:szCs w:val="24"/>
                </w:rPr>
              </w:pPr>
              <w:r>
                <w:rPr>
                  <w:szCs w:val="24"/>
                </w:rPr>
                <w:t>______________</w:t>
              </w:r>
            </w:p>
            <w:p/>
            <w:p>
              <w:pPr>
                <w:rPr>
                  <w:caps/>
                  <w:szCs w:val="24"/>
                </w:rPr>
                <w:sectPr>
                  <w:pgSz w:w="11906" w:h="16838"/>
                  <w:pgMar w:top="1701" w:right="567" w:bottom="1134" w:left="1701" w:header="567" w:footer="567" w:gutter="0"/>
                  <w:cols w:space="1296"/>
                </w:sectPr>
              </w:pPr>
            </w:p>
            <w:p>
              <w:pPr>
                <w:rPr>
                  <w:color w:val="000000"/>
                  <w:szCs w:val="22"/>
                </w:rPr>
              </w:pPr>
            </w:p>
          </w:sdtContent>
        </w:sdt>
      </w:sdtContent>
    </w:sdt>
    <w:sdt>
      <w:sdtPr>
        <w:alias w:val="1 pr."/>
        <w:tag w:val="part_f9ae6e63dcd04655b307d9ebcb9ca042"/>
        <w:lock w:val="sdtLocked"/>
        <w:richText/>
      </w:sdtPr>
      <w:sdtContent>
        <w:p>
          <w:pPr>
            <w:ind w:left="6237"/>
            <w:rPr>
              <w:szCs w:val="24"/>
              <w:lang w:eastAsia="lt-LT"/>
            </w:rPr>
          </w:pPr>
          <w:r>
            <w:rPr>
              <w:szCs w:val="24"/>
              <w:lang w:eastAsia="lt-LT"/>
            </w:rPr>
            <w:t>Europos arešto orderio</w:t>
          </w:r>
        </w:p>
        <w:p>
          <w:pPr>
            <w:ind w:left="6237" w:firstLine="10"/>
            <w:rPr>
              <w:szCs w:val="24"/>
              <w:lang w:eastAsia="lt-LT"/>
            </w:rPr>
          </w:pPr>
          <w:r>
            <w:rPr>
              <w:szCs w:val="24"/>
              <w:lang w:eastAsia="lt-LT"/>
            </w:rPr>
            <w:t>išdavimo ir asmens perėmimo pagal Europos arešto orderį taisyklių</w:t>
          </w:r>
        </w:p>
        <w:p>
          <w:pPr>
            <w:ind w:left="6237"/>
            <w:rPr>
              <w:szCs w:val="24"/>
              <w:lang w:eastAsia="lt-LT"/>
            </w:rPr>
          </w:pPr>
          <w:sdt>
            <w:sdtPr>
              <w:alias w:val="Numeris"/>
              <w:tag w:val="nr_f9ae6e63dcd04655b307d9ebcb9ca042"/>
              <w:lock w:val="sdtLocked"/>
              <w:richText/>
            </w:sdtPr>
            <w:sdtContent>
              <w:r>
                <w:rPr>
                  <w:szCs w:val="24"/>
                  <w:lang w:eastAsia="lt-LT"/>
                </w:rPr>
                <w:t>1</w:t>
              </w:r>
            </w:sdtContent>
          </w:sdt>
          <w:r>
            <w:rPr>
              <w:szCs w:val="24"/>
              <w:lang w:eastAsia="lt-LT"/>
            </w:rPr>
            <w:t xml:space="preserve"> priedas</w:t>
          </w:r>
        </w:p>
        <w:p>
          <w:pPr>
            <w:ind w:left="6490"/>
            <w:rPr>
              <w:szCs w:val="24"/>
              <w:lang w:eastAsia="lt-LT"/>
            </w:rPr>
          </w:pPr>
        </w:p>
        <w:p>
          <w:pPr>
            <w:jc w:val="right"/>
            <w:rPr>
              <w:szCs w:val="24"/>
              <w:lang w:eastAsia="lt-LT"/>
            </w:rPr>
          </w:pPr>
        </w:p>
        <w:p>
          <w:pPr>
            <w:jc w:val="center"/>
            <w:rPr>
              <w:b/>
              <w:szCs w:val="24"/>
              <w:lang w:eastAsia="lt-LT"/>
            </w:rPr>
          </w:pPr>
          <w:sdt>
            <w:sdtPr>
              <w:alias w:val="Pavadinimas"/>
              <w:tag w:val="title_f9ae6e63dcd04655b307d9ebcb9ca042"/>
              <w:lock w:val="sdtLocked"/>
              <w:richText/>
            </w:sdtPr>
            <w:sdtContent>
              <w:r>
                <w:rPr>
                  <w:b/>
                  <w:szCs w:val="24"/>
                  <w:lang w:eastAsia="lt-LT"/>
                </w:rPr>
                <w:t xml:space="preserve">EUROPOS AREŠTO ORDERIS </w:t>
              </w:r>
            </w:sdtContent>
          </w:sdt>
        </w:p>
        <w:p>
          <w:pPr>
            <w:jc w:val="right"/>
            <w:rPr>
              <w:b/>
              <w:szCs w:val="24"/>
              <w:lang w:eastAsia="lt-LT"/>
            </w:rPr>
          </w:pPr>
        </w:p>
        <w:p>
          <w:pPr>
            <w:rPr>
              <w:sz w:val="10"/>
              <w:szCs w:val="10"/>
            </w:rPr>
          </w:pPr>
        </w:p>
        <w:p>
          <w:pPr>
            <w:ind w:right="132" w:firstLine="900"/>
            <w:jc w:val="both"/>
            <w:rPr>
              <w:sz w:val="22"/>
              <w:szCs w:val="22"/>
            </w:rPr>
          </w:pPr>
          <w:r>
            <w:rPr>
              <w:sz w:val="22"/>
              <w:szCs w:val="22"/>
            </w:rPr>
            <w:t>Šį orderį išdavė kompetentinga teisminė institucija. Aš prašau suimti ir perduoti nurodytą asmenį, kad būtų galima vykdyti baudžiamąjį persekiojimą arba nuosprendį, kuriuo paskirta laisvės atėmimo bausmė, arba sprendimą dėl asmens sulaikymo.</w:t>
          </w:r>
        </w:p>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88"/>
          </w:tblGrid>
          <w:tr>
            <w:tc>
              <w:tcPr>
                <w:tcW w:w="1018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a)</w:t>
                  <w:tab/>
                  <w:t>Informacija apie prašomo perduoti asmens tapatybę:</w:t>
                </w:r>
              </w:p>
              <w:p>
                <w:pPr>
                  <w:rPr>
                    <w:sz w:val="10"/>
                    <w:szCs w:val="10"/>
                  </w:rPr>
                </w:pPr>
              </w:p>
              <w:p>
                <w:pPr>
                  <w:ind w:left="360" w:right="132"/>
                  <w:jc w:val="both"/>
                  <w:rPr>
                    <w:sz w:val="22"/>
                    <w:szCs w:val="22"/>
                  </w:rPr>
                </w:pPr>
                <w:r>
                  <w:rPr>
                    <w:sz w:val="22"/>
                    <w:szCs w:val="22"/>
                  </w:rPr>
                  <w:t>Pavardė: …………………</w:t>
                </w:r>
                <w:r>
                  <w:rPr>
                    <w:szCs w:val="24"/>
                  </w:rPr>
                  <w:t>…………………</w:t>
                </w:r>
                <w:r>
                  <w:rPr>
                    <w:sz w:val="22"/>
                    <w:szCs w:val="22"/>
                  </w:rPr>
                  <w:t>………………………………………………………………..</w:t>
                  <w:br/>
                  <w:t>Vardas (-ai): …………………………………</w:t>
                </w:r>
                <w:r>
                  <w:rPr>
                    <w:szCs w:val="24"/>
                  </w:rPr>
                  <w:t>…………</w:t>
                </w:r>
                <w:r>
                  <w:rPr>
                    <w:sz w:val="22"/>
                    <w:szCs w:val="22"/>
                  </w:rPr>
                  <w:t>…………………………………………………….</w:t>
                  <w:br/>
                  <w:t>Mergautinė pavardė, jei naudojama: ………………</w:t>
                </w:r>
                <w:r>
                  <w:rPr>
                    <w:szCs w:val="24"/>
                  </w:rPr>
                  <w:t>………</w:t>
                </w:r>
                <w:r>
                  <w:rPr>
                    <w:sz w:val="22"/>
                    <w:szCs w:val="22"/>
                  </w:rPr>
                  <w:t>………………………………………………..</w:t>
                  <w:br/>
                  <w:t>Slapyvardžiai, jei naudojami: ………</w:t>
                </w:r>
                <w:r>
                  <w:rPr>
                    <w:szCs w:val="24"/>
                  </w:rPr>
                  <w:t>………</w:t>
                </w:r>
                <w:r>
                  <w:rPr>
                    <w:sz w:val="22"/>
                    <w:szCs w:val="22"/>
                  </w:rPr>
                  <w:t>………………………………………………………………</w:t>
                  <w:br/>
                  <w:t>Lytis: …………………</w:t>
                </w:r>
                <w:r>
                  <w:rPr>
                    <w:szCs w:val="24"/>
                  </w:rPr>
                  <w:t>…………</w:t>
                </w:r>
                <w:r>
                  <w:rPr>
                    <w:sz w:val="22"/>
                    <w:szCs w:val="22"/>
                  </w:rPr>
                  <w:t>……………………………………………………………………………</w:t>
                  <w:br/>
                  <w:t>Pilietybė: ……………………………</w:t>
                </w:r>
                <w:r>
                  <w:rPr>
                    <w:szCs w:val="24"/>
                  </w:rPr>
                  <w:t>………</w:t>
                </w:r>
                <w:r>
                  <w:rPr>
                    <w:sz w:val="22"/>
                    <w:szCs w:val="22"/>
                  </w:rPr>
                  <w:t>………………………………………………………………</w:t>
                  <w:br/>
                  <w:t>Gimimo data: …………………………</w:t>
                </w:r>
                <w:r>
                  <w:rPr>
                    <w:szCs w:val="24"/>
                  </w:rPr>
                  <w:t>………</w:t>
                </w:r>
                <w:r>
                  <w:rPr>
                    <w:sz w:val="22"/>
                    <w:szCs w:val="22"/>
                  </w:rPr>
                  <w:t>…………………………………………………………….</w:t>
                  <w:br/>
                  <w:t>Gimimo vieta: …………………………………</w:t>
                </w:r>
                <w:r>
                  <w:rPr>
                    <w:szCs w:val="24"/>
                  </w:rPr>
                  <w:t>………</w:t>
                </w:r>
                <w:r>
                  <w:rPr>
                    <w:sz w:val="22"/>
                    <w:szCs w:val="22"/>
                  </w:rPr>
                  <w:t>……………………………………………………</w:t>
                  <w:br/>
                  <w:t>Gyvenamoji vieta ir (arba) žinomas adresas ………………</w:t>
                </w:r>
                <w:r>
                  <w:rPr>
                    <w:szCs w:val="24"/>
                  </w:rPr>
                  <w:t>………</w:t>
                </w:r>
                <w:r>
                  <w:rPr>
                    <w:sz w:val="22"/>
                    <w:szCs w:val="22"/>
                  </w:rPr>
                  <w:t>……………………………………….</w:t>
                  <w:br/>
                  <w:t xml:space="preserve">Kalba (-os), kurią (-ias) prašomas perduoti asmuo supranta (jei žinoma) </w:t>
                </w:r>
                <w:r>
                  <w:rPr>
                    <w:szCs w:val="24"/>
                  </w:rPr>
                  <w:t>………</w:t>
                </w:r>
                <w:r>
                  <w:rPr>
                    <w:sz w:val="22"/>
                    <w:szCs w:val="22"/>
                  </w:rPr>
                  <w:t>…………………………...</w:t>
                  <w:br/>
                  <w:t>…………………………………………………………………………………</w:t>
                </w:r>
                <w:r>
                  <w:rPr>
                    <w:szCs w:val="24"/>
                  </w:rPr>
                  <w:t>…………</w:t>
                </w:r>
                <w:r>
                  <w:rPr>
                    <w:sz w:val="22"/>
                    <w:szCs w:val="22"/>
                  </w:rPr>
                  <w:t>………..…………</w:t>
                  <w:br/>
                  <w:t>Prašomo perduoti asmens aprašymas / ypatingi požymiai …………</w:t>
                </w:r>
                <w:r>
                  <w:rPr>
                    <w:szCs w:val="24"/>
                  </w:rPr>
                  <w:t>………</w:t>
                </w:r>
                <w:r>
                  <w:rPr>
                    <w:sz w:val="22"/>
                    <w:szCs w:val="22"/>
                  </w:rPr>
                  <w:t>…………………………………</w:t>
                  <w:br/>
                  <w:t>…………………………………………………………………</w:t>
                </w:r>
                <w:r>
                  <w:rPr>
                    <w:szCs w:val="24"/>
                  </w:rPr>
                  <w:t>………………</w:t>
                </w:r>
                <w:r>
                  <w:rPr>
                    <w:sz w:val="22"/>
                    <w:szCs w:val="22"/>
                  </w:rPr>
                  <w:t>……..………………………</w:t>
                  <w:br/>
                  <w:t>Prašomo perduoti asmens nuotrauka ir pirštų atspaudai, jei jie yra ir gali būti perduoti, arba duomenys apie asmenį, iš kurio būtų galima gauti tokią informaciją, arba DNR duomenys (kai tokie duomenys gali būti pateikti, bet jie nebuvo nurodyti)</w:t>
                </w:r>
              </w:p>
              <w:p>
                <w:pPr>
                  <w:rPr>
                    <w:sz w:val="10"/>
                    <w:szCs w:val="10"/>
                  </w:rPr>
                </w:pPr>
              </w:p>
              <w:p>
                <w:pPr>
                  <w:ind w:left="360" w:right="132"/>
                  <w:jc w:val="both"/>
                  <w:rPr>
                    <w:sz w:val="22"/>
                    <w:szCs w:val="22"/>
                  </w:rPr>
                </w:pP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73"/>
          </w:tblGrid>
          <w:tr>
            <w:tc>
              <w:tcPr>
                <w:tcW w:w="10173"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b)</w:t>
                  <w:tab/>
                  <w:t>Sprendimas, kuriuo remiantis išduotas arešto orderis:</w:t>
                </w:r>
              </w:p>
              <w:p>
                <w:pPr>
                  <w:rPr>
                    <w:sz w:val="10"/>
                    <w:szCs w:val="10"/>
                  </w:rPr>
                </w:pPr>
              </w:p>
              <w:p>
                <w:pPr>
                  <w:ind w:left="360" w:right="132"/>
                  <w:jc w:val="both"/>
                  <w:rPr>
                    <w:sz w:val="22"/>
                    <w:szCs w:val="22"/>
                  </w:rPr>
                </w:pPr>
                <w:r>
                  <w:rPr>
                    <w:sz w:val="22"/>
                    <w:szCs w:val="22"/>
                  </w:rPr>
                  <w:t>Arešto orderis arba jam prilyginamas teismo sprendimas:……</w:t>
                </w:r>
                <w:r>
                  <w:rPr>
                    <w:szCs w:val="24"/>
                  </w:rPr>
                  <w:t>………</w:t>
                </w:r>
                <w:r>
                  <w:rPr>
                    <w:sz w:val="22"/>
                    <w:szCs w:val="22"/>
                  </w:rPr>
                  <w:t xml:space="preserve">………………………… </w:t>
                  <w:br/>
                  <w:t>Tipas: ………………………………………………………………………………………………...............</w:t>
                  <w:br/>
                  <w:t xml:space="preserve">Įsiteisėjęs teismo nuosprendis: </w:t>
                </w:r>
                <w:r>
                  <w:rPr>
                    <w:szCs w:val="24"/>
                  </w:rPr>
                  <w:t>…………</w:t>
                </w:r>
                <w:r>
                  <w:rPr>
                    <w:sz w:val="22"/>
                    <w:szCs w:val="22"/>
                  </w:rPr>
                  <w:t>…………………………………………………………………</w:t>
                  <w:br/>
                  <w:t>……………………………………………………………………...……</w:t>
                </w:r>
                <w:r>
                  <w:rPr>
                    <w:szCs w:val="24"/>
                  </w:rPr>
                  <w:t>………</w:t>
                </w:r>
                <w:r>
                  <w:rPr>
                    <w:sz w:val="22"/>
                    <w:szCs w:val="22"/>
                  </w:rPr>
                  <w:t>…………………………..</w:t>
                  <w:br/>
                  <w:t>Registracijos numeris: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p>
          <w:pPr>
            <w:ind w:right="132"/>
            <w:jc w:val="both"/>
            <w:rPr>
              <w:sz w:val="22"/>
              <w:szCs w:val="22"/>
            </w:rPr>
          </w:pPr>
          <w:r>
            <w:rPr>
              <w:sz w:val="22"/>
              <w:szCs w:val="22"/>
            </w:rPr>
            <w:br w:type="page"/>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c)</w:t>
                  <w:tab/>
                  <w:t>Bausmės trukmės nurodymas:</w:t>
                </w:r>
              </w:p>
              <w:p>
                <w:pPr>
                  <w:rPr>
                    <w:sz w:val="10"/>
                    <w:szCs w:val="10"/>
                  </w:rPr>
                </w:pPr>
              </w:p>
              <w:p>
                <w:pPr>
                  <w:ind w:left="360" w:right="132"/>
                  <w:jc w:val="both"/>
                  <w:rPr>
                    <w:sz w:val="22"/>
                    <w:szCs w:val="22"/>
                  </w:rPr>
                </w:pPr>
                <w:r>
                  <w:rPr>
                    <w:sz w:val="22"/>
                    <w:szCs w:val="22"/>
                  </w:rPr>
                  <w:t>1. Ilgiausias laisvės atėmimo bausmės arba įkalinimo terminas, kurį galima skirti už nusikalstamą (-as) veiką (-as): …</w:t>
                </w:r>
                <w:r>
                  <w:rPr>
                    <w:szCs w:val="24"/>
                  </w:rPr>
                  <w:t>…………………</w:t>
                </w:r>
                <w:r>
                  <w:rPr>
                    <w:sz w:val="22"/>
                    <w:szCs w:val="22"/>
                  </w:rPr>
                  <w:t>……………………………………………………………………………</w:t>
                  <w:br/>
                  <w:t>…………………………………</w:t>
                </w:r>
                <w:r>
                  <w:rPr>
                    <w:szCs w:val="24"/>
                  </w:rPr>
                  <w:t>………</w:t>
                </w:r>
                <w:r>
                  <w:rPr>
                    <w:sz w:val="22"/>
                    <w:szCs w:val="22"/>
                  </w:rPr>
                  <w:t>……………………………………………………………………</w:t>
                  <w:br/>
                  <w:t>2. Skirtas laisvės atėmimo bausmės arba įkalinimo terminas: ……………………………………….</w:t>
                </w:r>
                <w:r>
                  <w:rPr>
                    <w:szCs w:val="24"/>
                  </w:rPr>
                  <w:t>……</w:t>
                </w:r>
                <w:r>
                  <w:rPr>
                    <w:sz w:val="22"/>
                    <w:szCs w:val="22"/>
                  </w:rPr>
                  <w:t>.</w:t>
                  <w:br/>
                  <w:t>……………………………………………………………..………………………………………..</w:t>
                </w:r>
                <w:r>
                  <w:rPr>
                    <w:szCs w:val="24"/>
                  </w:rPr>
                  <w:t>…….…</w:t>
                </w:r>
                <w:r>
                  <w:rPr>
                    <w:sz w:val="22"/>
                    <w:szCs w:val="22"/>
                  </w:rPr>
                  <w:br/>
                  <w:t>Likęs neatliktas bausmės laikas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d)</w:t>
                </w:r>
                <w:r>
                  <w:rPr>
                    <w:szCs w:val="24"/>
                  </w:rPr>
                  <w:t xml:space="preserve"> </w:t>
                </w:r>
                <w:r>
                  <w:rPr>
                    <w:sz w:val="22"/>
                    <w:szCs w:val="22"/>
                  </w:rPr>
                  <w:t>Nurodoma, ar asmuo asmeniškai dalyvavo teisminiame nagrinėjime, po kurio buvo priimtas sprendimas:</w:t>
                </w:r>
              </w:p>
              <w:p>
                <w:pPr>
                  <w:rPr>
                    <w:sz w:val="10"/>
                    <w:szCs w:val="10"/>
                  </w:rPr>
                </w:pPr>
              </w:p>
              <w:p>
                <w:pPr>
                  <w:jc w:val="both"/>
                  <w:rPr>
                    <w:rFonts w:ascii="Tahoma" w:hAnsi="Tahoma" w:cs="Tahoma"/>
                    <w:sz w:val="18"/>
                    <w:szCs w:val="18"/>
                    <w:lang w:eastAsia="lt-LT"/>
                  </w:rPr>
                </w:pPr>
                <w:r>
                  <w:rPr>
                    <w:sz w:val="22"/>
                    <w:szCs w:val="22"/>
                    <w:lang w:eastAsia="lt-LT"/>
                  </w:rPr>
                  <w:t xml:space="preserve">1. </w:t>
                </w:r>
                <w:r>
                  <w:rPr>
                    <w:sz w:val="28"/>
                    <w:szCs w:val="28"/>
                    <w:lang w:eastAsia="lt-LT"/>
                  </w:rPr>
                  <w:t>□</w:t>
                </w:r>
                <w:r>
                  <w:rPr>
                    <w:sz w:val="22"/>
                    <w:szCs w:val="22"/>
                    <w:lang w:eastAsia="lt-LT"/>
                  </w:rPr>
                  <w:t xml:space="preserve">  Taip, asmuo asmeniškai 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 xml:space="preserve">2. </w:t>
                </w:r>
                <w:r>
                  <w:rPr>
                    <w:sz w:val="28"/>
                    <w:szCs w:val="28"/>
                  </w:rPr>
                  <w:t>□</w:t>
                </w:r>
                <w:r>
                  <w:rPr>
                    <w:sz w:val="22"/>
                    <w:szCs w:val="22"/>
                    <w:lang w:eastAsia="lt-LT"/>
                  </w:rPr>
                  <w:t xml:space="preserve">  Ne, asmuo asmeniškai nedalyvavo teisminiame nagrinėjime, po kurio buvo priimtas sprendimas</w:t>
                </w:r>
              </w:p>
              <w:p>
                <w:pPr>
                  <w:rPr>
                    <w:sz w:val="8"/>
                    <w:szCs w:val="8"/>
                  </w:rPr>
                </w:pPr>
              </w:p>
              <w:p>
                <w:pPr>
                  <w:jc w:val="both"/>
                  <w:rPr>
                    <w:rFonts w:ascii="Tahoma" w:hAnsi="Tahoma" w:cs="Tahoma"/>
                    <w:sz w:val="18"/>
                    <w:szCs w:val="18"/>
                    <w:lang w:eastAsia="lt-LT"/>
                  </w:rPr>
                </w:pPr>
                <w:r>
                  <w:rPr>
                    <w:sz w:val="22"/>
                    <w:szCs w:val="22"/>
                    <w:lang w:eastAsia="lt-LT"/>
                  </w:rPr>
                  <w:t>3. Jei pažymėjote 2 punktą, pasirinkite vieną iš šių papunkčių:</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3.1a. asmeniui buvo asmeniškai … m. … … d. (metai, mėnuo, diena) įteiktas teismo šaukimas ir tokiu būdu jis buvo informuotas apie numatytą teisminio nagrinėjimo, po kurio buvo priimtas sprendimas, laiką ir vietą, taip pat apie tai,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3.1b. asmeniui nebuvo asmeniškai įteiktas teismo šaukimas, tačiau jis kitomis priemonėmis faktiškai gavo oficialią informaciją apie numatytą teisminio nagrinėjimo, po kurio buvo priimtas sprendimas, laiką ir vietą tokiu būdu, kad buvo aiškiai nustatyta, jog jis žinojo apie numatytą teisminį nagrinėjimą ir  kad sprendimas gali būti priimtas, jei jis neatvyks į teisminį nagrinėjimą;</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3.2. žinodamas apie numatomą teisminį nagrinėjimą, asmuo įgaliojo savo pasirinktą arba valstybės paskirtą advokatą jį ginti teisminio nagrinėjimo metu ir tas advokatas iš tiesų jį gynė teisminio nagrinėjimo metu;</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3.3. … m. … … d. (metai, mėnuo, diena) asmeniui įteikus sprendimą ir jį aiškiai informavus apie teisę į bylos persvarstymą arba teisę pateikti apeliacinį skundą, kurių nagrinėjimo procese šis asmuo turi teisę dalyvauti ir kurie suteikia galimybę bylą pakartotinai nagrinėti iš esmės, įskaitant pasitelkus naujus įrodymus, o po šio proceso pirminis sprendimas gali būti panaikintas, asmuo:</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aiškiai nurodė, kad jis neginčija šio sprendimo;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rFonts w:ascii="Tahoma" w:hAnsi="Tahoma" w:cs="Tahoma"/>
                    <w:sz w:val="18"/>
                    <w:szCs w:val="18"/>
                    <w:lang w:eastAsia="lt-LT"/>
                  </w:rPr>
                </w:pPr>
                <w:r>
                  <w:rPr>
                    <w:sz w:val="28"/>
                    <w:szCs w:val="28"/>
                  </w:rPr>
                  <w:t>□</w:t>
                </w:r>
                <w:r>
                  <w:rPr>
                    <w:sz w:val="22"/>
                    <w:szCs w:val="22"/>
                    <w:lang w:eastAsia="lt-LT"/>
                  </w:rPr>
                  <w:t xml:space="preserve">  per taikomą laikotarpį nepareikalavo persvarstyti bylą arba nepateikė apeliacinio skundo;</w:t>
                </w:r>
              </w:p>
              <w:p>
                <w:pPr>
                  <w:rPr>
                    <w:sz w:val="8"/>
                    <w:szCs w:val="8"/>
                  </w:rPr>
                </w:pPr>
              </w:p>
              <w:p>
                <w:pPr>
                  <w:jc w:val="both"/>
                  <w:rPr>
                    <w:rFonts w:ascii="Tahoma" w:hAnsi="Tahoma" w:cs="Tahoma"/>
                    <w:sz w:val="18"/>
                    <w:szCs w:val="18"/>
                    <w:lang w:eastAsia="lt-LT"/>
                  </w:rPr>
                </w:pPr>
                <w:r>
                  <w:rPr>
                    <w:sz w:val="22"/>
                    <w:szCs w:val="22"/>
                    <w:lang w:eastAsia="lt-LT"/>
                  </w:rPr>
                  <w:t>ARBA</w:t>
                </w:r>
              </w:p>
              <w:p>
                <w:pPr>
                  <w:rPr>
                    <w:sz w:val="8"/>
                    <w:szCs w:val="8"/>
                  </w:rPr>
                </w:pPr>
              </w:p>
              <w:p>
                <w:pPr>
                  <w:jc w:val="both"/>
                  <w:rPr>
                    <w:sz w:val="22"/>
                    <w:szCs w:val="22"/>
                    <w:lang w:eastAsia="lt-LT"/>
                  </w:rPr>
                </w:pPr>
                <w:r>
                  <w:rPr>
                    <w:sz w:val="28"/>
                    <w:szCs w:val="28"/>
                  </w:rPr>
                  <w:t>□</w:t>
                </w:r>
                <w:r>
                  <w:rPr>
                    <w:sz w:val="22"/>
                    <w:szCs w:val="22"/>
                    <w:lang w:eastAsia="lt-LT"/>
                  </w:rPr>
                  <w:t xml:space="preserve">  3.4. sprendimas asmeniui nebuvo įteiktas asmeniškai, tačiau bus įteiktas nedelsiant po perdavimo, ir </w:t>
                </w:r>
              </w:p>
              <w:p>
                <w:pPr>
                  <w:rPr>
                    <w:sz w:val="8"/>
                    <w:szCs w:val="8"/>
                  </w:rPr>
                </w:pPr>
              </w:p>
              <w:p>
                <w:pPr>
                  <w:jc w:val="both"/>
                  <w:rPr>
                    <w:rFonts w:ascii="Tahoma" w:hAnsi="Tahoma" w:cs="Tahoma"/>
                    <w:sz w:val="18"/>
                    <w:szCs w:val="18"/>
                    <w:lang w:eastAsia="lt-LT"/>
                  </w:rPr>
                </w:pPr>
                <w:r>
                  <w:rPr>
                    <w:sz w:val="22"/>
                    <w:szCs w:val="22"/>
                    <w:lang w:eastAsia="lt-LT"/>
                  </w:rPr>
                  <w:t>- asmeniui įteikus sprendimą jis bus aiškiai informuotas apie teisę į bylos persvarstymą arba teisę pateikti apeliacinį skundą, kurių nagrinėjimo procese šis asmuo turi teisę dalyvauti ir kurie suteikia galimybę bylą pakartotinai nagrinėti iš esmės, įskaitant naujus įrodymus, ir kad po šio proceso pirminis sprendimas gali būti panaikintas, ir</w:t>
                </w:r>
              </w:p>
              <w:p>
                <w:pPr>
                  <w:rPr>
                    <w:sz w:val="8"/>
                    <w:szCs w:val="8"/>
                  </w:rPr>
                </w:pPr>
              </w:p>
              <w:p>
                <w:pPr>
                  <w:jc w:val="both"/>
                  <w:rPr>
                    <w:rFonts w:ascii="Tahoma" w:hAnsi="Tahoma" w:cs="Tahoma"/>
                    <w:sz w:val="18"/>
                    <w:szCs w:val="18"/>
                    <w:lang w:eastAsia="lt-LT"/>
                  </w:rPr>
                </w:pPr>
                <w:r>
                  <w:rPr>
                    <w:sz w:val="22"/>
                    <w:szCs w:val="22"/>
                    <w:lang w:eastAsia="lt-LT"/>
                  </w:rPr>
                  <w:t>- asmuo bus informuotas apie laikotarpį, per kurį jis turi prašyti persvarstyti bylą arba pateikti apeliacinį skundą; šis laikotarpis yra … dienų.</w:t>
                </w:r>
              </w:p>
              <w:p>
                <w:pPr>
                  <w:rPr>
                    <w:sz w:val="10"/>
                    <w:szCs w:val="10"/>
                  </w:rPr>
                </w:pPr>
              </w:p>
              <w:p>
                <w:pPr>
                  <w:ind w:right="132"/>
                  <w:jc w:val="both"/>
                  <w:rPr>
                    <w:sz w:val="22"/>
                    <w:szCs w:val="22"/>
                  </w:rPr>
                </w:pPr>
                <w:r>
                  <w:rPr>
                    <w:sz w:val="22"/>
                    <w:szCs w:val="22"/>
                  </w:rPr>
                  <w:t>4. Jei pažymėjote 3.1b, 3.2 ar 3.3 papunktį, pateikite informaciją apie tai, kaip buvo įvykdyta atitinkama sąlyga: …………………………………………………………………………………………</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tabs>
                    <w:tab w:val="left" w:pos="360"/>
                  </w:tabs>
                  <w:ind w:left="360" w:right="132" w:hanging="360"/>
                  <w:jc w:val="both"/>
                  <w:rPr>
                    <w:sz w:val="22"/>
                    <w:szCs w:val="22"/>
                  </w:rPr>
                </w:pPr>
                <w:r>
                  <w:rPr>
                    <w:sz w:val="22"/>
                    <w:szCs w:val="22"/>
                  </w:rPr>
                  <w:t>d)</w:t>
                  <w:tab/>
                  <w:t>Nusikalstamos veikos:</w:t>
                </w:r>
              </w:p>
              <w:p>
                <w:pPr>
                  <w:ind w:right="132"/>
                  <w:jc w:val="both"/>
                  <w:rPr>
                    <w:sz w:val="22"/>
                    <w:szCs w:val="22"/>
                  </w:rPr>
                </w:pPr>
                <w:r>
                  <w:rPr>
                    <w:sz w:val="22"/>
                    <w:szCs w:val="22"/>
                  </w:rPr>
                  <w:t>Šis orderis susijęs su iš viso: ………………</w:t>
                </w:r>
                <w:r>
                  <w:rPr>
                    <w:szCs w:val="24"/>
                  </w:rPr>
                  <w:t>…</w:t>
                </w:r>
                <w:r>
                  <w:rPr>
                    <w:sz w:val="22"/>
                    <w:szCs w:val="22"/>
                  </w:rPr>
                  <w:t>………………………… nusikalstamomis veikomis.</w:t>
                  <w:br/>
                  <w:t>Aplinkybių, kuriomis buvo įvykdyta (-os) nusikalstama (-os) veika (-os), įskaitant laiką, vietą ir prašomo perduoti asmens dalyvavimo joje (-se) laipsnį, apibūdinimas:</w:t>
                </w: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t>Nusikalstamos (-ų) veikos (-ų) pobūdis, teisinė kvalifikacija ir taikytina įstatymo / kodekso nuostata: ………………………</w:t>
                </w:r>
                <w:r>
                  <w:rPr>
                    <w:szCs w:val="24"/>
                  </w:rPr>
                  <w:t>………</w:t>
                </w:r>
                <w:r>
                  <w:rPr>
                    <w:sz w:val="22"/>
                    <w:szCs w:val="22"/>
                  </w:rPr>
                  <w:t>………………………………………………………………..</w:t>
                  <w:br/>
                  <w:t>………………………………………………</w:t>
                </w:r>
                <w:r>
                  <w:rPr>
                    <w:szCs w:val="24"/>
                  </w:rPr>
                  <w:t>………</w:t>
                </w:r>
                <w:r>
                  <w:rPr>
                    <w:sz w:val="22"/>
                    <w:szCs w:val="22"/>
                  </w:rPr>
                  <w:t>…………………………………………………..</w:t>
                  <w:br/>
                  <w:t>I. Jei taikytina, pažymėkite vieną ar kelias iš šių nusikalstamų veikų, baudžiamų išduodančiojoje valstybėje narėje laisvės atėmimo bausme arba įkalinimu, kurių maksimali trukmė yra 3 metai ar daugiau pagal išduodančiosios valstybės narės įstatymus:</w:t>
                </w:r>
              </w:p>
              <w:p>
                <w:pPr>
                  <w:ind w:right="132"/>
                  <w:jc w:val="both"/>
                  <w:rPr>
                    <w:sz w:val="22"/>
                    <w:szCs w:val="22"/>
                  </w:rPr>
                </w:pPr>
              </w:p>
              <w:p>
                <w:pPr>
                  <w:ind w:right="132"/>
                  <w:jc w:val="both"/>
                  <w:rPr>
                    <w:sz w:val="22"/>
                    <w:szCs w:val="22"/>
                    <w:lang w:eastAsia="lt-LT"/>
                  </w:rPr>
                </w:pPr>
                <w:r>
                  <w:rPr>
                    <w:sz w:val="28"/>
                    <w:szCs w:val="28"/>
                  </w:rPr>
                  <w:t>□</w:t>
                </w:r>
                <w:r>
                  <w:rPr>
                    <w:sz w:val="22"/>
                    <w:szCs w:val="22"/>
                    <w:lang w:eastAsia="lt-LT"/>
                  </w:rPr>
                  <w:t xml:space="preserve"> dalyvavimas nusikalstamame organizuotame susivienijime;</w:t>
                </w:r>
              </w:p>
              <w:p>
                <w:pPr>
                  <w:ind w:right="132"/>
                  <w:jc w:val="both"/>
                  <w:rPr>
                    <w:sz w:val="22"/>
                    <w:szCs w:val="22"/>
                    <w:lang w:eastAsia="lt-LT"/>
                  </w:rPr>
                </w:pPr>
                <w:r>
                  <w:rPr>
                    <w:sz w:val="28"/>
                    <w:szCs w:val="28"/>
                  </w:rPr>
                  <w:t>□</w:t>
                </w:r>
                <w:r>
                  <w:rPr>
                    <w:sz w:val="22"/>
                    <w:szCs w:val="22"/>
                    <w:lang w:eastAsia="lt-LT"/>
                  </w:rPr>
                  <w:t xml:space="preserve"> terorizmas;</w:t>
                </w:r>
              </w:p>
              <w:p>
                <w:pPr>
                  <w:ind w:right="132"/>
                  <w:jc w:val="both"/>
                  <w:rPr>
                    <w:sz w:val="22"/>
                    <w:szCs w:val="22"/>
                    <w:lang w:eastAsia="lt-LT"/>
                  </w:rPr>
                </w:pPr>
                <w:r>
                  <w:rPr>
                    <w:sz w:val="28"/>
                    <w:szCs w:val="28"/>
                  </w:rPr>
                  <w:t>□</w:t>
                </w:r>
                <w:r>
                  <w:rPr>
                    <w:sz w:val="22"/>
                    <w:szCs w:val="22"/>
                    <w:lang w:eastAsia="lt-LT"/>
                  </w:rPr>
                  <w:t xml:space="preserve"> prekyba žmonėmis;</w:t>
                </w:r>
              </w:p>
              <w:p>
                <w:pPr>
                  <w:ind w:right="132"/>
                  <w:jc w:val="both"/>
                  <w:rPr>
                    <w:sz w:val="22"/>
                    <w:szCs w:val="22"/>
                    <w:lang w:eastAsia="lt-LT"/>
                  </w:rPr>
                </w:pPr>
                <w:r>
                  <w:rPr>
                    <w:sz w:val="28"/>
                    <w:szCs w:val="28"/>
                  </w:rPr>
                  <w:t>□</w:t>
                </w:r>
                <w:r>
                  <w:rPr>
                    <w:sz w:val="22"/>
                    <w:szCs w:val="22"/>
                    <w:lang w:eastAsia="lt-LT"/>
                  </w:rPr>
                  <w:t xml:space="preserve"> seksualinis vaikų išnaudojimas ir vaikų pornografija;</w:t>
                </w:r>
              </w:p>
              <w:p>
                <w:pPr>
                  <w:ind w:right="132"/>
                  <w:jc w:val="both"/>
                  <w:rPr>
                    <w:sz w:val="22"/>
                    <w:szCs w:val="22"/>
                    <w:lang w:eastAsia="lt-LT"/>
                  </w:rPr>
                </w:pPr>
                <w:r>
                  <w:rPr>
                    <w:sz w:val="28"/>
                    <w:szCs w:val="28"/>
                  </w:rPr>
                  <w:t>□</w:t>
                </w:r>
                <w:r>
                  <w:rPr>
                    <w:sz w:val="22"/>
                    <w:szCs w:val="22"/>
                    <w:lang w:eastAsia="lt-LT"/>
                  </w:rPr>
                  <w:t xml:space="preserve"> neteisėta prekyba narkotikais ir psichotropinėmis medžiagomis;</w:t>
                </w:r>
              </w:p>
              <w:p>
                <w:pPr>
                  <w:ind w:right="132"/>
                  <w:jc w:val="both"/>
                  <w:rPr>
                    <w:sz w:val="22"/>
                    <w:szCs w:val="22"/>
                    <w:lang w:eastAsia="lt-LT"/>
                  </w:rPr>
                </w:pPr>
                <w:r>
                  <w:rPr>
                    <w:sz w:val="28"/>
                    <w:szCs w:val="28"/>
                  </w:rPr>
                  <w:t>□</w:t>
                </w:r>
                <w:r>
                  <w:rPr>
                    <w:sz w:val="22"/>
                    <w:szCs w:val="22"/>
                    <w:lang w:eastAsia="lt-LT"/>
                  </w:rPr>
                  <w:t xml:space="preserve"> neteisėta prekyba ginklais, šaudmenimis ir sprogmenimis;</w:t>
                </w:r>
              </w:p>
              <w:p>
                <w:pPr>
                  <w:ind w:right="132"/>
                  <w:jc w:val="both"/>
                  <w:rPr>
                    <w:sz w:val="22"/>
                    <w:szCs w:val="22"/>
                    <w:lang w:eastAsia="lt-LT"/>
                  </w:rPr>
                </w:pPr>
                <w:r>
                  <w:rPr>
                    <w:sz w:val="28"/>
                    <w:szCs w:val="28"/>
                  </w:rPr>
                  <w:t>□</w:t>
                </w:r>
                <w:r>
                  <w:rPr>
                    <w:sz w:val="22"/>
                    <w:szCs w:val="22"/>
                    <w:lang w:eastAsia="lt-LT"/>
                  </w:rPr>
                  <w:t xml:space="preserve"> korupcija;</w:t>
                </w:r>
              </w:p>
              <w:p>
                <w:pPr>
                  <w:ind w:left="284" w:right="132" w:hanging="284"/>
                  <w:jc w:val="both"/>
                  <w:rPr>
                    <w:sz w:val="22"/>
                    <w:szCs w:val="22"/>
                  </w:rPr>
                </w:pPr>
                <w:r>
                  <w:rPr>
                    <w:sz w:val="28"/>
                    <w:szCs w:val="28"/>
                  </w:rPr>
                  <w:t>□</w:t>
                </w:r>
                <w:r>
                  <w:rPr>
                    <w:sz w:val="22"/>
                    <w:szCs w:val="22"/>
                  </w:rPr>
                  <w:t xml:space="preserve"> sukčiavimas, įskaitant sukčiavimą, kuris turi poveikį Europos Bendrijų finansiniams interesams, kaip apibrėžta 1995 m. liepos 26 d. Konvencijoje dėl Europos Bendrijų finansinių interesų apsaugos;</w:t>
                </w:r>
              </w:p>
              <w:p>
                <w:pPr>
                  <w:ind w:right="132"/>
                  <w:jc w:val="both"/>
                  <w:rPr>
                    <w:sz w:val="22"/>
                    <w:szCs w:val="22"/>
                    <w:lang w:eastAsia="lt-LT"/>
                  </w:rPr>
                </w:pPr>
                <w:r>
                  <w:rPr>
                    <w:sz w:val="28"/>
                    <w:szCs w:val="28"/>
                  </w:rPr>
                  <w:t>□</w:t>
                </w:r>
                <w:r>
                  <w:rPr>
                    <w:sz w:val="22"/>
                    <w:szCs w:val="22"/>
                    <w:lang w:eastAsia="lt-LT"/>
                  </w:rPr>
                  <w:t xml:space="preserve"> nusikalstamu būdu įgytų pinigų plovimas;</w:t>
                </w:r>
              </w:p>
              <w:p>
                <w:pPr>
                  <w:ind w:right="132"/>
                  <w:jc w:val="both"/>
                  <w:rPr>
                    <w:sz w:val="22"/>
                    <w:szCs w:val="22"/>
                    <w:lang w:eastAsia="lt-LT"/>
                  </w:rPr>
                </w:pPr>
                <w:r>
                  <w:rPr>
                    <w:sz w:val="28"/>
                    <w:szCs w:val="28"/>
                  </w:rPr>
                  <w:t>□</w:t>
                </w:r>
                <w:r>
                  <w:rPr>
                    <w:sz w:val="22"/>
                    <w:szCs w:val="22"/>
                    <w:lang w:eastAsia="lt-LT"/>
                  </w:rPr>
                  <w:t xml:space="preserve"> valiutos, įskaitant eurą, padirbinėjimas;</w:t>
                </w:r>
              </w:p>
              <w:p>
                <w:pPr>
                  <w:ind w:right="132"/>
                  <w:jc w:val="both"/>
                  <w:rPr>
                    <w:sz w:val="22"/>
                    <w:szCs w:val="22"/>
                    <w:lang w:eastAsia="lt-LT"/>
                  </w:rPr>
                </w:pPr>
                <w:r>
                  <w:rPr>
                    <w:sz w:val="28"/>
                    <w:szCs w:val="28"/>
                  </w:rPr>
                  <w:t>□</w:t>
                </w:r>
                <w:r>
                  <w:rPr>
                    <w:sz w:val="22"/>
                    <w:szCs w:val="22"/>
                    <w:lang w:eastAsia="lt-LT"/>
                  </w:rPr>
                  <w:t xml:space="preserve"> nusikaltimai informatikai;</w:t>
                </w:r>
              </w:p>
              <w:p>
                <w:pPr>
                  <w:ind w:left="284" w:right="132" w:hanging="284"/>
                  <w:jc w:val="both"/>
                  <w:rPr>
                    <w:sz w:val="22"/>
                    <w:szCs w:val="22"/>
                  </w:rPr>
                </w:pPr>
                <w:r>
                  <w:rPr>
                    <w:sz w:val="28"/>
                    <w:szCs w:val="28"/>
                  </w:rPr>
                  <w:t>□</w:t>
                </w:r>
                <w:r>
                  <w:rPr>
                    <w:sz w:val="22"/>
                    <w:szCs w:val="22"/>
                  </w:rPr>
                  <w:t xml:space="preserve"> ekologiniai nusikaltimai, įskaitant neteisėtą prekybą nykstančiomis gyvūnų ir augalų rūšimis bei veislėmis;</w:t>
                </w:r>
              </w:p>
              <w:p>
                <w:pPr>
                  <w:ind w:right="132"/>
                  <w:jc w:val="both"/>
                  <w:rPr>
                    <w:sz w:val="22"/>
                    <w:szCs w:val="22"/>
                    <w:lang w:eastAsia="lt-LT"/>
                  </w:rPr>
                </w:pPr>
                <w:r>
                  <w:rPr>
                    <w:sz w:val="28"/>
                    <w:szCs w:val="28"/>
                  </w:rPr>
                  <w:t>□</w:t>
                </w:r>
                <w:r>
                  <w:rPr>
                    <w:sz w:val="22"/>
                    <w:szCs w:val="22"/>
                    <w:lang w:eastAsia="lt-LT"/>
                  </w:rPr>
                  <w:t xml:space="preserve"> pagalba siekiant neteisėtai patekti į šalį ir apsigyventi joje;</w:t>
                </w:r>
              </w:p>
              <w:p>
                <w:pPr>
                  <w:ind w:right="132"/>
                  <w:jc w:val="both"/>
                  <w:rPr>
                    <w:sz w:val="22"/>
                    <w:szCs w:val="22"/>
                    <w:lang w:eastAsia="lt-LT"/>
                  </w:rPr>
                </w:pPr>
                <w:r>
                  <w:rPr>
                    <w:sz w:val="28"/>
                    <w:szCs w:val="28"/>
                  </w:rPr>
                  <w:t>□</w:t>
                </w:r>
                <w:r>
                  <w:rPr>
                    <w:sz w:val="22"/>
                    <w:szCs w:val="22"/>
                    <w:lang w:eastAsia="lt-LT"/>
                  </w:rPr>
                  <w:t xml:space="preserve"> tyčinis nužudymas, sunkus sveikatos sutrikdymas;</w:t>
                </w:r>
              </w:p>
              <w:p>
                <w:pPr>
                  <w:ind w:right="132"/>
                  <w:jc w:val="both"/>
                  <w:rPr>
                    <w:sz w:val="22"/>
                    <w:szCs w:val="22"/>
                    <w:lang w:eastAsia="lt-LT"/>
                  </w:rPr>
                </w:pPr>
                <w:r>
                  <w:rPr>
                    <w:sz w:val="28"/>
                    <w:szCs w:val="28"/>
                  </w:rPr>
                  <w:t>□</w:t>
                </w:r>
                <w:r>
                  <w:rPr>
                    <w:sz w:val="22"/>
                    <w:szCs w:val="22"/>
                    <w:lang w:eastAsia="lt-LT"/>
                  </w:rPr>
                  <w:t xml:space="preserve"> neteisėta prekyba žmogaus organais ir audiniais;</w:t>
                </w:r>
              </w:p>
              <w:p>
                <w:pPr>
                  <w:ind w:right="132"/>
                  <w:jc w:val="both"/>
                  <w:rPr>
                    <w:sz w:val="22"/>
                    <w:szCs w:val="22"/>
                    <w:lang w:eastAsia="lt-LT"/>
                  </w:rPr>
                </w:pPr>
                <w:r>
                  <w:rPr>
                    <w:sz w:val="28"/>
                    <w:szCs w:val="28"/>
                  </w:rPr>
                  <w:t>□</w:t>
                </w:r>
                <w:r>
                  <w:rPr>
                    <w:sz w:val="22"/>
                    <w:szCs w:val="22"/>
                    <w:lang w:eastAsia="lt-LT"/>
                  </w:rPr>
                  <w:t xml:space="preserve"> žmonių grobimas, neteisėtas laisvės atėmimas ir įkaitų ėmimas;</w:t>
                </w:r>
              </w:p>
              <w:p>
                <w:pPr>
                  <w:ind w:right="132"/>
                  <w:jc w:val="both"/>
                  <w:rPr>
                    <w:sz w:val="22"/>
                    <w:szCs w:val="22"/>
                    <w:lang w:eastAsia="lt-LT"/>
                  </w:rPr>
                </w:pPr>
                <w:r>
                  <w:rPr>
                    <w:sz w:val="28"/>
                    <w:szCs w:val="28"/>
                  </w:rPr>
                  <w:t>□</w:t>
                </w:r>
                <w:r>
                  <w:rPr>
                    <w:sz w:val="22"/>
                    <w:szCs w:val="22"/>
                    <w:lang w:eastAsia="lt-LT"/>
                  </w:rPr>
                  <w:t xml:space="preserve"> rasizmas ir ksenofobija;</w:t>
                </w:r>
              </w:p>
              <w:p>
                <w:pPr>
                  <w:ind w:right="132"/>
                  <w:jc w:val="both"/>
                  <w:rPr>
                    <w:sz w:val="22"/>
                    <w:szCs w:val="22"/>
                    <w:lang w:eastAsia="lt-LT"/>
                  </w:rPr>
                </w:pPr>
                <w:r>
                  <w:rPr>
                    <w:sz w:val="28"/>
                    <w:szCs w:val="28"/>
                  </w:rPr>
                  <w:t>□</w:t>
                </w:r>
                <w:r>
                  <w:rPr>
                    <w:sz w:val="22"/>
                    <w:szCs w:val="22"/>
                    <w:lang w:eastAsia="lt-LT"/>
                  </w:rPr>
                  <w:t xml:space="preserve"> organizuotas arba ginkluotas apiplėšimas;</w:t>
                </w:r>
              </w:p>
              <w:p>
                <w:pPr>
                  <w:ind w:right="132"/>
                  <w:jc w:val="both"/>
                  <w:rPr>
                    <w:sz w:val="22"/>
                    <w:szCs w:val="22"/>
                    <w:lang w:eastAsia="lt-LT"/>
                  </w:rPr>
                </w:pPr>
                <w:r>
                  <w:rPr>
                    <w:sz w:val="28"/>
                    <w:szCs w:val="28"/>
                  </w:rPr>
                  <w:t>□</w:t>
                </w:r>
                <w:r>
                  <w:rPr>
                    <w:sz w:val="22"/>
                    <w:szCs w:val="22"/>
                    <w:lang w:eastAsia="lt-LT"/>
                  </w:rPr>
                  <w:t xml:space="preserve"> neteisėta prekyba kultūros vertybėmis, įskaitant antikvarines vertybes ir meno kūrinius;</w:t>
                </w:r>
              </w:p>
              <w:p>
                <w:pPr>
                  <w:ind w:right="132"/>
                  <w:jc w:val="both"/>
                  <w:rPr>
                    <w:sz w:val="22"/>
                    <w:szCs w:val="22"/>
                    <w:lang w:eastAsia="lt-LT"/>
                  </w:rPr>
                </w:pPr>
                <w:r>
                  <w:rPr>
                    <w:sz w:val="28"/>
                    <w:szCs w:val="28"/>
                  </w:rPr>
                  <w:t>□</w:t>
                </w:r>
                <w:r>
                  <w:rPr>
                    <w:sz w:val="22"/>
                    <w:szCs w:val="22"/>
                    <w:lang w:eastAsia="lt-LT"/>
                  </w:rPr>
                  <w:t xml:space="preserve"> sukčiavimas;</w:t>
                </w:r>
              </w:p>
              <w:p>
                <w:pPr>
                  <w:ind w:right="132"/>
                  <w:jc w:val="both"/>
                  <w:rPr>
                    <w:sz w:val="22"/>
                    <w:szCs w:val="22"/>
                    <w:lang w:eastAsia="lt-LT"/>
                  </w:rPr>
                </w:pPr>
                <w:r>
                  <w:rPr>
                    <w:sz w:val="28"/>
                    <w:szCs w:val="28"/>
                  </w:rPr>
                  <w:t>□</w:t>
                </w:r>
                <w:r>
                  <w:rPr>
                    <w:sz w:val="22"/>
                    <w:szCs w:val="22"/>
                    <w:lang w:eastAsia="lt-LT"/>
                  </w:rPr>
                  <w:t xml:space="preserve"> reketavimas ir turto prievartavimas;</w:t>
                </w:r>
              </w:p>
              <w:p>
                <w:pPr>
                  <w:ind w:right="132"/>
                  <w:jc w:val="both"/>
                  <w:rPr>
                    <w:sz w:val="22"/>
                    <w:szCs w:val="22"/>
                    <w:lang w:eastAsia="lt-LT"/>
                  </w:rPr>
                </w:pPr>
                <w:r>
                  <w:rPr>
                    <w:sz w:val="28"/>
                    <w:szCs w:val="28"/>
                  </w:rPr>
                  <w:t>□</w:t>
                </w:r>
                <w:r>
                  <w:rPr>
                    <w:sz w:val="22"/>
                    <w:szCs w:val="22"/>
                    <w:lang w:eastAsia="lt-LT"/>
                  </w:rPr>
                  <w:t xml:space="preserve"> gaminių klastojimas ir piratavimas;</w:t>
                </w:r>
              </w:p>
              <w:p>
                <w:pPr>
                  <w:ind w:right="132"/>
                  <w:jc w:val="both"/>
                  <w:rPr>
                    <w:sz w:val="22"/>
                    <w:szCs w:val="22"/>
                    <w:lang w:eastAsia="lt-LT"/>
                  </w:rPr>
                </w:pPr>
                <w:r>
                  <w:rPr>
                    <w:sz w:val="28"/>
                    <w:szCs w:val="28"/>
                  </w:rPr>
                  <w:t>□</w:t>
                </w:r>
                <w:r>
                  <w:rPr>
                    <w:sz w:val="22"/>
                    <w:szCs w:val="22"/>
                    <w:lang w:eastAsia="lt-LT"/>
                  </w:rPr>
                  <w:t xml:space="preserve"> administracinių dokumentų padirbinėjimas ir prekyba jais;</w:t>
                </w:r>
              </w:p>
              <w:p>
                <w:pPr>
                  <w:ind w:right="132"/>
                  <w:jc w:val="both"/>
                  <w:rPr>
                    <w:sz w:val="22"/>
                    <w:szCs w:val="22"/>
                    <w:lang w:eastAsia="lt-LT"/>
                  </w:rPr>
                </w:pPr>
                <w:r>
                  <w:rPr>
                    <w:sz w:val="28"/>
                    <w:szCs w:val="28"/>
                  </w:rPr>
                  <w:t>□</w:t>
                </w:r>
                <w:r>
                  <w:rPr>
                    <w:sz w:val="22"/>
                    <w:szCs w:val="22"/>
                    <w:lang w:eastAsia="lt-LT"/>
                  </w:rPr>
                  <w:t xml:space="preserve"> mokėjimo instrumentų padirbinėjimas;</w:t>
                </w:r>
              </w:p>
              <w:p>
                <w:pPr>
                  <w:ind w:right="132"/>
                  <w:jc w:val="both"/>
                  <w:rPr>
                    <w:sz w:val="22"/>
                    <w:szCs w:val="22"/>
                    <w:lang w:eastAsia="lt-LT"/>
                  </w:rPr>
                </w:pPr>
                <w:r>
                  <w:rPr>
                    <w:sz w:val="28"/>
                    <w:szCs w:val="28"/>
                  </w:rPr>
                  <w:t>□</w:t>
                </w:r>
                <w:r>
                  <w:rPr>
                    <w:sz w:val="22"/>
                    <w:szCs w:val="22"/>
                    <w:lang w:eastAsia="lt-LT"/>
                  </w:rPr>
                  <w:t xml:space="preserve"> neteisėta prekyba hormoninėmis medžiagomis ir kitomis augimo skatinimo medžiagomis;</w:t>
                </w:r>
              </w:p>
              <w:p>
                <w:pPr>
                  <w:ind w:right="132"/>
                  <w:jc w:val="both"/>
                  <w:rPr>
                    <w:sz w:val="22"/>
                    <w:szCs w:val="22"/>
                    <w:lang w:eastAsia="lt-LT"/>
                  </w:rPr>
                </w:pPr>
                <w:r>
                  <w:rPr>
                    <w:sz w:val="28"/>
                    <w:szCs w:val="28"/>
                  </w:rPr>
                  <w:t>□</w:t>
                </w:r>
                <w:r>
                  <w:rPr>
                    <w:sz w:val="22"/>
                    <w:szCs w:val="22"/>
                    <w:lang w:eastAsia="lt-LT"/>
                  </w:rPr>
                  <w:t xml:space="preserve"> neteisėta prekyba branduolinėmis ir radioaktyviomis medžiagomis;</w:t>
                </w:r>
              </w:p>
              <w:p>
                <w:pPr>
                  <w:ind w:right="132"/>
                  <w:jc w:val="both"/>
                  <w:rPr>
                    <w:sz w:val="22"/>
                    <w:szCs w:val="22"/>
                    <w:lang w:eastAsia="lt-LT"/>
                  </w:rPr>
                </w:pPr>
                <w:r>
                  <w:rPr>
                    <w:sz w:val="28"/>
                    <w:szCs w:val="28"/>
                  </w:rPr>
                  <w:t>□</w:t>
                </w:r>
                <w:r>
                  <w:rPr>
                    <w:sz w:val="22"/>
                    <w:szCs w:val="22"/>
                    <w:lang w:eastAsia="lt-LT"/>
                  </w:rPr>
                  <w:t xml:space="preserve"> prekyba vogtais automobiliais;</w:t>
                </w:r>
              </w:p>
              <w:p>
                <w:pPr>
                  <w:ind w:right="132"/>
                  <w:jc w:val="both"/>
                  <w:rPr>
                    <w:sz w:val="22"/>
                    <w:szCs w:val="22"/>
                    <w:lang w:eastAsia="lt-LT"/>
                  </w:rPr>
                </w:pPr>
                <w:r>
                  <w:rPr>
                    <w:sz w:val="28"/>
                    <w:szCs w:val="28"/>
                  </w:rPr>
                  <w:t>□</w:t>
                </w:r>
                <w:r>
                  <w:rPr>
                    <w:sz w:val="22"/>
                    <w:szCs w:val="22"/>
                    <w:lang w:eastAsia="lt-LT"/>
                  </w:rPr>
                  <w:t xml:space="preserve"> išžaginimas;</w:t>
                </w:r>
              </w:p>
              <w:p>
                <w:pPr>
                  <w:ind w:right="132"/>
                  <w:jc w:val="both"/>
                  <w:rPr>
                    <w:sz w:val="22"/>
                    <w:szCs w:val="22"/>
                    <w:lang w:eastAsia="lt-LT"/>
                  </w:rPr>
                </w:pPr>
                <w:r>
                  <w:rPr>
                    <w:sz w:val="28"/>
                    <w:szCs w:val="28"/>
                  </w:rPr>
                  <w:t>□</w:t>
                </w:r>
                <w:r>
                  <w:rPr>
                    <w:sz w:val="22"/>
                    <w:szCs w:val="22"/>
                    <w:lang w:eastAsia="lt-LT"/>
                  </w:rPr>
                  <w:t xml:space="preserve"> padegimas;</w:t>
                </w:r>
              </w:p>
              <w:p>
                <w:pPr>
                  <w:ind w:right="132"/>
                  <w:jc w:val="both"/>
                  <w:rPr>
                    <w:sz w:val="22"/>
                    <w:szCs w:val="22"/>
                    <w:lang w:eastAsia="lt-LT"/>
                  </w:rPr>
                </w:pPr>
                <w:r>
                  <w:rPr>
                    <w:sz w:val="28"/>
                    <w:szCs w:val="28"/>
                  </w:rPr>
                  <w:t>□</w:t>
                </w:r>
                <w:r>
                  <w:rPr>
                    <w:sz w:val="22"/>
                    <w:szCs w:val="22"/>
                    <w:lang w:eastAsia="lt-LT"/>
                  </w:rPr>
                  <w:t xml:space="preserve"> Tarptautiniam baudžiamajam teismui teismingi nusikaltimai;</w:t>
                </w:r>
              </w:p>
              <w:p>
                <w:pPr>
                  <w:ind w:right="132"/>
                  <w:jc w:val="both"/>
                  <w:rPr>
                    <w:sz w:val="22"/>
                    <w:szCs w:val="22"/>
                    <w:lang w:eastAsia="lt-LT"/>
                  </w:rPr>
                </w:pPr>
                <w:r>
                  <w:rPr>
                    <w:sz w:val="28"/>
                    <w:szCs w:val="28"/>
                  </w:rPr>
                  <w:t>□</w:t>
                </w:r>
                <w:r>
                  <w:rPr>
                    <w:sz w:val="22"/>
                    <w:szCs w:val="22"/>
                    <w:lang w:eastAsia="lt-LT"/>
                  </w:rPr>
                  <w:t xml:space="preserve"> neteisėtas orlaivių / laivų užgrobimas;</w:t>
                </w:r>
              </w:p>
              <w:p>
                <w:pPr>
                  <w:ind w:right="132"/>
                  <w:jc w:val="both"/>
                  <w:rPr>
                    <w:sz w:val="22"/>
                    <w:szCs w:val="22"/>
                    <w:lang w:eastAsia="lt-LT"/>
                  </w:rPr>
                </w:pPr>
                <w:r>
                  <w:rPr>
                    <w:sz w:val="28"/>
                    <w:szCs w:val="28"/>
                  </w:rPr>
                  <w:t>□</w:t>
                </w:r>
                <w:r>
                  <w:rPr>
                    <w:sz w:val="22"/>
                    <w:szCs w:val="22"/>
                    <w:lang w:eastAsia="lt-LT"/>
                  </w:rPr>
                  <w:t xml:space="preserve"> sabotažas.</w:t>
                </w:r>
              </w:p>
              <w:p>
                <w:pPr>
                  <w:rPr>
                    <w:sz w:val="10"/>
                    <w:szCs w:val="10"/>
                  </w:rPr>
                </w:pPr>
              </w:p>
              <w:p>
                <w:pPr>
                  <w:ind w:right="132"/>
                  <w:jc w:val="both"/>
                  <w:rPr>
                    <w:szCs w:val="24"/>
                  </w:rPr>
                </w:pPr>
                <w:r>
                  <w:rPr>
                    <w:sz w:val="22"/>
                    <w:szCs w:val="22"/>
                  </w:rPr>
                  <w:t>II. Išsamus nusikalstamos veikos, neįrašytos I dalyje, apibūdinimas: ………………………</w:t>
                </w:r>
                <w:r>
                  <w:rPr>
                    <w:szCs w:val="24"/>
                  </w:rPr>
                  <w:t>………</w:t>
                </w:r>
                <w:r>
                  <w:rPr>
                    <w:sz w:val="22"/>
                    <w:szCs w:val="22"/>
                  </w:rPr>
                  <w:t>…</w:t>
                  <w:br/>
                  <w:t>………………………………………………………………………………………………….</w:t>
                </w:r>
                <w:r>
                  <w:rPr>
                    <w:szCs w:val="24"/>
                  </w:rPr>
                  <w:t>………</w:t>
                </w:r>
                <w:r>
                  <w:rPr>
                    <w:sz w:val="22"/>
                    <w:szCs w:val="22"/>
                  </w:rPr>
                  <w:t>.</w:t>
                </w:r>
                <w:r>
                  <w:rPr>
                    <w:szCs w:val="24"/>
                  </w:rPr>
                  <w:t>………</w:t>
                </w:r>
              </w:p>
              <w:p>
                <w:pPr>
                  <w:rPr>
                    <w:sz w:val="10"/>
                    <w:szCs w:val="10"/>
                  </w:rPr>
                </w:pPr>
              </w:p>
              <w:p>
                <w:pPr>
                  <w:ind w:right="132"/>
                  <w:jc w:val="both"/>
                  <w:rPr>
                    <w:szCs w:val="24"/>
                  </w:rPr>
                </w:pPr>
                <w:r>
                  <w:rPr>
                    <w:sz w:val="22"/>
                    <w:szCs w:val="22"/>
                  </w:rPr>
                  <w:t>………………………………………………………………………………………………….</w:t>
                </w:r>
                <w:r>
                  <w:rPr>
                    <w:szCs w:val="24"/>
                  </w:rPr>
                  <w:t>………</w:t>
                </w:r>
                <w:r>
                  <w:rPr>
                    <w:sz w:val="22"/>
                    <w:szCs w:val="22"/>
                  </w:rPr>
                  <w:t>.</w:t>
                </w:r>
                <w:r>
                  <w:rPr>
                    <w:szCs w:val="24"/>
                  </w:rPr>
                  <w:t>………</w:t>
                </w:r>
              </w:p>
              <w:p>
                <w:pPr>
                  <w:rPr>
                    <w:sz w:val="10"/>
                    <w:szCs w:val="10"/>
                  </w:rPr>
                </w:pPr>
              </w:p>
              <w:p>
                <w:pPr>
                  <w:ind w:right="132"/>
                  <w:jc w:val="both"/>
                  <w:rPr>
                    <w:sz w:val="22"/>
                    <w:szCs w:val="22"/>
                  </w:rPr>
                </w:pP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e)</w:t>
                  <w:tab/>
                  <w:t>Kitos su byla susijusios aplinkybės (neprivaloma informacija):</w:t>
                </w:r>
              </w:p>
              <w:p>
                <w:pPr>
                  <w:rPr>
                    <w:sz w:val="10"/>
                    <w:szCs w:val="10"/>
                  </w:rPr>
                </w:pPr>
              </w:p>
              <w:p>
                <w:pPr>
                  <w:ind w:right="132"/>
                  <w:jc w:val="both"/>
                  <w:rPr>
                    <w:sz w:val="22"/>
                    <w:szCs w:val="22"/>
                  </w:rPr>
                </w:pPr>
                <w:r>
                  <w:rPr>
                    <w:sz w:val="22"/>
                    <w:szCs w:val="22"/>
                  </w:rPr>
                  <w:t>(</w:t>
                </w:r>
                <w:r>
                  <w:rPr>
                    <w:i/>
                    <w:sz w:val="22"/>
                    <w:szCs w:val="22"/>
                  </w:rPr>
                  <w:t>NB: Čia galima nurodyti eksteritorialumą, senaties terminų eigos sustojimą (nutrūkimą) ir kitas nusikalstamos veikos pasekmes</w:t>
                </w:r>
                <w:r>
                  <w:rPr>
                    <w:sz w:val="22"/>
                    <w:szCs w:val="22"/>
                  </w:rPr>
                  <w:t>)</w:t>
                </w:r>
              </w:p>
              <w:p>
                <w:pPr>
                  <w:rPr>
                    <w:sz w:val="10"/>
                    <w:szCs w:val="10"/>
                  </w:rPr>
                </w:pPr>
              </w:p>
              <w:p>
                <w:pPr>
                  <w:ind w:right="132"/>
                  <w:jc w:val="both"/>
                  <w:rPr>
                    <w:sz w:val="22"/>
                    <w:szCs w:val="22"/>
                  </w:rPr>
                </w:pPr>
                <w:r>
                  <w:rPr>
                    <w:sz w:val="22"/>
                    <w:szCs w:val="22"/>
                  </w:rPr>
                  <w:t>…………………………………………………………….………………………………………</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f)</w:t>
                  <w:tab/>
                  <w:t>Šis orderis taip pat taikomas turto, kurio gali reikėti kaip įrodymo, areštui ir perėmimui.</w:t>
                </w:r>
              </w:p>
              <w:p>
                <w:pPr>
                  <w:rPr>
                    <w:sz w:val="10"/>
                    <w:szCs w:val="10"/>
                  </w:rPr>
                </w:pPr>
              </w:p>
              <w:p>
                <w:pPr>
                  <w:ind w:left="360" w:right="132"/>
                  <w:jc w:val="both"/>
                  <w:rPr>
                    <w:sz w:val="22"/>
                    <w:szCs w:val="22"/>
                  </w:rPr>
                </w:pPr>
                <w:r>
                  <w:rPr>
                    <w:sz w:val="22"/>
                    <w:szCs w:val="22"/>
                  </w:rPr>
                  <w:t>Šis orderis taip pat taikomas turto, kurį prašomas perduoti asmuo gavo iš nusikalstamos veikos, areštui ir perėmimui.</w:t>
                </w:r>
              </w:p>
              <w:p>
                <w:pPr>
                  <w:rPr>
                    <w:sz w:val="10"/>
                    <w:szCs w:val="10"/>
                  </w:rPr>
                </w:pPr>
              </w:p>
              <w:p>
                <w:pPr>
                  <w:ind w:left="360" w:right="132"/>
                  <w:jc w:val="both"/>
                  <w:rPr>
                    <w:szCs w:val="24"/>
                  </w:rPr>
                </w:pPr>
                <w:r>
                  <w:rPr>
                    <w:sz w:val="22"/>
                    <w:szCs w:val="22"/>
                  </w:rPr>
                  <w:t>Turto (ir jo buvimo vietos) (jei žinoma) aprašymas: ……………………………………………</w:t>
                </w:r>
                <w:r>
                  <w:rPr>
                    <w:szCs w:val="24"/>
                  </w:rPr>
                  <w:t>………</w:t>
                </w:r>
                <w:r>
                  <w:rPr>
                    <w:sz w:val="22"/>
                    <w:szCs w:val="22"/>
                  </w:rPr>
                  <w:t>..</w:t>
                  <w:br/>
                  <w:t>………………………………………………………………………………………………………</w:t>
                </w:r>
                <w:r>
                  <w:rPr>
                    <w:szCs w:val="24"/>
                  </w:rPr>
                  <w:t>………</w:t>
                </w:r>
              </w:p>
              <w:p>
                <w:pPr>
                  <w:rPr>
                    <w:sz w:val="10"/>
                    <w:szCs w:val="10"/>
                  </w:rPr>
                </w:pPr>
              </w:p>
              <w:p>
                <w:pPr>
                  <w:ind w:left="360" w:right="132"/>
                  <w:jc w:val="both"/>
                  <w:rPr>
                    <w:sz w:val="22"/>
                    <w:szCs w:val="22"/>
                  </w:rPr>
                </w:pPr>
                <w:r>
                  <w:rPr>
                    <w:sz w:val="22"/>
                    <w:szCs w:val="22"/>
                  </w:rPr>
                  <w:t>……………………………………………………………………………………………………</w:t>
                </w:r>
                <w:r>
                  <w:rPr>
                    <w:szCs w:val="24"/>
                  </w:rPr>
                  <w:t>………</w:t>
                </w:r>
                <w:r>
                  <w:rPr>
                    <w:sz w:val="22"/>
                    <w:szCs w:val="22"/>
                  </w:rPr>
                  <w:t>…</w:t>
                </w:r>
              </w:p>
              <w:p>
                <w:pPr>
                  <w:rPr>
                    <w:sz w:val="10"/>
                    <w:szCs w:val="10"/>
                  </w:rPr>
                </w:pPr>
              </w:p>
              <w:p>
                <w:pPr>
                  <w:ind w:left="360" w:right="132"/>
                  <w:jc w:val="both"/>
                  <w:rPr>
                    <w:sz w:val="22"/>
                    <w:szCs w:val="22"/>
                  </w:rPr>
                </w:pPr>
                <w:r>
                  <w:rPr>
                    <w:sz w:val="22"/>
                    <w:szCs w:val="22"/>
                  </w:rPr>
                  <w:t>…………………………………………………………………………………………………</w:t>
                </w:r>
                <w:r>
                  <w:rPr>
                    <w:szCs w:val="24"/>
                  </w:rPr>
                  <w:t>………</w:t>
                </w:r>
                <w:r>
                  <w:rPr>
                    <w:sz w:val="22"/>
                    <w:szCs w:val="22"/>
                  </w:rPr>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g)</w:t>
                  <w:tab/>
                  <w:t>Už nusikalstamą (-as) veiką (-as), dėl kurios (-ių) išduotas šis orderis, baudžiama laisvės atėmimu ar įkalinimu iki gyvos galvos arba tokia bausmė jau yra paskirta ir:</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gavus prašymą arba bent po 20 metų persvarstyti paskirtą bausmę arba priemonę ir nutraukti jos vykdymą</w:t>
                </w:r>
              </w:p>
              <w:p>
                <w:pPr>
                  <w:rPr>
                    <w:sz w:val="10"/>
                    <w:szCs w:val="10"/>
                  </w:rPr>
                </w:pPr>
              </w:p>
              <w:p>
                <w:pPr>
                  <w:ind w:left="360" w:right="132"/>
                  <w:jc w:val="both"/>
                  <w:rPr>
                    <w:sz w:val="22"/>
                    <w:szCs w:val="22"/>
                  </w:rPr>
                </w:pPr>
                <w:r>
                  <w:rPr>
                    <w:sz w:val="22"/>
                    <w:szCs w:val="22"/>
                  </w:rPr>
                  <w:t xml:space="preserve">ir </w:t>
                </w:r>
                <w:r>
                  <w:rPr>
                    <w:strike/>
                    <w:sz w:val="22"/>
                    <w:szCs w:val="22"/>
                  </w:rPr>
                  <w:t>/</w:t>
                </w:r>
                <w:r>
                  <w:rPr>
                    <w:sz w:val="22"/>
                    <w:szCs w:val="22"/>
                  </w:rPr>
                  <w:t xml:space="preserve"> </w:t>
                </w:r>
                <w:r>
                  <w:rPr>
                    <w:b/>
                    <w:sz w:val="22"/>
                    <w:szCs w:val="22"/>
                  </w:rPr>
                  <w:t>(</w:t>
                </w:r>
                <w:r>
                  <w:rPr>
                    <w:sz w:val="22"/>
                    <w:szCs w:val="22"/>
                  </w:rPr>
                  <w:t>arba</w:t>
                </w:r>
                <w:r>
                  <w:rPr>
                    <w:b/>
                    <w:sz w:val="22"/>
                    <w:szCs w:val="22"/>
                  </w:rPr>
                  <w:t>)</w:t>
                </w:r>
              </w:p>
              <w:p>
                <w:pPr>
                  <w:rPr>
                    <w:sz w:val="10"/>
                    <w:szCs w:val="10"/>
                  </w:rPr>
                </w:pPr>
              </w:p>
              <w:p>
                <w:pPr>
                  <w:tabs>
                    <w:tab w:val="left" w:pos="360"/>
                  </w:tabs>
                  <w:ind w:left="360" w:right="132" w:hanging="360"/>
                  <w:jc w:val="both"/>
                  <w:rPr>
                    <w:sz w:val="22"/>
                    <w:szCs w:val="22"/>
                  </w:rPr>
                </w:pPr>
                <w:r>
                  <w:rPr>
                    <w:sz w:val="22"/>
                    <w:szCs w:val="22"/>
                  </w:rPr>
                  <w:t>-</w:t>
                  <w:tab/>
                  <w:t>išduodančiosios valstybės narės teisės sistema leidžia suteikti malonę, į kurią asmuo turi teisę pagal išduodančiosios valstybės narės teisę arba praktiką, siekiant, kad paskirta bausmė arba priemonė nebebūtų vykdoma.</w:t>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tabs>
                    <w:tab w:val="left" w:pos="360"/>
                  </w:tabs>
                  <w:ind w:left="360" w:right="132" w:hanging="360"/>
                  <w:jc w:val="both"/>
                  <w:rPr>
                    <w:sz w:val="22"/>
                    <w:szCs w:val="22"/>
                  </w:rPr>
                </w:pPr>
                <w:r>
                  <w:rPr>
                    <w:sz w:val="22"/>
                    <w:szCs w:val="22"/>
                  </w:rPr>
                  <w:t>h)</w:t>
                  <w:tab/>
                  <w:t>Teisminė institucija, kuri išdavė orderį:</w:t>
                </w:r>
              </w:p>
              <w:p>
                <w:pPr>
                  <w:rPr>
                    <w:sz w:val="10"/>
                    <w:szCs w:val="10"/>
                  </w:rPr>
                </w:pPr>
              </w:p>
              <w:p>
                <w:pPr>
                  <w:ind w:left="360" w:right="132"/>
                  <w:jc w:val="both"/>
                  <w:rPr>
                    <w:sz w:val="22"/>
                    <w:szCs w:val="22"/>
                  </w:rPr>
                </w:pPr>
                <w:r>
                  <w:rPr>
                    <w:sz w:val="22"/>
                    <w:szCs w:val="22"/>
                  </w:rPr>
                  <w:t>Oficialus pavadinimas:</w:t>
                </w:r>
              </w:p>
              <w:p>
                <w:pPr>
                  <w:rPr>
                    <w:sz w:val="10"/>
                    <w:szCs w:val="10"/>
                  </w:rPr>
                </w:pPr>
              </w:p>
              <w:p>
                <w:pPr>
                  <w:ind w:left="360" w:right="132"/>
                  <w:jc w:val="both"/>
                  <w:rPr>
                    <w:sz w:val="22"/>
                    <w:szCs w:val="22"/>
                  </w:rPr>
                </w:pPr>
                <w:r>
                  <w:rPr>
                    <w:sz w:val="22"/>
                    <w:szCs w:val="22"/>
                  </w:rPr>
                  <w:t>Jos atstovo pavardė (</w:t>
                </w:r>
                <w:r>
                  <w:rPr>
                    <w:sz w:val="22"/>
                    <w:szCs w:val="22"/>
                    <w:vertAlign w:val="superscript"/>
                  </w:rPr>
                  <w:footnoteReference w:customMarkFollows="1" w:id="1"/>
                  <w:t>1</w:t>
                </w:r>
                <w:r>
                  <w:rPr>
                    <w:sz w:val="22"/>
                    <w:szCs w:val="22"/>
                  </w:rPr>
                  <w:t>): …………</w:t>
                </w:r>
                <w:r>
                  <w:rPr>
                    <w:szCs w:val="24"/>
                  </w:rPr>
                  <w:t>………</w:t>
                </w:r>
                <w:r>
                  <w:rPr>
                    <w:sz w:val="22"/>
                    <w:szCs w:val="22"/>
                  </w:rPr>
                  <w:t>…………………………………………………………………</w:t>
                  <w:br/>
                  <w:t>Einamos pareigos (pareigybė / kategorija): …………</w:t>
                </w:r>
                <w:r>
                  <w:rPr>
                    <w:szCs w:val="24"/>
                  </w:rPr>
                  <w:t>………</w:t>
                </w:r>
                <w:r>
                  <w:rPr>
                    <w:sz w:val="22"/>
                    <w:szCs w:val="22"/>
                  </w:rPr>
                  <w:t>……………………………………………</w:t>
                  <w:br/>
                  <w:t>Bylos numeris: …………………</w:t>
                </w:r>
                <w:r>
                  <w:rPr>
                    <w:szCs w:val="24"/>
                  </w:rPr>
                  <w:t>………</w:t>
                </w:r>
                <w:r>
                  <w:rPr>
                    <w:sz w:val="22"/>
                    <w:szCs w:val="22"/>
                  </w:rPr>
                  <w:t>………………………………………………………………….</w:t>
                  <w:br/>
                  <w:t>Adresas: ………………………</w:t>
                </w:r>
                <w:r>
                  <w:rPr>
                    <w:szCs w:val="24"/>
                  </w:rPr>
                  <w:t>………</w:t>
                </w:r>
                <w:r>
                  <w:rPr>
                    <w:sz w:val="22"/>
                    <w:szCs w:val="22"/>
                  </w:rPr>
                  <w:t>……………………………………………………………………</w:t>
                  <w:br/>
                  <w:t>Telefonas (šalies kodas) (srities / miesto kodas) (…) …</w:t>
                </w:r>
                <w:r>
                  <w:rPr>
                    <w:szCs w:val="24"/>
                  </w:rPr>
                  <w:t>………</w:t>
                </w:r>
                <w:r>
                  <w:rPr>
                    <w:sz w:val="22"/>
                    <w:szCs w:val="22"/>
                  </w:rPr>
                  <w:t>……………………………………………</w:t>
                </w:r>
              </w:p>
              <w:p>
                <w:pPr>
                  <w:rPr>
                    <w:sz w:val="10"/>
                    <w:szCs w:val="10"/>
                  </w:rPr>
                </w:pPr>
              </w:p>
              <w:p>
                <w:pPr>
                  <w:ind w:left="360" w:right="132"/>
                  <w:jc w:val="both"/>
                  <w:rPr>
                    <w:sz w:val="22"/>
                    <w:szCs w:val="22"/>
                  </w:rPr>
                </w:pPr>
                <w:r>
                  <w:rPr>
                    <w:sz w:val="22"/>
                    <w:szCs w:val="22"/>
                  </w:rPr>
                  <w:t>……………………….</w:t>
                  <w:br/>
                  <w:t>Faksas (šalies kodas) (srities/miesto kodas) (…) …………</w:t>
                </w:r>
                <w:r>
                  <w:rPr>
                    <w:szCs w:val="24"/>
                  </w:rPr>
                  <w:t>………</w:t>
                </w:r>
                <w:r>
                  <w:rPr>
                    <w:sz w:val="22"/>
                    <w:szCs w:val="22"/>
                  </w:rPr>
                  <w:t>…………………………………….</w:t>
                  <w:br/>
                  <w:t>Elektroninis paštas: ……………………………</w:t>
                </w:r>
                <w:r>
                  <w:rPr>
                    <w:szCs w:val="24"/>
                  </w:rPr>
                  <w:t>………</w:t>
                </w:r>
                <w:r>
                  <w:rPr>
                    <w:sz w:val="22"/>
                    <w:szCs w:val="22"/>
                  </w:rPr>
                  <w:t>…………………………………………………</w:t>
                  <w:br/>
                  <w:t>Asmens, su kuriuo turi būti susisiekta dėl perdavimo praktinių klausimų, kontaktiniai duomenys: …………</w:t>
                </w:r>
                <w:r>
                  <w:rPr>
                    <w:szCs w:val="24"/>
                  </w:rPr>
                  <w:t>…………………</w:t>
                </w:r>
                <w:r>
                  <w:rPr>
                    <w:sz w:val="22"/>
                    <w:szCs w:val="22"/>
                  </w:rPr>
                  <w:t>………………………………………………………………………………...</w:t>
                  <w:br/>
                  <w:t>……………………………………………</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Kai už Europos arešto orderio perdavimą ir administracinį priėmimą yra atsakinga centrinė institucija:</w:t>
                </w:r>
              </w:p>
              <w:p>
                <w:pPr>
                  <w:rPr>
                    <w:sz w:val="10"/>
                    <w:szCs w:val="10"/>
                  </w:rPr>
                </w:pPr>
              </w:p>
              <w:p>
                <w:pPr>
                  <w:ind w:right="132"/>
                  <w:jc w:val="both"/>
                  <w:rPr>
                    <w:sz w:val="22"/>
                    <w:szCs w:val="22"/>
                  </w:rPr>
                </w:pPr>
                <w:r>
                  <w:rPr>
                    <w:sz w:val="22"/>
                    <w:szCs w:val="22"/>
                  </w:rPr>
                  <w:t xml:space="preserve">Centrinės institucijos pavadinimas: </w:t>
                </w:r>
              </w:p>
              <w:p>
                <w:pPr>
                  <w:rPr>
                    <w:sz w:val="10"/>
                    <w:szCs w:val="10"/>
                  </w:rPr>
                </w:pPr>
              </w:p>
              <w:p>
                <w:pPr>
                  <w:ind w:right="132"/>
                  <w:jc w:val="both"/>
                  <w:rPr>
                    <w:sz w:val="22"/>
                    <w:szCs w:val="22"/>
                  </w:rPr>
                </w:pPr>
                <w:r>
                  <w:rPr>
                    <w:sz w:val="22"/>
                    <w:szCs w:val="22"/>
                  </w:rPr>
                  <w:t>…………………………………</w:t>
                </w:r>
                <w:r>
                  <w:rPr>
                    <w:szCs w:val="24"/>
                  </w:rPr>
                  <w:t>………</w:t>
                </w:r>
                <w:r>
                  <w:rPr>
                    <w:sz w:val="22"/>
                    <w:szCs w:val="22"/>
                  </w:rPr>
                  <w:t>………………………………………………………………………..</w:t>
                  <w:br/>
                  <w:t>Asmuo pasiteirauti, jei toks yra (pareigos / kategorija ir pavardė):</w:t>
                </w:r>
              </w:p>
              <w:p>
                <w:pPr>
                  <w:rPr>
                    <w:sz w:val="10"/>
                    <w:szCs w:val="10"/>
                  </w:rPr>
                </w:pPr>
              </w:p>
              <w:p>
                <w:pPr>
                  <w:ind w:right="132"/>
                  <w:jc w:val="both"/>
                  <w:rPr>
                    <w:sz w:val="22"/>
                    <w:szCs w:val="22"/>
                  </w:rPr>
                </w:pPr>
                <w:r>
                  <w:rPr>
                    <w:sz w:val="22"/>
                    <w:szCs w:val="22"/>
                  </w:rPr>
                  <w:t>…………………………………………………………</w:t>
                </w:r>
                <w:r>
                  <w:rPr>
                    <w:szCs w:val="24"/>
                  </w:rPr>
                  <w:t>………</w:t>
                </w:r>
                <w:r>
                  <w:rPr>
                    <w:sz w:val="22"/>
                    <w:szCs w:val="22"/>
                  </w:rPr>
                  <w:t>………………………………….……………..</w:t>
                  <w:br/>
                  <w:t>Adresas: ………………………………………</w:t>
                </w:r>
                <w:r>
                  <w:rPr>
                    <w:szCs w:val="24"/>
                  </w:rPr>
                  <w:t>………</w:t>
                </w:r>
                <w:r>
                  <w:rPr>
                    <w:sz w:val="22"/>
                    <w:szCs w:val="22"/>
                  </w:rPr>
                  <w:t>…………………………………………………</w:t>
                  <w:br/>
                  <w:t>……………………………………………………………</w:t>
                </w:r>
                <w:r>
                  <w:rPr>
                    <w:szCs w:val="24"/>
                  </w:rPr>
                  <w:t>………</w:t>
                </w:r>
                <w:r>
                  <w:rPr>
                    <w:sz w:val="22"/>
                    <w:szCs w:val="22"/>
                  </w:rPr>
                  <w:t>……………………………….……………..</w:t>
                  <w:br/>
                  <w:t>Telefonas: (šalies kodas) (srities / miesto kodas) (…) ……………………………………</w:t>
                </w:r>
                <w:r>
                  <w:rPr>
                    <w:szCs w:val="24"/>
                  </w:rPr>
                  <w:t>………</w:t>
                </w:r>
                <w:r>
                  <w:rPr>
                    <w:sz w:val="22"/>
                    <w:szCs w:val="22"/>
                  </w:rPr>
                  <w:t>…………….</w:t>
                  <w:br/>
                  <w:t>Faksas: (šalies kodas) (srities / miesto kodas) (…) ………………………………………</w:t>
                </w:r>
                <w:r>
                  <w:rPr>
                    <w:szCs w:val="24"/>
                  </w:rPr>
                  <w:t>………</w:t>
                </w:r>
                <w:r>
                  <w:rPr>
                    <w:sz w:val="22"/>
                    <w:szCs w:val="22"/>
                  </w:rPr>
                  <w:t>…………….</w:t>
                  <w:br/>
                  <w:t>Elektroninis paštas: ………………………………………………………………………</w:t>
                </w:r>
                <w:r>
                  <w:rPr>
                    <w:szCs w:val="24"/>
                  </w:rPr>
                  <w:t>………</w:t>
                </w:r>
                <w:r>
                  <w:rPr>
                    <w:sz w:val="22"/>
                    <w:szCs w:val="22"/>
                  </w:rPr>
                  <w:t>……………</w:t>
                  <w:br/>
                </w:r>
              </w:p>
            </w:tc>
          </w:tr>
        </w:tbl>
        <w:p>
          <w:pPr>
            <w:rPr>
              <w:sz w:val="10"/>
              <w:szCs w:val="10"/>
            </w:rPr>
          </w:pPr>
        </w:p>
        <w:p>
          <w:pPr>
            <w:ind w:right="132"/>
            <w:jc w:val="both"/>
            <w:rPr>
              <w:sz w:val="22"/>
              <w:szCs w:val="22"/>
            </w:rPr>
          </w:pP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8"/>
          </w:tblGrid>
          <w:tr>
            <w:tc>
              <w:tcPr>
                <w:tcW w:w="10068" w:type="dxa"/>
                <w:tcBorders>
                  <w:top w:val="single" w:sz="4" w:space="0" w:color="auto"/>
                  <w:left w:val="single" w:sz="4" w:space="0" w:color="auto"/>
                  <w:bottom w:val="single" w:sz="4" w:space="0" w:color="auto"/>
                  <w:right w:val="single" w:sz="4" w:space="0" w:color="auto"/>
                </w:tcBorders>
              </w:tcPr>
              <w:p>
                <w:pPr>
                  <w:rPr>
                    <w:sz w:val="10"/>
                    <w:szCs w:val="10"/>
                  </w:rPr>
                </w:pPr>
              </w:p>
              <w:p>
                <w:pPr>
                  <w:ind w:right="132"/>
                  <w:jc w:val="both"/>
                  <w:rPr>
                    <w:sz w:val="22"/>
                    <w:szCs w:val="22"/>
                  </w:rPr>
                </w:pPr>
                <w:r>
                  <w:rPr>
                    <w:sz w:val="22"/>
                    <w:szCs w:val="22"/>
                  </w:rPr>
                  <w:t>Išduodančiosios teisminės institucijos antspaudas ir / arba jos atstovo parašas:</w:t>
                </w:r>
              </w:p>
              <w:p>
                <w:pPr>
                  <w:rPr>
                    <w:sz w:val="10"/>
                    <w:szCs w:val="10"/>
                  </w:rPr>
                </w:pPr>
              </w:p>
              <w:p>
                <w:pPr>
                  <w:ind w:right="132"/>
                  <w:jc w:val="both"/>
                  <w:rPr>
                    <w:sz w:val="22"/>
                    <w:szCs w:val="22"/>
                  </w:rPr>
                </w:pPr>
                <w:r>
                  <w:rPr>
                    <w:sz w:val="22"/>
                    <w:szCs w:val="22"/>
                  </w:rPr>
                  <w:t>………………………………………………………………………………….……………………</w:t>
                </w:r>
                <w:r>
                  <w:rPr>
                    <w:szCs w:val="24"/>
                  </w:rPr>
                  <w:t>……….</w:t>
                </w:r>
                <w:r>
                  <w:rPr>
                    <w:sz w:val="22"/>
                    <w:szCs w:val="22"/>
                  </w:rPr>
                  <w:t>….</w:t>
                  <w:br/>
                  <w:t>Pavardė: ……………………………………………………………………………………………</w:t>
                </w:r>
                <w:r>
                  <w:rPr>
                    <w:szCs w:val="24"/>
                  </w:rPr>
                  <w:t>………</w:t>
                </w:r>
                <w:r>
                  <w:rPr>
                    <w:sz w:val="22"/>
                    <w:szCs w:val="22"/>
                  </w:rPr>
                  <w:t>…..</w:t>
                  <w:br/>
                  <w:t>Einamos pareigos (pareigybė / kategorija) ……………………………………………………………</w:t>
                </w:r>
                <w:r>
                  <w:rPr>
                    <w:szCs w:val="24"/>
                  </w:rPr>
                  <w:t>………</w:t>
                </w:r>
                <w:r>
                  <w:rPr>
                    <w:sz w:val="22"/>
                    <w:szCs w:val="22"/>
                  </w:rPr>
                  <w:br/>
                  <w:t>Data: ………………………………………………………………………………………………</w:t>
                </w:r>
                <w:r>
                  <w:rPr>
                    <w:szCs w:val="24"/>
                  </w:rPr>
                  <w:t>………</w:t>
                </w:r>
                <w:r>
                  <w:rPr>
                    <w:sz w:val="22"/>
                    <w:szCs w:val="22"/>
                  </w:rPr>
                  <w:t>……</w:t>
                  <w:br/>
                </w:r>
              </w:p>
              <w:p>
                <w:pPr>
                  <w:rPr>
                    <w:sz w:val="10"/>
                    <w:szCs w:val="10"/>
                  </w:rPr>
                </w:pPr>
              </w:p>
              <w:p>
                <w:pPr>
                  <w:ind w:right="132"/>
                  <w:jc w:val="both"/>
                  <w:rPr>
                    <w:sz w:val="22"/>
                    <w:szCs w:val="22"/>
                  </w:rPr>
                </w:pPr>
                <w:r>
                  <w:rPr>
                    <w:sz w:val="22"/>
                    <w:szCs w:val="22"/>
                  </w:rPr>
                  <w:t>Oficialus antspaudas (jei toks yra)</w:t>
                </w:r>
              </w:p>
              <w:p>
                <w:pPr>
                  <w:rPr>
                    <w:sz w:val="10"/>
                    <w:szCs w:val="10"/>
                  </w:rPr>
                </w:pPr>
              </w:p>
              <w:p>
                <w:pPr>
                  <w:ind w:right="132"/>
                  <w:jc w:val="both"/>
                  <w:rPr>
                    <w:sz w:val="22"/>
                    <w:szCs w:val="22"/>
                  </w:rPr>
                </w:pPr>
              </w:p>
              <w:p>
                <w:pPr>
                  <w:rPr>
                    <w:sz w:val="10"/>
                    <w:szCs w:val="10"/>
                  </w:rPr>
                </w:pPr>
              </w:p>
              <w:p>
                <w:pPr>
                  <w:ind w:right="132"/>
                  <w:jc w:val="both"/>
                  <w:rPr>
                    <w:sz w:val="22"/>
                    <w:szCs w:val="22"/>
                  </w:rPr>
                </w:pPr>
              </w:p>
              <w:p>
                <w:pPr>
                  <w:rPr>
                    <w:sz w:val="10"/>
                    <w:szCs w:val="10"/>
                  </w:rPr>
                </w:pPr>
              </w:p>
              <w:p>
                <w:pPr>
                  <w:ind w:right="132"/>
                  <w:jc w:val="both"/>
                  <w:rPr>
                    <w:sz w:val="22"/>
                    <w:szCs w:val="22"/>
                  </w:rPr>
                </w:pPr>
              </w:p>
            </w:tc>
          </w:tr>
        </w:tbl>
        <w:p>
          <w:pPr>
            <w:rPr>
              <w:b/>
              <w:szCs w:val="22"/>
            </w:rPr>
          </w:pPr>
        </w:p>
      </w:sdtContent>
    </w:sdt>
    <w:sdt>
      <w:sdtPr>
        <w:alias w:val="2 pr."/>
        <w:tag w:val="part_da76ddcdc859410f9172b6e7b785cca0"/>
        <w:lock w:val="sdtLocked"/>
        <w:richText/>
      </w:sdtPr>
      <w:sdtContent>
        <w:p>
          <w:pPr>
            <w:ind w:left="6096"/>
            <w:sectPr>
              <w:headerReference w:type="even" r:id="rId15"/>
              <w:headerReference w:type="default" r:id="rId16"/>
              <w:footerReference w:type="even" r:id="rId17"/>
              <w:footerReference w:type="default" r:id="rId18"/>
              <w:headerReference w:type="first" r:id="rId19"/>
              <w:footerReference w:type="first" r:id="rId20"/>
              <w:pgSz w:w="11907" w:h="16839"/>
              <w:pgMar w:top="1134" w:right="567" w:bottom="1134" w:left="1701" w:header="567" w:footer="567" w:gutter="0"/>
              <w:cols w:space="1296"/>
              <w:titlePg/>
              <w:docGrid w:linePitch="360"/>
            </w:sectPr>
          </w:pPr>
        </w:p>
        <w:p>
          <w:pPr>
            <w:ind w:left="6096"/>
            <w:rPr>
              <w:szCs w:val="24"/>
              <w:lang w:eastAsia="lt-LT"/>
            </w:rPr>
          </w:pPr>
          <w:r>
            <w:rPr>
              <w:szCs w:val="24"/>
              <w:lang w:eastAsia="lt-LT"/>
            </w:rPr>
            <w:t>Europos arešto orderio</w:t>
          </w:r>
        </w:p>
        <w:p>
          <w:pPr>
            <w:ind w:left="6096"/>
            <w:rPr>
              <w:szCs w:val="24"/>
              <w:lang w:eastAsia="lt-LT"/>
            </w:rPr>
          </w:pPr>
          <w:r>
            <w:rPr>
              <w:szCs w:val="24"/>
              <w:lang w:eastAsia="lt-LT"/>
            </w:rPr>
            <w:t xml:space="preserve">išdavimo ir asmens perėmimo pagal </w:t>
          </w:r>
        </w:p>
        <w:p>
          <w:pPr>
            <w:ind w:left="6096"/>
            <w:rPr>
              <w:szCs w:val="24"/>
              <w:lang w:eastAsia="lt-LT"/>
            </w:rPr>
          </w:pPr>
          <w:r>
            <w:rPr>
              <w:szCs w:val="24"/>
              <w:lang w:eastAsia="lt-LT"/>
            </w:rPr>
            <w:t>Europos arešto orderį taisyklių</w:t>
          </w:r>
        </w:p>
        <w:p>
          <w:pPr>
            <w:ind w:left="6096"/>
            <w:rPr>
              <w:szCs w:val="24"/>
              <w:lang w:eastAsia="lt-LT"/>
            </w:rPr>
          </w:pPr>
          <w:sdt>
            <w:sdtPr>
              <w:alias w:val="Numeris"/>
              <w:tag w:val="nr_da76ddcdc859410f9172b6e7b785cca0"/>
              <w:lock w:val="sdtLocked"/>
              <w:richText/>
            </w:sdtPr>
            <w:sdtContent>
              <w:r>
                <w:rPr>
                  <w:szCs w:val="24"/>
                  <w:lang w:eastAsia="lt-LT"/>
                </w:rPr>
                <w:t>2</w:t>
              </w:r>
            </w:sdtContent>
          </w:sdt>
          <w:r>
            <w:rPr>
              <w:szCs w:val="24"/>
              <w:lang w:eastAsia="lt-LT"/>
            </w:rPr>
            <w:t xml:space="preserve"> priedas</w:t>
          </w:r>
        </w:p>
        <w:p>
          <w:pPr>
            <w:jc w:val="right"/>
            <w:rPr>
              <w:szCs w:val="24"/>
              <w:lang w:eastAsia="lt-LT"/>
            </w:rPr>
          </w:pPr>
        </w:p>
        <w:p>
          <w:pPr>
            <w:jc w:val="center"/>
            <w:rPr>
              <w:b/>
              <w:sz w:val="22"/>
              <w:szCs w:val="24"/>
              <w:lang w:eastAsia="lt-LT"/>
            </w:rPr>
          </w:pPr>
          <w:sdt>
            <w:sdtPr>
              <w:alias w:val="Pavadinimas"/>
              <w:tag w:val="title_da76ddcdc859410f9172b6e7b785cca0"/>
              <w:lock w:val="sdtLocked"/>
              <w:richText/>
            </w:sdtPr>
            <w:sdtContent>
              <w:r>
                <w:rPr>
                  <w:b/>
                  <w:sz w:val="22"/>
                  <w:szCs w:val="24"/>
                  <w:lang w:eastAsia="lt-LT"/>
                </w:rPr>
                <w:t>LIETUVOS RESPUBLIKOS BAUDŽIAMAJAME KODEKSE NUMATYTŲ NUSIKALTIMŲ, KURIEMS NETAIKYTINA ABIPUSIO BAUDŽIAMUMO TAISYKLĖ, REKOMENDACINĖ LENTELĖ</w:t>
              </w:r>
            </w:sdtContent>
          </w:sdt>
        </w:p>
        <w:p>
          <w:pPr>
            <w:ind w:firstLine="900"/>
            <w:jc w:val="right"/>
            <w:rPr>
              <w:b/>
              <w:sz w:val="22"/>
              <w:szCs w:val="24"/>
              <w:lang w:eastAsia="lt-LT"/>
            </w:rPr>
          </w:pPr>
        </w:p>
        <w:p>
          <w:pPr>
            <w:tabs>
              <w:tab w:val="left" w:pos="2085"/>
            </w:tabs>
            <w:ind w:firstLine="900"/>
            <w:jc w:val="both"/>
            <w:rPr>
              <w:sz w:val="20"/>
              <w:szCs w:val="24"/>
              <w:lang w:eastAsia="lt-LT"/>
            </w:rPr>
          </w:pPr>
          <w:r>
            <w:rPr>
              <w:sz w:val="20"/>
              <w:szCs w:val="24"/>
              <w:lang w:eastAsia="lt-LT"/>
            </w:rPr>
            <w:t>1.</w:t>
            <w:tab/>
            <w:t>Atsižvelgiant į 2002 m. birželio 13 d. Tarybos pagrindų sprendimo 2002/584/TVR dėl Europos arešto orderio ir valstybių narių tarpusavio perdavimo procedūrų 2 straipsnio 2 dalyje išvardytas nusikalstamų veikų rūšis, kurioms netaikoma abipusio baudžiamumo taisyklė, jeigu už šias nusikalstamas veikas Europos arešto orderį išduodančios valstybės įstatymai numato trejų metų ar didesnę laisvės atėmimo bausmę, tokioms nusikalstamoms veikoms prilygintini šie Lietuvos Respublikos baudžiamajame kodekse numatyti nusikaltimai:</w:t>
          </w:r>
        </w:p>
        <w:p>
          <w:pPr>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32"/>
            <w:gridCol w:w="4923"/>
          </w:tblGrid>
          <w:tr>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2002 m. birželio 13 d. Tarybos pagrindų sprendimo 2002/584/TVR dėl Europos arešto orderio ir valstybių narių tarpusavio perdavimo procedūrų 2 straipsnio 2 dalyje nurodyta nusikalstama veika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b/>
                    <w:sz w:val="16"/>
                    <w:szCs w:val="24"/>
                  </w:rPr>
                </w:pPr>
                <w:r>
                  <w:rPr>
                    <w:b/>
                    <w:sz w:val="16"/>
                    <w:szCs w:val="24"/>
                  </w:rPr>
                  <w:t>Lietuvos Respublikos baudžiamojo kodekso (toliau – BK) straipsnis, numatantis ją atitinkantį nusikaltimą, už kurį nustatyta trejų metų ar didesnė laisvės atėmimo bausmė</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Dalyvavimas nusikalstamame organizuotame susivienijime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121, 249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Terorizmas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teroristiniai ir su teroristine veikla susiję nusikaltimai, kaip apibrėžta BK 252</w:t>
                </w:r>
                <w:r>
                  <w:rPr>
                    <w:sz w:val="16"/>
                    <w:szCs w:val="24"/>
                    <w:vertAlign w:val="superscript"/>
                  </w:rPr>
                  <w:t>1</w:t>
                </w:r>
                <w:r>
                  <w:rPr>
                    <w:sz w:val="16"/>
                    <w:szCs w:val="24"/>
                  </w:rPr>
                  <w:t xml:space="preserve"> str. 1 ir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žmonėmis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147, 157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Seksualinis vaikų išnaudojimas ir vaikų pornografija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149 str. 3–4 d., 150 str. 3–4 d., 151 str. 2 d., 151</w:t>
                </w:r>
                <w:r>
                  <w:rPr>
                    <w:sz w:val="16"/>
                    <w:szCs w:val="24"/>
                    <w:vertAlign w:val="superscript"/>
                  </w:rPr>
                  <w:t>1</w:t>
                </w:r>
                <w:r>
                  <w:rPr>
                    <w:sz w:val="16"/>
                    <w:szCs w:val="24"/>
                  </w:rPr>
                  <w:t xml:space="preserve"> str., 162 str., 307 str. 3 d., 308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narkotikais ir psichotropinėmis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260–263, 265, 266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ginklais, šaudmenimis ir sprogmenimis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253, 254 str., 267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Korupcija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225–228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Sukčiavimas, įskaitant sukčiavimą, kuris turi poveikį Europos Bendrijų finansiniams interesams, kaip apibrėžta 1995 m. liepos 26 d. Konvencijoje dėl Europos Bendrijų finansinių interesų apsaugos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182 str. 1–2 d., 206 str. 2 d., 207 str., 219 str. 1–2 d., 220 str. 2 d., </w:t>
                  <w:br/>
                  <w:t xml:space="preserve">221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Nusikalstamu būdu įgytų pinigų plovimas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189 str. 2 d., 216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Valiutos, įskaitant eurą,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213 str. 1–2 ir 4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Nusikaltimai informatikai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196–198 str., 198</w:t>
                </w:r>
                <w:r>
                  <w:rPr>
                    <w:sz w:val="16"/>
                    <w:szCs w:val="24"/>
                    <w:vertAlign w:val="superscript"/>
                  </w:rPr>
                  <w:t>1</w:t>
                </w:r>
                <w:r>
                  <w:rPr>
                    <w:sz w:val="16"/>
                    <w:szCs w:val="24"/>
                  </w:rPr>
                  <w:t xml:space="preserve"> str. 2 d., 198</w:t>
                </w:r>
                <w:r>
                  <w:rPr>
                    <w:sz w:val="16"/>
                    <w:szCs w:val="24"/>
                    <w:vertAlign w:val="superscript"/>
                  </w:rPr>
                  <w:t>2</w:t>
                </w:r>
                <w:r>
                  <w:rPr>
                    <w:sz w:val="16"/>
                    <w:szCs w:val="24"/>
                  </w:rPr>
                  <w:t xml:space="preserve">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Ekologiniai nusikaltimai, įskaitant neteisėtą prekybą nykstančiomis gyvūnų ir augalų rūšimis bei veislėmis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270 str., 270</w:t>
                </w:r>
                <w:r>
                  <w:rPr>
                    <w:sz w:val="16"/>
                    <w:szCs w:val="24"/>
                    <w:vertAlign w:val="superscript"/>
                  </w:rPr>
                  <w:t>2</w:t>
                </w:r>
                <w:r>
                  <w:rPr>
                    <w:sz w:val="16"/>
                    <w:szCs w:val="24"/>
                  </w:rPr>
                  <w:t xml:space="preserve"> str. 2 d., 271 str., 272 str. 2–3 d., 274 str. 1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Pagalba siekiant neteisėtai patekti į šalį ir apsigyventi joje</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292, 293 str., taip pat BK 307 str. 2–3 d., kiek jos susijusios su neteisėtu valstybės sienos perėjimu arba neteisėtu apsigyvenimu ar darbu Lietuvoje ar užsienio valstybėje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Tyčinis nužudymas, sunkus sveikatos sutrikdymas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115, 116, 129, 130, 131, 135, 136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Neteisėta prekyba žmogaus organais ir audiniais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129 str. 2 d. 12 p., 135 str. 2 d. 12 p., 138 str. 2 d. 12 p., kiti nusikaltimai, tiesiogiai susiję su neteisėta prekyba žmogaus organais ar audiniais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Žmonių grobimas, neteisėtas laisvės atėmimas ir įkaitų ėmimas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146, 156, 252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rPr>
                </w:pPr>
                <w:r>
                  <w:rPr>
                    <w:sz w:val="16"/>
                    <w:szCs w:val="24"/>
                  </w:rPr>
                  <w:t>Rasizmas ir ksenofobija</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169 str., 170 str. 3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Organizuotas arba ginkluotas apiplėšimas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180 str. 2–3 d., jei tai padaryta panaudojant šaunamąjį ginklą, nešaunamąjį ginklą, peilį ar kitą žmogui specialiai sužaloti pritaikytą daiktą arba jeigu tai padaryta dalyvaujant organizuotoje grupėje</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kultūros vertybėmis, įskaitant antikvarines vertybes ir meno kūrinius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178, 183, 199 str. ir kiti nusikaltimai, tiesiogiai susiję su neteisėtu disponavimu didelę istorinę ar kultūrinę reikšmę turinčiomis vertybėmis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Sukčiavimas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182 str. 1–2 d., 207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Reketavimas ir turto prievartavimas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181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Gaminių klastojimas ir piratavimas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192 str. 2 d.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Administracinių dokumentų padirbinėjimas ir prekyba jais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300–302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Mokėjimo instrumentų padirbinėjimas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214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hormoninėmis medžiagomis ir kitomis augimo skatinimo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 prekyba branduolinėmis ir radioaktyviomis medžiagomis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256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Prekyba vogtais automobiliais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189 str., kiek tai susiję su prekyba vogtais automobiliais</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Išžaginimas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 xml:space="preserve">BK 149–150 str. </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Padegimas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187 str. 2 d., kiek tai susiję su padegimu</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Tarptautiniam baudžiamajam teismui teismingi nusikaltimai</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99–113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Neteisėtas orlaivių/laivų užgrobimas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251 str.</w:t>
                </w:r>
              </w:p>
            </w:tc>
          </w:tr>
          <w:tr>
            <w:tc>
              <w:tcPr>
                <w:tcW w:w="5094"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spacing w:line="254" w:lineRule="auto"/>
                  <w:rPr>
                    <w:sz w:val="16"/>
                    <w:szCs w:val="24"/>
                    <w:lang w:val="en-GB"/>
                  </w:rPr>
                </w:pPr>
                <w:r>
                  <w:rPr>
                    <w:sz w:val="16"/>
                    <w:szCs w:val="24"/>
                  </w:rPr>
                  <w:t>Sabotažas</w:t>
                </w:r>
              </w:p>
            </w:tc>
            <w:tc>
              <w:tcPr>
                <w:tcW w:w="5094" w:type="dxa"/>
                <w:tcBorders>
                  <w:top w:val="single" w:sz="4" w:space="0" w:color="auto"/>
                  <w:left w:val="single" w:sz="4" w:space="0" w:color="auto"/>
                  <w:bottom w:val="single" w:sz="4" w:space="0" w:color="auto"/>
                  <w:right w:val="single" w:sz="4" w:space="0" w:color="auto"/>
                </w:tcBorders>
                <w:vAlign w:val="center"/>
                <w:hideMark/>
              </w:tcPr>
              <w:p>
                <w:pPr>
                  <w:spacing w:line="254" w:lineRule="auto"/>
                  <w:rPr>
                    <w:sz w:val="16"/>
                    <w:szCs w:val="24"/>
                  </w:rPr>
                </w:pPr>
                <w:r>
                  <w:rPr>
                    <w:sz w:val="16"/>
                    <w:szCs w:val="24"/>
                  </w:rPr>
                  <w:t>BK 114, 118 str.</w:t>
                </w:r>
              </w:p>
            </w:tc>
          </w:tr>
        </w:tbl>
        <w:p>
          <w:pPr>
            <w:tabs>
              <w:tab w:val="left" w:pos="2085"/>
            </w:tabs>
            <w:ind w:firstLine="900"/>
            <w:jc w:val="both"/>
            <w:rPr>
              <w:sz w:val="20"/>
              <w:szCs w:val="24"/>
              <w:lang w:eastAsia="lt-LT"/>
            </w:rPr>
          </w:pPr>
          <w:r>
            <w:rPr>
              <w:sz w:val="20"/>
              <w:szCs w:val="24"/>
              <w:lang w:eastAsia="lt-LT"/>
            </w:rPr>
            <w:t>2.</w:t>
            <w:tab/>
            <w:t xml:space="preserve">Pasikeitus Lietuvos Respublikos baudžiamojo kodekso ar 2002 m. birželio 13 d. Tarybos pagrindų sprendimo 2002/584/TVR dėl Europos arešto orderio ir valstybių narių tarpusavio perdavimo procedūrų 2 straipsnio 2 dalies nuostatoms, taikytinos atitinkamos šių teisės aktų nuostatos. </w:t>
          </w:r>
        </w:p>
        <w:p/>
        <w:p>
          <w:pPr>
            <w:spacing w:line="256" w:lineRule="auto"/>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generalinis prokuroras,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E344C079B">
            <w:r w:rsidRPr="00532B9F">
              <w:rPr>
                <w:rFonts w:ascii="Times New Roman" w:eastAsia="MS Mincho" w:hAnsi="Times New Roman"/>
                <w:sz w:val="20"/>
                <w:iCs/>
                <w:color w:val="0000FF" w:themeColor="hyperlink"/>
                <w:u w:val="single"/>
              </w:rPr>
              <w:t>1R-312/I-140</w:t>
            </w:r>
          </w:fldSimple>
          <w:r>
            <w:rPr>
              <w:rFonts w:ascii="Times New Roman" w:eastAsia="MS Mincho" w:hAnsi="Times New Roman"/>
              <w:sz w:val="20"/>
              <w:iCs/>
            </w:rPr>
            <w:t>,
2009-10-07,
Žin., 2009, Nr.
122-5263 (2009-10-13), i. k. 1092270ISAK12/I-140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5ee07d3e11e390d3a9e74c4ac9d0">
            <w:r w:rsidRPr="00532B9F">
              <w:rPr>
                <w:rFonts w:ascii="Times New Roman" w:eastAsia="MS Mincho" w:hAnsi="Times New Roman"/>
                <w:sz w:val="20"/>
                <w:iCs/>
                <w:color w:val="0000FF" w:themeColor="hyperlink"/>
                <w:u w:val="single"/>
              </w:rPr>
              <w:t>1R-313/I-331</w:t>
            </w:r>
          </w:fldSimple>
          <w:r>
            <w:rPr>
              <w:rFonts w:ascii="Times New Roman" w:eastAsia="MS Mincho" w:hAnsi="Times New Roman"/>
              <w:sz w:val="20"/>
              <w:iCs/>
            </w:rPr>
            <w:t>,
2013-12-27,
paskelbta TAR 2013-12-31, i. k. 2013-00334                </w:t>
          </w:r>
        </w:p>
        <w:p>
          <w:pPr>
            <w:jc w:val="both"/>
            <w:rPr>
              <w:rFonts w:ascii="Times New Roman" w:hAnsi="Times New Roman"/>
            </w:rPr>
          </w:pPr>
          <w:r>
            <w:rPr>
              <w:rFonts w:ascii="Times New Roman" w:hAnsi="Times New Roman"/>
              <w:sz w:val="20"/>
            </w:rPr>
            <w:t>Dėl teisingumo ministro ir generalinio prokuroro 2004 m. rugpjūčio 28 d. įsakymo Nr. 1R-195/I-114 "Dėl Europos arešto orderio išdavimo ir asmens perėmimo pagal Europos arešto orderį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204b707cbe11e7827cd63159af616c">
            <w:r w:rsidRPr="00532B9F">
              <w:rPr>
                <w:rFonts w:ascii="Times New Roman" w:eastAsia="MS Mincho" w:hAnsi="Times New Roman"/>
                <w:sz w:val="20"/>
                <w:iCs/>
                <w:color w:val="0000FF" w:themeColor="hyperlink"/>
                <w:u w:val="single"/>
              </w:rPr>
              <w:t>1R-202/I-274</w:t>
            </w:r>
          </w:fldSimple>
          <w:r>
            <w:rPr>
              <w:rFonts w:ascii="Times New Roman" w:eastAsia="MS Mincho" w:hAnsi="Times New Roman"/>
              <w:sz w:val="20"/>
              <w:iCs/>
            </w:rPr>
            <w:t>,
2017-08-07,
paskelbta TAR 2017-08-09, i. k. 2017-13195                </w:t>
          </w:r>
        </w:p>
        <w:p>
          <w:pPr>
            <w:jc w:val="both"/>
            <w:rPr>
              <w:rFonts w:ascii="Times New Roman" w:hAnsi="Times New Roman"/>
            </w:rPr>
          </w:pPr>
          <w:r>
            <w:rPr>
              <w:rFonts w:ascii="Times New Roman" w:hAnsi="Times New Roman"/>
              <w:sz w:val="20"/>
            </w:rPr>
            <w:t>Dėl teisingumo ministro ir generalinio prokuroro 2004 m. rugpjūčio 26 d. įsakymo Nr. 1R-195/I-114 „Dėl Europos arešto orderio išdavimo ir asmens perėmimo pagal Europos arešto orderį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 w:id="1">
    <w:p>
      <w:pPr>
        <w:rPr>
          <w:sz w:val="20"/>
        </w:rPr>
      </w:pPr>
      <w:r>
        <w:rPr>
          <w:sz w:val="20"/>
        </w:rPr>
        <w:t>(</w:t>
      </w:r>
      <w:r>
        <w:rPr>
          <w:sz w:val="20"/>
          <w:vertAlign w:val="superscript"/>
        </w:rPr>
        <w:t>1</w:t>
      </w:r>
      <w:r>
        <w:rPr>
          <w:sz w:val="20"/>
        </w:rPr>
        <w:t>) Įvairiomis kalbomis nurodomas teisminius įgaliojimus turintis asmuo.</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F9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2473CB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1076556">
      <w:bodyDiv w:val="1"/>
      <w:marLeft w:val="0"/>
      <w:marRight w:val="0"/>
      <w:marTop w:val="0"/>
      <w:marBottom w:val="0"/>
      <w:divBdr>
        <w:top w:val="none" w:sz="0" w:space="0" w:color="auto"/>
        <w:left w:val="none" w:sz="0" w:space="0" w:color="auto"/>
        <w:bottom w:val="none" w:sz="0" w:space="0" w:color="auto"/>
        <w:right w:val="none" w:sz="0" w:space="0" w:color="auto"/>
      </w:divBdr>
    </w:div>
    <w:div w:id="192496702">
      <w:bodyDiv w:val="1"/>
      <w:marLeft w:val="0"/>
      <w:marRight w:val="0"/>
      <w:marTop w:val="0"/>
      <w:marBottom w:val="0"/>
      <w:divBdr>
        <w:top w:val="none" w:sz="0" w:space="0" w:color="auto"/>
        <w:left w:val="none" w:sz="0" w:space="0" w:color="auto"/>
        <w:bottom w:val="none" w:sz="0" w:space="0" w:color="auto"/>
        <w:right w:val="none" w:sz="0" w:space="0" w:color="auto"/>
      </w:divBdr>
    </w:div>
    <w:div w:id="214893975">
      <w:bodyDiv w:val="1"/>
      <w:marLeft w:val="0"/>
      <w:marRight w:val="0"/>
      <w:marTop w:val="0"/>
      <w:marBottom w:val="0"/>
      <w:divBdr>
        <w:top w:val="none" w:sz="0" w:space="0" w:color="auto"/>
        <w:left w:val="none" w:sz="0" w:space="0" w:color="auto"/>
        <w:bottom w:val="none" w:sz="0" w:space="0" w:color="auto"/>
        <w:right w:val="none" w:sz="0" w:space="0" w:color="auto"/>
      </w:divBdr>
    </w:div>
    <w:div w:id="394544441">
      <w:bodyDiv w:val="1"/>
      <w:marLeft w:val="0"/>
      <w:marRight w:val="0"/>
      <w:marTop w:val="0"/>
      <w:marBottom w:val="0"/>
      <w:divBdr>
        <w:top w:val="none" w:sz="0" w:space="0" w:color="auto"/>
        <w:left w:val="none" w:sz="0" w:space="0" w:color="auto"/>
        <w:bottom w:val="none" w:sz="0" w:space="0" w:color="auto"/>
        <w:right w:val="none" w:sz="0" w:space="0" w:color="auto"/>
      </w:divBdr>
    </w:div>
    <w:div w:id="653685633">
      <w:bodyDiv w:val="1"/>
      <w:marLeft w:val="0"/>
      <w:marRight w:val="0"/>
      <w:marTop w:val="0"/>
      <w:marBottom w:val="0"/>
      <w:divBdr>
        <w:top w:val="none" w:sz="0" w:space="0" w:color="auto"/>
        <w:left w:val="none" w:sz="0" w:space="0" w:color="auto"/>
        <w:bottom w:val="none" w:sz="0" w:space="0" w:color="auto"/>
        <w:right w:val="none" w:sz="0" w:space="0" w:color="auto"/>
      </w:divBdr>
    </w:div>
    <w:div w:id="1477334043">
      <w:bodyDiv w:val="1"/>
      <w:marLeft w:val="0"/>
      <w:marRight w:val="0"/>
      <w:marTop w:val="0"/>
      <w:marBottom w:val="0"/>
      <w:divBdr>
        <w:top w:val="none" w:sz="0" w:space="0" w:color="auto"/>
        <w:left w:val="none" w:sz="0" w:space="0" w:color="auto"/>
        <w:bottom w:val="none" w:sz="0" w:space="0" w:color="auto"/>
        <w:right w:val="none" w:sz="0" w:space="0" w:color="auto"/>
      </w:divBdr>
    </w:div>
    <w:div w:id="1529950695">
      <w:bodyDiv w:val="1"/>
      <w:marLeft w:val="0"/>
      <w:marRight w:val="0"/>
      <w:marTop w:val="0"/>
      <w:marBottom w:val="0"/>
      <w:divBdr>
        <w:top w:val="none" w:sz="0" w:space="0" w:color="auto"/>
        <w:left w:val="none" w:sz="0" w:space="0" w:color="auto"/>
        <w:bottom w:val="none" w:sz="0" w:space="0" w:color="auto"/>
        <w:right w:val="none" w:sz="0" w:space="0" w:color="auto"/>
      </w:divBdr>
    </w:div>
    <w:div w:id="1672634596">
      <w:bodyDiv w:val="1"/>
      <w:marLeft w:val="0"/>
      <w:marRight w:val="0"/>
      <w:marTop w:val="0"/>
      <w:marBottom w:val="0"/>
      <w:divBdr>
        <w:top w:val="none" w:sz="0" w:space="0" w:color="auto"/>
        <w:left w:val="none" w:sz="0" w:space="0" w:color="auto"/>
        <w:bottom w:val="none" w:sz="0" w:space="0" w:color="auto"/>
        <w:right w:val="none" w:sz="0" w:space="0" w:color="auto"/>
      </w:divBdr>
    </w:div>
    <w:div w:id="1752195884">
      <w:bodyDiv w:val="1"/>
      <w:marLeft w:val="0"/>
      <w:marRight w:val="0"/>
      <w:marTop w:val="0"/>
      <w:marBottom w:val="0"/>
      <w:divBdr>
        <w:top w:val="none" w:sz="0" w:space="0" w:color="auto"/>
        <w:left w:val="none" w:sz="0" w:space="0" w:color="auto"/>
        <w:bottom w:val="none" w:sz="0" w:space="0" w:color="auto"/>
        <w:right w:val="none" w:sz="0" w:space="0" w:color="auto"/>
      </w:divBdr>
    </w:div>
    <w:div w:id="2058893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2.wmf"/>
  <Relationship Id="rId14" Type="http://schemas.openxmlformats.org/officeDocument/2006/relationships/control" Target="activeX/activeX2.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www3.lrs.lt/cgi-bin/preps2?a=111555&amp;b="/>
  <Relationship Id="rId5" Type="http://schemas.openxmlformats.org/officeDocument/2006/relationships/hyperlink" TargetMode="External" Target="http://www3.lrs.lt/cgi-bin/preps2?a=163482&amp;b="/>
  <Relationship Id="rId6" Type="http://schemas.openxmlformats.org/officeDocument/2006/relationships/hyperlink" TargetMode="External" Target="https://www.e-tar.lt/portal/lt/legalAct/TAR.795F9BE0DF6E"/>
  <Relationship Id="rId7" Type="http://schemas.openxmlformats.org/officeDocument/2006/relationships/hyperlink" TargetMode="External" Target="https://www.e-tar.lt/portal/lt/legalAct/TAR.EC588C321777"/>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5b89ec39a944d6a0849e28d94be202" PartId="3cf47fd2fb4b4abb8e3dd1b8019bbca6">
    <Part Type="preambule" DocPartId="d1377daf2c0f4ba8ae27cdc174752e7f" PartId="f77e231f62fb462691dca7710ff3d7e0"/>
    <Part Type="punktas" Nr="1" Abbr="1 p." DocPartId="c7396ad4097e4f4488d5de75c124f024" PartId="5fa36cef9e8f4bcba93b74ff0a17f515"/>
    <Part Type="punktas" Nr="2" Abbr="2 p." DocPartId="b8e03e9f14884ef7bd3811c05e02f101" PartId="ee55e8676ae64cd68ff725864d83fc5e"/>
    <Part Type="signatura" DocPartId="f0def9bd53f64eb59eebcc66834ea797" PartId="121fc60dbf4c483d9a04cbd2b92f17ab"/>
  </Part>
  <Part Type="patvirtinta" Title="EUROPOS AREŠTO ORDERIO IŠDAVIMO IR ASMENS PERĖMIMO PAGAL EUROPOS AREŠTO ORDERĮ TAISYKLĖS" DocPartId="db79904d1ac3454d98a3254dcc52b2e8" PartId="8f2e1048953d4478859c8f8908ab3a48">
    <Part Type="skyrius" Nr="1" Title="„I SKYRIUS BENDROSIOS NUOSTATOS“." DocPartId="65c8f0ed258e4717bebe30ecce1b3bd3" PartId="0623843604fa4ec9a84e27a5eaba19e9">
      <Part Type="punktas" Nr="1" Abbr="1 p." DocPartId="3f3e8d46d8de411880b3b74509e7df96" PartId="a462f21539e74e098a4b00c784de6445"/>
      <Part Type="punktas" Nr="2" Abbr="2 p." DocPartId="f2c1e8df25bf49a492b704e4abc91126" PartId="6b75bdfcc10d46ce979bbd96998962d7"/>
      <Part Type="punktas" Nr="3" Abbr="3 p." DocPartId="f47e7258502549b3bcf392e85f95e406" PartId="f7014f5fceb24cb0b872508176643818"/>
      <Part Type="punktas" Nr="4" Abbr="4 p." DocPartId="838cacad0f544d32ae6b3f1027011646" PartId="42b3d59d0e8a4ae19f5ae16cda208e07">
        <Part Type="punktas" Nr="4.1" Abbr="4.1 p." DocPartId="40e276f553b442c69b041d2afc44317d" PartId="91bdd34769bc41a2a77b0ae9c95d4875"/>
        <Part Type="punktas" Nr="4.2" Abbr="4.2 p." DocPartId="972919b38cb841caab02a62bbccf7c90" PartId="9ea9b4fd0c8a4c7388060b5b27e51ad7"/>
        <Part Type="punktas" Nr="4.3" Abbr="4.3 p." DocPartId="d3747d86b69948b59f4edd12d40fe446" PartId="27dad8021a974189bd0494d7bb3f725d"/>
        <Part Type="punktas" Nr="4.4" Abbr="4.4 p." DocPartId="3e9f3a6296954b17bc471ec89193d733" PartId="73141c2c3ca84568a24891dbdae4856d"/>
        <Part Type="punktas" Nr="4.5" Abbr="4.5 p." DocPartId="cc22f73c0f524603bf9d97f04f809843" PartId="f4fa3b9b85624770aa0fdda5596b1066"/>
      </Part>
      <Part Type="punktas" Nr="5" Abbr="5 p." DocPartId="ffb2ae91bb854404bf5cf926f1b9e88a" PartId="7fce506e696c4b84af9400bad882fa31">
        <Part Type="punktas" Nr="5.1" Abbr="5.1 p." DocPartId="ff27750b7534499faa270cc1eea8965f" PartId="b0c2978e89e54328af8def7233a7f1fe"/>
        <Part Type="punktas" Nr="5.2" Abbr="5.2 p." DocPartId="f393446fbf8444dcbf39e5ad3040139a" PartId="9bd804cee70740c1bcc4d8688afa9286"/>
        <Part Type="punktas" Nr="5.3" Abbr="5.3 p." DocPartId="0cd0c8569c2e49458da235c462716f4d" PartId="e73aa2034af546dd9ee88860df95e0cd"/>
      </Part>
    </Part>
    <Part Type="skyrius" Nr="2" Title="„II SKYRIUS  KREIPIMASIS DĖL EUROPOS AREŠTO ORDERIO IŠDAVIMO“." DocPartId="dac330a87a614037905ce95ea934fc6f" PartId="ba1e7999cdb74eeb87a29490481b80f3">
      <Part Type="punktas" Nr="6" Abbr="6 p." DocPartId="78e4e34645134614a1b9a09922b9d701" PartId="90cf132f4bfd4ed099ccbb4b15e9047a"/>
      <Part Type="punktas" Nr="7" Abbr="7 p." DocPartId="88dcd49a1508417eab312a6377342c61" PartId="88d74309e5194507a14e4965b688b54f"/>
      <Part Type="punktas" Nr="8" Abbr="8 p." DocPartId="a364d259b01b4592bddead6d00d09c72" PartId="e24cf871ca6d4896a36b31644334f5bb"/>
      <Part Type="punktas" Nr="9" Abbr="9 p." DocPartId="4adc23e780824fad970946e4a8644845" PartId="d652e618715c4c6b90a8bb8c88b4ef11"/>
      <Part Type="punktas" Nr="10" Abbr="10 p." DocPartId="93e9e3941cd94f7eb490d92421f48ba9" PartId="6e90788bbb394023812a4dfae29d61bf"/>
      <Part Type="punktas" Nr="11" Abbr="11 p." DocPartId="38484538a3d94292aa4beeb06963e90f" PartId="9ed2b5cabc2e4db5909c36abc4744f0e"/>
    </Part>
    <Part Type="skyrius" Nr="3" Title="„III SKYRIUS  EUROPOS AREŠTO ORDERIO IŠDAVIMAS“." DocPartId="0bbd932c8eaf4489856424d11fd06cb5" PartId="5fbd67a01f6340819a76e50936798620">
      <Part Type="punktas" Nr="12" Abbr="12 p." DocPartId="98206c7a357349c08db3ce635c0a7a2b" PartId="d331f6e705d84c38b967565b55948a7a"/>
      <Part Type="punktas" Nr="13" Abbr="13 p." DocPartId="0437686322c242cb8b2b6f16b175dadd" PartId="56cfec31801e421ab0cdbf56ae0976d6"/>
      <Part Type="punktas" Nr="14" Abbr="14 p." DocPartId="feb42b72a09342c1b687559cb911dda8" PartId="e92bcdb9939045439530d9bea66af004"/>
      <Part Type="punktas" Nr="15" Abbr="15 p." DocPartId="d40d2b2304ad45a184327315cad9d376" PartId="2fdb482af7584ffbb6df8dd424f068fe"/>
      <Part Type="punktas" Nr="16" Abbr="16 p." DocPartId="9ac0fb5948554fcf9b2351719ce925fa" PartId="f7ae10bea5b048d7b191f06cf3fa64c9"/>
      <Part Type="punktas" Nr="17" Abbr="17 p." DocPartId="27d2945cb0224095956fa143a8a3005c" PartId="2fb9de6accb44b6683aca58b904910fe"/>
      <Part Type="punktas" Nr="18" Abbr="18 p." DocPartId="865bf57737b34052932d70c35e47b5dd" PartId="abc163d6565e4872aab76398c7b540c7"/>
    </Part>
    <Part Type="skyrius" Nr="4" Title="„IV SKYRIUS  EUROPOS AREŠTO ORDERIO PERDAVIMAS UŽSIENIO VALSTYBĖS KOMPETENTINGOMS INSTITUCIJOMS. PRAŠOMO ASMENS PERĖMIMAS IŠ UŽSIENIO VALSTYBĖS“." DocPartId="175e22ffbaa44805bda61c5b2c137d91" PartId="3388111191f343f299360c9c2a9008d6">
      <Part Type="punktas" Nr="19" Abbr="19 p." DocPartId="cff5de883e344507ba179f8ecafab196" PartId="3f6bd824a9084952baf81afaac26b073">
        <Part Type="punktas" Nr="19.1" Abbr="19.1 p." DocPartId="5285188584204bd18276b2ea0d793677" PartId="6b496aa1542f42f4b680e54fc3ca312a"/>
        <Part Type="punktas" Nr="19.2" Abbr="19.2 p." DocPartId="b154c8dbae404786b24f8f20a02d212e" PartId="9c9aef790651483ba036f93bcc5552ba"/>
      </Part>
      <Part Type="punktas" Nr="20" Abbr="20 p." DocPartId="133b7e3d136741f5824526a2b55521e6" PartId="bbae5b5a014448909ca92e27a7f9312f"/>
      <Part Type="punktas" Nr="21" Abbr="21 p." DocPartId="9bae2bbe53274353842ef491cfd0e2a8" PartId="cd510b54883140aabd8bdad2a0fe5a0f"/>
      <Part Type="punktas" Nr="22" Abbr="22 p." DocPartId="fde67c9154844df898dcef6da88460a1" PartId="95498ba44f244f7a8df62bf225f3b9f6"/>
      <Part Type="punktas" Nr="23" Abbr="23 p." DocPartId="3615addc2ccb4f9b9636defa137aeeca" PartId="4d83e655b74b46999bf680977e751e8b"/>
      <Part Type="punktas" Nr="24" Abbr="24 p." DocPartId="b163878a8fce40bf86aa65e1c9ba243e" PartId="133f05090d48400ba82f3e3f5243bfc2"/>
      <Part Type="punktas" Nr="24-1" Abbr="24-1 p." DocPartId="d07c065415744ad8a759ae82b8d41dbe" PartId="fb19b1a20a5945259f340eff50d09193"/>
    </Part>
    <Part Type="skyrius" Nr="5" Title="„V SKYRIUS  ASMENS PERĖMIMAS IŠ UŽSIENIO VALSTYBĖS LAIKINAI BAUDŽIAMOJO PROCESO VEIKSMAMS ATLIKTI IR JO SUGRĄŽINIMAS PERDAVUSIAI VALSTYBEI“." DocPartId="476f67f9de294dcd8d189cfb282f9eaa" PartId="860dddd5992f42f5aa7b9f709db648d3">
      <Part Type="punktas" Nr="25" Abbr="25 p." DocPartId="6135efc31284463f849073a1ae986b55" PartId="b2fd0329d7964e9abf36293551c031bd"/>
      <Part Type="punktas" Nr="26" Abbr="26 p." DocPartId="c5c27051270045ffb3f49486f5d5a89b" PartId="e5cc5a0176ad4fa2a557666ae4619a29"/>
      <Part Type="punktas" Nr="27" Abbr="27 p." DocPartId="6644583bbe8242ac8e35a6713e7e4c47" PartId="fecff206ec4b45bdb9fd75a181690bce"/>
      <Part Type="punktas" Nr="28" Abbr="28 p." DocPartId="a0228e1327fa464a990c4e1024460336" PartId="732953699a204b70a4e682a8a42218de"/>
    </Part>
    <Part Type="skyrius" Nr="6" Title="„VI SKYRIUS  BAIGIAMOSIOS NUOSTATOS“." DocPartId="e837085a2c324a198fec16942cdaf177" PartId="97ccbb27f4ca47ef9c06471a726da04c">
      <Part Type="punktas" Nr="29" Abbr="29 p." DocPartId="b704919f3caa401c8fb2cb4bcc41ac50" PartId="d9b186f2d1c04125954cee3c460a9138"/>
      <Part Type="punktas" Nr="30" Abbr="30 p." DocPartId="af3fd033817546058f695600c4078b93" PartId="02f00898a3b44745baa9e168893fdd0a"/>
      <Part Type="punktas" Nr="31" Abbr="31 p." DocPartId="9d748df8408f4bfb89b6959ed8fdf7f6" PartId="720d4aef93ba4214b9a9a888b67b725a"/>
    </Part>
    <Part Type="pabaiga" DocPartId="f9e0fa5f5bf54852a50ff8928d2ca231" PartId="f3350f31279c4233acb462c3ddc871b3"/>
  </Part>
  <Part Type="priedas" Nr="1" Abbr="1 pr." Title="EUROPOS AREŠTO ORDERIS" DocPartId="cb2d30f8470944e390a91eed9dfd4661" PartId="f9ae6e63dcd04655b307d9ebcb9ca042"/>
  <Part Type="priedas" Nr="2" Abbr="2 pr." Title="LIETUVOS RESPUBLIKOS BAUDŽIAMAJAME KODEKSE NUMATYTŲ NUSIKALTIMŲ, KURIEMS NETAIKYTINA ABIPUSIO BAUDŽIAMUMO TAISYKLĖ, REKOMENDACINĖ LENTELĖ" DocPartId="967ed3f2c8684852bed1bd74a8d72a44" PartId="da76ddcdc859410f9172b6e7b785cca0"/>
</Parts>
</file>

<file path=customXml/itemProps1.xml><?xml version="1.0" encoding="utf-8"?>
<ds:datastoreItem xmlns:ds="http://schemas.openxmlformats.org/officeDocument/2006/customXml" ds:itemID="{D8BCD42C-3347-4DEF-ACEF-F97659E58342}">
  <ds:schemaRefs>
    <ds:schemaRef ds:uri="http://lrs.lt/TAIS/DocParts"/>
  </ds:schemaRefs>
</ds:datastoreItem>
</file>

<file path=docProps/app.xml><?xml version="1.0" encoding="utf-8"?>
<Properties xmlns="http://schemas.openxmlformats.org/officeDocument/2006/extended-properties">
  <Template>Normal.dotm</Template>
  <TotalTime>24</TotalTime>
  <Pages>14</Pages>
  <Words>23277</Words>
  <Characters>13269</Characters>
  <Application>Microsoft Office Word</Application>
  <DocSecurity>0</DocSecurity>
  <Lines>110</Lines>
  <Paragraphs>72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36474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2015-03-20T07:03:00Z</dcterms:created>
  <dc:creator>User</dc:creator>
  <lastModifiedBy>GUMBYTĖ Danguolė</lastModifiedBy>
  <dcterms:modified xsi:type="dcterms:W3CDTF">2017-08-10T05:32:00Z</dcterms:modified>
  <revision>8</revision>
</coreProperties>
</file>