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830ca90d2d4d6d8e55f319ddeb4b4b"/>
        <w:lock w:val="sdtLocked"/>
        <w:richText/>
      </w:sdtPr>
      <w:sdtContent>
        <w:p>
          <w:pPr>
            <w:jc w:val="both"/>
            <w:rPr>
              <w:rFonts w:ascii="Times New Roman" w:hAnsi="Times New Roman"/>
            </w:rPr>
          </w:pPr>
          <w:r>
            <w:rPr>
              <w:rFonts w:ascii="Times New Roman" w:hAnsi="Times New Roman"/>
              <w:b/>
              <w:i/>
            </w:rPr>
            <w:t>Suvestinė redakcija nuo 2008-11-30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Vaiko globėjai (rūpintojai), turintys teisę gauti globos (rūpybos) išmoką, dėl išmokos globojamam (rūpintinam) vaikui kreipiasi į savivaldybės, kurioje yra deklaravę gyvenamąją vietą ar įregistruoti, administraciją nuo 2009 m. sausio 1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birželio 28 d. nutarimo Nr. 801 "Dėl Išmokų vaikams skyrimo ir mokėjimo nuostatų patvirtinimo" pakeitimo</w:t>
          </w:r>
        </w:p>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fa45bb64ba544c098c29b5aa7983ee84"/>
                <w:lock w:val="sdtLocked"/>
                <w:richText/>
              </w:sdtPr>
              <w:sdtContent>
                <w:p>
                  <w:pPr>
                    <w:ind w:firstLine="708"/>
                    <w:jc w:val="both"/>
                    <w:rPr>
                      <w:color w:val="000000"/>
                    </w:rPr>
                  </w:pPr>
                  <w:sdt>
                    <w:sdtPr>
                      <w:alias w:val="Numeris"/>
                      <w:tag w:val="nr_fa45bb64ba544c098c29b5aa7983ee84"/>
                      <w:lock w:val="sdtLocked"/>
                      <w:richText/>
                    </w:sdtPr>
                    <w:sdtContent>
                      <w:r>
                        <w:rPr>
                          <w:color w:val="000000"/>
                        </w:rPr>
                        <w:t>4</w:t>
                      </w:r>
                    </w:sdtContent>
                  </w:sdt>
                  <w:r>
                    <w:rPr>
                      <w:color w:val="000000"/>
                    </w:rPr>
                    <w:t xml:space="preserve">. Išmokas skiria ir moka savivaldybės administracija, vadovaudamasi Išmokų vaikams įstatymu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d6ebdf0be3d14289bdac4f3419745916"/>
                <w:lock w:val="sdtLocked"/>
                <w:richText/>
              </w:sdtPr>
              <w:sdtContent>
                <w:p>
                  <w:pPr>
                    <w:ind w:firstLine="709"/>
                    <w:jc w:val="both"/>
                    <w:rPr>
                      <w:color w:val="000000"/>
                    </w:rPr>
                  </w:pPr>
                  <w:sdt>
                    <w:sdtPr>
                      <w:alias w:val="Numeris"/>
                      <w:tag w:val="nr_d6ebdf0be3d14289bdac4f3419745916"/>
                      <w:lock w:val="sdtLocked"/>
                      <w:richText/>
                    </w:sdtPr>
                    <w:sdtContent>
                      <w:r>
                        <w:t>7</w:t>
                      </w:r>
                    </w:sdtContent>
                  </w:sdt>
                  <w:r>
                    <w:t xml:space="preserve">. Dėl globos (rūpybos) išmokos (išskyrus tuos atvejus, kai globėjas (rūpintojas) yra apskrities viršininko įsteigta vaikų globos įstaiga) vaikams, kuriems globa (rūpyba) nustatyta iki 2007 m. sausio 1 d., mokėjimo vaikų globėjai (rūpintojai) kreipiasi į savivaldybės, kurios teritorijoje globėjas (rūpintojas) yra įregistruotas arba deklaruoja gyvenamąją vietą, administraciją. Vaikų globėjai (rūpintojai) dėl globos (rūpybos) išmokos vaikams, kuriems globa (rūpyba) nustatyta po 2007 m. sausio 1 d.,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yra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b806fa1f39de4edbbb19b3bbd62a552d"/>
                <w:lock w:val="sdtLocked"/>
                <w:richText/>
              </w:sdtPr>
              <w:sdtContent>
                <w:p>
                  <w:pPr>
                    <w:ind w:firstLine="708"/>
                    <w:jc w:val="both"/>
                    <w:rPr>
                      <w:color w:val="000000"/>
                    </w:rPr>
                  </w:pPr>
                  <w:sdt>
                    <w:sdtPr>
                      <w:alias w:val="Numeris"/>
                      <w:tag w:val="nr_b806fa1f39de4edbbb19b3bbd62a552d"/>
                      <w:lock w:val="sdtLocked"/>
                      <w:richText/>
                    </w:sdtPr>
                    <w:sdtContent>
                      <w:r>
                        <w:rPr>
                          <w:color w:val="000000"/>
                        </w:rPr>
                        <w:t>10</w:t>
                      </w:r>
                    </w:sdtContent>
                  </w:sdt>
                  <w:r>
                    <w:rPr>
                      <w:color w:val="000000"/>
                    </w:rPr>
                    <w:t>. Kreipiantis dėl bet kurios Išmokų vaikams įstatyme nustatytos išmokos, būtina pateikti:</w:t>
                  </w:r>
                </w:p>
                <w:sdt>
                  <w:sdtPr>
                    <w:alias w:val="10.1 p."/>
                    <w:tag w:val="part_7b46dc883d5c486d8ab67d448bc9ac25"/>
                    <w:lock w:val="sdtLocked"/>
                    <w:richText/>
                  </w:sdtPr>
                  <w:sdtContent>
                    <w:p>
                      <w:pPr>
                        <w:ind w:firstLine="708"/>
                        <w:jc w:val="both"/>
                        <w:rPr>
                          <w:color w:val="000000"/>
                        </w:rPr>
                      </w:pPr>
                      <w:sdt>
                        <w:sdtPr>
                          <w:alias w:val="Numeris"/>
                          <w:tag w:val="nr_7b46dc883d5c486d8ab67d448bc9ac25"/>
                          <w:lock w:val="sdtLocked"/>
                          <w:richText/>
                        </w:sdtPr>
                        <w:sdtContent>
                          <w:r>
                            <w:rPr>
                              <w:color w:val="000000"/>
                            </w:rPr>
                            <w:t>10.1</w:t>
                          </w:r>
                        </w:sdtContent>
                      </w:sdt>
                      <w:r>
                        <w:rPr>
                          <w:color w:val="000000"/>
                        </w:rPr>
                        <w:t>. prašymą skirti atitinkamą išmoką;</w:t>
                      </w:r>
                    </w:p>
                  </w:sdtContent>
                </w:sdt>
                <w:sdt>
                  <w:sdtPr>
                    <w:alias w:val="10.2 p."/>
                    <w:tag w:val="part_536473f0239949b2a9772b94b0315a26"/>
                    <w:lock w:val="sdtLocked"/>
                    <w:richText/>
                  </w:sdtPr>
                  <w:sdtContent>
                    <w:p>
                      <w:pPr>
                        <w:ind w:firstLine="708"/>
                        <w:jc w:val="both"/>
                        <w:rPr>
                          <w:color w:val="000000"/>
                        </w:rPr>
                      </w:pPr>
                      <w:sdt>
                        <w:sdtPr>
                          <w:alias w:val="Numeris"/>
                          <w:tag w:val="nr_536473f0239949b2a9772b94b0315a26"/>
                          <w:lock w:val="sdtLocked"/>
                          <w:richText/>
                        </w:sdtPr>
                        <w:sdtContent>
                          <w:r>
                            <w:rPr>
                              <w:color w:val="000000"/>
                            </w:rPr>
                            <w:t>10.2</w:t>
                          </w:r>
                        </w:sdtContent>
                      </w:sdt>
                      <w:r>
                        <w:rPr>
                          <w:color w:val="000000"/>
                        </w:rPr>
                        <w:t>. asmens, turinčio teisę gauti išmoką, Lietuvos Respublikos piliečio pasą arba asmens tapatybės kortelę, arba Lietuvos Respublikos pasą, arba leidimą nuolat gyventi Lietuvos Respublikoje, jeigu tokį leidimą privalo turėti pagal galiojančius teisės aktus, (toliau vadinama – asmens tapatybės dokumentai). Asmens, turinčio teisę gauti išmoką, įgaliotas asmuo, be reikiamų dokumentų, turi pateikti savo asmens tapatybės dokumentą ir įgaliojimą.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1 p."/>
                <w:tag w:val="part_0fe678c9cd0b4fcda17a319a5d1f11fb"/>
                <w:lock w:val="sdtLocked"/>
                <w:richText/>
              </w:sdtPr>
              <w:sdtContent>
                <w:p>
                  <w:pPr>
                    <w:ind w:firstLine="708"/>
                    <w:jc w:val="both"/>
                    <w:rPr>
                      <w:color w:val="000000"/>
                    </w:rPr>
                  </w:pPr>
                  <w:sdt>
                    <w:sdtPr>
                      <w:alias w:val="Numeris"/>
                      <w:tag w:val="nr_0fe678c9cd0b4fcda17a319a5d1f11fb"/>
                      <w:lock w:val="sdtLocked"/>
                      <w:richText/>
                    </w:sdtPr>
                    <w:sdtContent>
                      <w:r>
                        <w:rPr>
                          <w:color w:val="000000"/>
                        </w:rPr>
                        <w:t>11</w:t>
                      </w:r>
                    </w:sdtContent>
                  </w:sdt>
                  <w:r>
                    <w:rPr>
                      <w:color w:val="000000"/>
                    </w:rPr>
                    <w:t>. Kreipiantis dėl vienkartinės išmokos gimusiam vaikui paskyrimo, būtina pateikti vaiko gimimo liudijimą</w:t>
                  </w:r>
                  <w:r>
                    <w:rPr>
                      <w:b/>
                      <w:color w:val="000000"/>
                    </w:rPr>
                    <w:t xml:space="preserve"> </w:t>
                  </w:r>
                  <w:r>
                    <w:rPr>
                      <w:color w:val="000000"/>
                    </w:rPr>
                    <w:t>arba civilinės metrikacijos skyriaus išduotą dokumentą, kai vaiko gimimo liudijimas neišduodamas.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2 p."/>
                <w:tag w:val="part_049c2254649543a38e7a49d73334ab29"/>
                <w:lock w:val="sdtLocked"/>
                <w:richText/>
              </w:sdtPr>
              <w:sdtContent>
                <w:p>
                  <w:pPr>
                    <w:ind w:firstLine="708"/>
                    <w:jc w:val="both"/>
                    <w:rPr>
                      <w:color w:val="000000"/>
                    </w:rPr>
                  </w:pPr>
                  <w:sdt>
                    <w:sdtPr>
                      <w:alias w:val="Numeris"/>
                      <w:tag w:val="nr_049c2254649543a38e7a49d73334ab29"/>
                      <w:lock w:val="sdtLocked"/>
                      <w:richText/>
                    </w:sdtPr>
                    <w:sdtContent>
                      <w:r>
                        <w:rPr>
                          <w:color w:val="000000"/>
                        </w:rPr>
                        <w:t>12</w:t>
                      </w:r>
                    </w:sdtContent>
                  </w:sdt>
                  <w:r>
                    <w:rPr>
                      <w:color w:val="000000"/>
                    </w:rPr>
                    <w:t>. Kreipiantis dėl išmokos vaikui paskyrimo, atsižvelgiant į aplinkybes, lemiančias asmens teisę į išmoką (toliau vadinama – aplinkybės), būtina pateikti:</w:t>
                  </w:r>
                </w:p>
                <w:sdt>
                  <w:sdtPr>
                    <w:alias w:val="12.1 p."/>
                    <w:tag w:val="part_54d775830d554376978d5d2dc049ff93"/>
                    <w:lock w:val="sdtLocked"/>
                    <w:richText/>
                  </w:sdtPr>
                  <w:sdtContent>
                    <w:p>
                      <w:pPr>
                        <w:ind w:firstLine="708"/>
                        <w:jc w:val="both"/>
                        <w:rPr>
                          <w:color w:val="000000"/>
                        </w:rPr>
                      </w:pPr>
                      <w:sdt>
                        <w:sdtPr>
                          <w:alias w:val="Numeris"/>
                          <w:tag w:val="nr_54d775830d554376978d5d2dc049ff93"/>
                          <w:lock w:val="sdtLocked"/>
                          <w:richText/>
                        </w:sdtPr>
                        <w:sdtContent>
                          <w:r>
                            <w:rPr>
                              <w:color w:val="000000"/>
                            </w:rPr>
                            <w:t>12.1</w:t>
                          </w:r>
                        </w:sdtContent>
                      </w:sdt>
                      <w:r>
                        <w:rPr>
                          <w:color w:val="000000"/>
                        </w:rPr>
                        <w:t>. vaiko gimimo liudijimą;</w:t>
                      </w:r>
                    </w:p>
                  </w:sdtContent>
                </w:sdt>
                <w:sdt>
                  <w:sdtPr>
                    <w:alias w:val="12.2 p."/>
                    <w:tag w:val="part_ff2859517d1142ee941333b1e37648d5"/>
                    <w:lock w:val="sdtLocked"/>
                    <w:richText/>
                  </w:sdtPr>
                  <w:sdtContent>
                    <w:p>
                      <w:pPr>
                        <w:ind w:firstLine="708"/>
                        <w:jc w:val="both"/>
                        <w:rPr>
                          <w:color w:val="000000"/>
                        </w:rPr>
                      </w:pPr>
                      <w:sdt>
                        <w:sdtPr>
                          <w:alias w:val="Numeris"/>
                          <w:tag w:val="nr_ff2859517d1142ee941333b1e37648d5"/>
                          <w:lock w:val="sdtLocked"/>
                          <w:richText/>
                        </w:sdtPr>
                        <w:sdtContent>
                          <w:r>
                            <w:rPr>
                              <w:color w:val="000000"/>
                            </w:rPr>
                            <w:t>12.2</w:t>
                          </w:r>
                        </w:sdtContent>
                      </w:sdt>
                      <w:r>
                        <w:rPr>
                          <w:color w:val="000000"/>
                        </w:rPr>
                        <w:t>. mokyklos pažymą, jeigu vyresnis kaip 18 metų asmuo mokosi;</w:t>
                      </w:r>
                    </w:p>
                  </w:sdtContent>
                </w:sdt>
                <w:sdt>
                  <w:sdtPr>
                    <w:alias w:val="12.3 p."/>
                    <w:tag w:val="part_3c9b9620643440f99f44c96a3646a753"/>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4 p."/>
                    <w:tag w:val="part_0aa58de840854982a2e4074209f179e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5 p."/>
                    <w:tag w:val="part_77f603f11eaf4f6585b531b5bb60c2d1"/>
                    <w:lock w:val="sdtLocked"/>
                    <w:richText/>
                  </w:sdtPr>
                  <w:sdtContent>
                    <w:p>
                      <w:pPr>
                        <w:ind w:firstLine="708"/>
                        <w:jc w:val="both"/>
                        <w:rPr>
                          <w:color w:val="000000"/>
                        </w:rPr>
                      </w:pPr>
                      <w:sdt>
                        <w:sdtPr>
                          <w:alias w:val="Numeris"/>
                          <w:tag w:val="nr_77f603f11eaf4f6585b531b5bb60c2d1"/>
                          <w:lock w:val="sdtLocked"/>
                          <w:richText/>
                        </w:sdtPr>
                        <w:sdtContent>
                          <w:r>
                            <w:rPr>
                              <w:color w:val="000000"/>
                            </w:rPr>
                            <w:t>12.5</w:t>
                          </w:r>
                        </w:sdtContent>
                      </w:sdt>
                      <w:r>
                        <w:rPr>
                          <w:color w:val="000000"/>
                        </w:rPr>
                        <w:t>. ištuokos liudijimą, jeigu vaiko tėvai yra nutraukę santuoką;</w:t>
                      </w:r>
                    </w:p>
                  </w:sdtContent>
                </w:sdt>
                <w:sdt>
                  <w:sdtPr>
                    <w:alias w:val="12.6 p."/>
                    <w:tag w:val="part_d158078a4a9d4cd4a191dd13f842b893"/>
                    <w:lock w:val="sdtLocked"/>
                    <w:richText/>
                  </w:sdtPr>
                  <w:sdtContent>
                    <w:p>
                      <w:pPr>
                        <w:ind w:firstLine="708"/>
                        <w:jc w:val="both"/>
                        <w:rPr>
                          <w:color w:val="000000"/>
                        </w:rPr>
                      </w:pPr>
                      <w:sdt>
                        <w:sdtPr>
                          <w:alias w:val="Numeris"/>
                          <w:tag w:val="nr_d158078a4a9d4cd4a191dd13f842b893"/>
                          <w:lock w:val="sdtLocked"/>
                          <w:richText/>
                        </w:sdtPr>
                        <w:sdtContent>
                          <w:r>
                            <w:rPr>
                              <w:color w:val="000000"/>
                            </w:rPr>
                            <w:t>12.6</w:t>
                          </w:r>
                        </w:sdtContent>
                      </w:sdt>
                      <w:r>
                        <w:rPr>
                          <w:color w:val="000000"/>
                        </w:rPr>
                        <w:t>. mirties liudijimą, jeigu vienas iš vaiko tėvų miręs.</w:t>
                      </w:r>
                    </w:p>
                  </w:sdtContent>
                </w:sdt>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02773a17194443e8303ce216221efb6"/>
                    <w:lock w:val="sdtLocked"/>
                    <w:richText/>
                  </w:sdtPr>
                  <w:sdtContent>
                    <w:p>
                      <w:pPr>
                        <w:ind w:firstLine="708"/>
                        <w:jc w:val="both"/>
                        <w:rPr>
                          <w:color w:val="000000"/>
                        </w:rPr>
                      </w:pPr>
                      <w:sdt>
                        <w:sdtPr>
                          <w:alias w:val="Numeris"/>
                          <w:tag w:val="nr_d02773a17194443e8303ce216221efb6"/>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pažymą iš Garantinio ir vaikų išlaikymo fondų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477f514bb4e4c90a220a74f930ddb15"/>
                <w:lock w:val="sdtLocked"/>
                <w:richText/>
              </w:sdtPr>
              <w:sdtContent>
                <w:p>
                  <w:pPr>
                    <w:ind w:firstLine="708"/>
                    <w:jc w:val="both"/>
                    <w:rPr>
                      <w:color w:val="000000"/>
                    </w:rPr>
                  </w:pPr>
                  <w:sdt>
                    <w:sdtPr>
                      <w:alias w:val="Numeris"/>
                      <w:tag w:val="nr_5477f514bb4e4c90a220a74f930ddb15"/>
                      <w:lock w:val="sdtLocked"/>
                      <w:richText/>
                    </w:sdtPr>
                    <w:sdtContent>
                      <w:r>
                        <w:rPr>
                          <w:color w:val="000000"/>
                        </w:rPr>
                        <w:t>15</w:t>
                      </w:r>
                    </w:sdtContent>
                  </w:sdt>
                  <w:r>
                    <w:rPr>
                      <w:color w:val="000000"/>
                    </w:rPr>
                    <w:t>. Kreipiantis dėl vienkartinės išmokos įsikurti, atsižvelgiant į aplinkybes, būtina pateikti: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b962091d4a544d1ab6d120b916967b76"/>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5.4 p."/>
                    <w:tag w:val="part_2bd011064d0c48418947a840c6377e88"/>
                    <w:lock w:val="sdtLocked"/>
                    <w:richText/>
                  </w:sdtPr>
                  <w:sdtContent>
                    <w:p>
                      <w:pPr>
                        <w:pStyle w:val="PlainText"/>
                        <w:ind w:firstLine="567"/>
                        <w:jc w:val="both"/>
                        <w:rPr>
                          <w:rFonts w:ascii="Times New Roman" w:hAnsi="Times New Roman"/>
                          <w:b/>
                          <w:bCs/>
                          <w:sz w:val="22"/>
                        </w:rPr>
                      </w:pPr>
                      <w:r>
                        <w:rPr>
                          <w:rFonts w:ascii="Times New Roman" w:hAnsi="Times New Roman"/>
                          <w:sz w:val="22"/>
                        </w:rPr>
                        <w:t>15.4</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f7e0f53a3c534f6e9e7cd3bc8115f9db"/>
                    <w:lock w:val="sdtLocked"/>
                    <w:richText/>
                  </w:sdtPr>
                  <w:sdtContent>
                    <w:p>
                      <w:pPr>
                        <w:ind w:firstLine="708"/>
                        <w:jc w:val="both"/>
                        <w:rPr>
                          <w:color w:val="000000"/>
                        </w:rPr>
                      </w:pPr>
                      <w:sdt>
                        <w:sdtPr>
                          <w:alias w:val="Numeris"/>
                          <w:tag w:val="nr_f7e0f53a3c534f6e9e7cd3bc8115f9db"/>
                          <w:lock w:val="sdtLocked"/>
                          <w:richText/>
                        </w:sdtPr>
                        <w:sdtContent>
                          <w:r>
                            <w:rPr>
                              <w:color w:val="000000"/>
                            </w:rPr>
                            <w:t>16.1</w:t>
                          </w:r>
                        </w:sdtContent>
                      </w:sdt>
                      <w:r>
                        <w:rPr>
                          <w:color w:val="000000"/>
                        </w:rPr>
                        <w:t>. sveikatos priežiūros įstaigos išduotą pažymą apie nėštumą ar vaiko gimimo liudijimą arba civilinės metrikacijos skyriaus išduotą dokumentą, kai vaiko gimimo liudijimas neišduodamas;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e906e549733f463b8907217c19ec9f97"/>
                <w:lock w:val="sdtLocked"/>
                <w:richText/>
              </w:sdtPr>
              <w:sdtContent>
                <w:p>
                  <w:pPr>
                    <w:ind w:firstLine="708"/>
                    <w:jc w:val="both"/>
                    <w:rPr>
                      <w:color w:val="000000"/>
                    </w:rPr>
                  </w:pPr>
                  <w:sdt>
                    <w:sdtPr>
                      <w:alias w:val="Numeris"/>
                      <w:tag w:val="nr_e906e549733f463b8907217c19ec9f97"/>
                      <w:lock w:val="sdtLocked"/>
                      <w:richText/>
                    </w:sdtPr>
                    <w:sdtContent>
                      <w:r>
                        <w:rPr>
                          <w:color w:val="000000"/>
                        </w:rPr>
                        <w:t>17</w:t>
                      </w:r>
                    </w:sdtContent>
                  </w:sdt>
                  <w:r>
                    <w:rPr>
                      <w:color w:val="000000"/>
                    </w:rPr>
                    <w:t>. Kreipdamasis dėl išmokos paskyrimo, asmuo pateikia reikiamų dokumentų originalus. Dokumentus priėmęs asmuo privalo padaryti ir patvirtinti šių dokumentų (išskyrus asmens tapatybės dokumentus) kopijas.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675632eebd343c781f0f96a76de06c4"/>
                <w:lock w:val="sdtLocked"/>
                <w:richText/>
              </w:sdtPr>
              <w:sdtContent>
                <w:p>
                  <w:pPr>
                    <w:ind w:firstLine="709"/>
                    <w:jc w:val="both"/>
                    <w:rPr>
                      <w:color w:val="000000"/>
                    </w:rPr>
                  </w:pPr>
                  <w:sdt>
                    <w:sdtPr>
                      <w:alias w:val="Numeris"/>
                      <w:tag w:val="nr_2675632eebd343c781f0f96a76de06c4"/>
                      <w:lock w:val="sdtLocked"/>
                      <w:richText/>
                    </w:sdtPr>
                    <w:sdtContent>
                      <w:r>
                        <w:rPr>
                          <w:color w:val="000000"/>
                        </w:rPr>
                        <w:t>20</w:t>
                      </w:r>
                    </w:sdtContent>
                  </w:sdt>
                  <w:r>
                    <w:rPr>
                      <w:color w:val="000000"/>
                    </w:rPr>
                    <w:t>. Savivaldybės administracija gautą prašymą ir prie jo pridėtus reikiamus dokumentus tą pačią dieną registruoja ir išduoda (arba išsiunčia) pranešimą apie prašymo ir dokumentų gavimą, nurodydama jų registravimo datą.</w:t>
                  </w:r>
                </w:p>
                <w:p>
                  <w:pPr>
                    <w:jc w:val="center"/>
                    <w:rPr>
                      <w:color w:val="000000"/>
                    </w:rPr>
                  </w:pPr>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d37548b4a7ff4ef29cb1fef4247e0d44"/>
                <w:lock w:val="sdtLocked"/>
                <w:richText/>
              </w:sdtPr>
              <w:sdtContent>
                <w:p>
                  <w:pPr>
                    <w:ind w:firstLine="709"/>
                    <w:jc w:val="both"/>
                    <w:rPr>
                      <w:color w:val="000000"/>
                    </w:rPr>
                  </w:pPr>
                  <w:sdt>
                    <w:sdtPr>
                      <w:alias w:val="Numeris"/>
                      <w:tag w:val="nr_d37548b4a7ff4ef29cb1fef4247e0d44"/>
                      <w:lock w:val="sdtLocked"/>
                      <w:richText/>
                    </w:sdtPr>
                    <w:sdtContent>
                      <w:r>
                        <w:rPr>
                          <w:color w:val="000000"/>
                        </w:rPr>
                        <w:t>22</w:t>
                      </w:r>
                    </w:sdtContent>
                  </w:sdt>
                  <w:r>
                    <w:rPr>
                      <w:color w:val="000000"/>
                    </w:rPr>
                    <w:t>. Sprendimas dėl išmokos skyrimo turi būti priimtas ne vėliau kaip per mėnesį nuo tos dienos, kurią priimtas prašymas su visais reikiamais dokumentais. Savivaldybės administracija ne vėliau kaip per 5 darbo dienas nuo šio sprendimo priėmimo raštu praneša pareiškėjui apie priimtą sprendimą.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1c6d94fa1eb847fc8ad9e736ac767874"/>
                <w:lock w:val="sdtLocked"/>
                <w:richText/>
              </w:sdtPr>
              <w:sdtContent>
                <w:p>
                  <w:pPr>
                    <w:ind w:firstLine="709"/>
                    <w:jc w:val="both"/>
                    <w:rPr>
                      <w:color w:val="000000"/>
                    </w:rPr>
                  </w:pPr>
                  <w:sdt>
                    <w:sdtPr>
                      <w:alias w:val="Numeris"/>
                      <w:tag w:val="nr_1c6d94fa1eb847fc8ad9e736ac767874"/>
                      <w:lock w:val="sdtLocked"/>
                      <w:richText/>
                    </w:sdtPr>
                    <w:sdtContent>
                      <w:r>
                        <w:t>25</w:t>
                      </w:r>
                    </w:sdtContent>
                  </w:sdt>
                  <w:r>
                    <w:t xml:space="preserve">. Vienkartinės išmokos vaikui, vienkartinės išmokos įsikurti ir vienkartinės išmokos nėščiai moteriai dydis apskaičiuojamas pagal teisės į išmoką atsiradimo dieną </w:t>
                  </w:r>
                  <w:r>
                    <w:rPr>
                      <w:bCs/>
                    </w:rPr>
                    <w:t>galiojusį bazinės socialinės išmokos</w:t>
                  </w:r>
                  <w:r>
                    <w:t xml:space="preserve"> dydį. Išmokos vaikui, išmokos privalomosios tarnybos kario vaikui ir globos (rūpybos) išmokos dydis apskaičiuojamas pagal </w:t>
                  </w:r>
                  <w:r>
                    <w:rPr>
                      <w:bCs/>
                    </w:rPr>
                    <w:t xml:space="preserve">tą mėnesį, už kurį išmoka mokama, galiojantį bazinės socialinės išmokos </w:t>
                  </w:r>
                  <w:r>
                    <w:t xml:space="preserve">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3f9bbad127e04644aa7fd893dfe98679"/>
                <w:lock w:val="sdtLocked"/>
                <w:richText/>
              </w:sdtPr>
              <w:sdtContent>
                <w:p>
                  <w:pPr>
                    <w:ind w:firstLine="709"/>
                    <w:jc w:val="both"/>
                    <w:rPr>
                      <w:bCs/>
                    </w:rPr>
                  </w:pPr>
                  <w:sdt>
                    <w:sdtPr>
                      <w:alias w:val="Numeris"/>
                      <w:tag w:val="nr_3f9bbad127e04644aa7fd893dfe98679"/>
                      <w:lock w:val="sdtLocked"/>
                      <w:richText/>
                    </w:sdtPr>
                    <w:sdtContent>
                      <w:r>
                        <w:rPr>
                          <w:bCs/>
                        </w:rPr>
                        <w:t>27</w:t>
                      </w:r>
                    </w:sdtContent>
                  </w:sdt>
                  <w:r>
                    <w:rPr>
                      <w:bCs/>
                    </w:rPr>
                    <w:t xml:space="preserve">. Išmokos skiriamos ir mokamos, iki atsiranda aplinkybės, turinčios įtakos išmokos dydžio pasikeitimui, išmokos mokėjimo sustabdymui ar nutraukimui. </w:t>
                  </w:r>
                </w:p>
                <w:p>
                  <w:pPr>
                    <w:ind w:firstLine="709"/>
                    <w:jc w:val="both"/>
                    <w:rPr>
                      <w:bCs/>
                    </w:rPr>
                  </w:pPr>
                  <w:r>
                    <w:rPr>
                      <w:bCs/>
                    </w:rPr>
                    <w:t xml:space="preserve">Vyresniam negu 18 metų asmeniui iš šeimos, auginančios vieną ar du vaikus, besimokančiam pagal bendrojo lavinimo programą ir (ar) formaliojo profesinio mokymo programą pirmajai kvalifikacijai įgyti, išmoka vaikui skiriama ir mokama iki kiekvienų metų rugsėjo 1 d. , bet ne ilgiau kaip iki jam sukanka 21 metai. Asmeniui, kuriam iki pilnametystės ar emancipacijos buvo nustatyta globa (rūpyba), besimokančiam pagal bendrojo lavinimo programą, nuo 2009 m. sausio 1 d. išmoka vaikui skiriama ir mokama iki kiekvienų metų rugsėjo 1 d., bet ne ilgiau kaip iki jam sukanka 21 metai. Vyresniam negu 18 metų asmeniui iš šeimos, auginančios tris ir daugiau vaikų, besimokančiam pagal bendrojo lavinimo programą, pagal formaliojo profesinio mokymo programą ar aukštojoje mokykloje pagal dieninės studijų formos nuosekliųjų studijų programą, išmoka vaikui skiriama ir mokama iki kiekvienų metų rugsėjo 1 d., bet ne ilgiau kaip iki jam sukanka 24 metai. Jeigu vyresnis negu 18 metų asmuo, turintis teisę gauti išmokas, mokosi, kiekvienais naujaisiais mokslo metais pareiškėjas per mėnesį nuo mokslo metų toje mokymo įstaigoje pradžios turi pateikti šių Nuostatų 12 punkte nurodytą pažymą. Baigiamaisiais mokymosi mokymo įstaigose metais išmokos skiriamos iki tų mokslo metų pabaigos. Baigiančiajam dieninę bendrojo lavinimo mokyklą išmokos skiriamos ir mokamos iki tų pačių metų rugsėjo 1 dienos. </w:t>
                  </w:r>
                </w:p>
                <w:p>
                  <w:pPr>
                    <w:ind w:firstLine="709"/>
                    <w:jc w:val="both"/>
                    <w:rPr>
                      <w:color w:val="000000"/>
                    </w:rPr>
                  </w:pPr>
                  <w:r>
                    <w:rPr>
                      <w:bCs/>
                    </w:rPr>
                    <w:t>Jeigu besimokantis vyresnis negu 18 metų asmuo lieka gyventi ir yra išlaikomas (nemokamai gauna nakvynę, maistą ir kitas paslaugas) socialinės globos įstaigoje, kurioje iki pilnametystės jam buvo nustatyta globa (rūpyba), globos (rūpybos) išmoka šiuo laikotarpiu mokama socialinės globos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0"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f8cf0bff5b5a45a897055575da18053f"/>
                <w:lock w:val="sdtLocked"/>
                <w:richText/>
              </w:sdtPr>
              <w:sdtContent>
                <w:p>
                  <w:pPr>
                    <w:ind w:firstLine="709"/>
                    <w:jc w:val="both"/>
                    <w:rPr>
                      <w:color w:val="000000"/>
                    </w:rPr>
                  </w:pPr>
                  <w:sdt>
                    <w:sdtPr>
                      <w:alias w:val="Numeris"/>
                      <w:tag w:val="nr_f8cf0bff5b5a45a897055575da18053f"/>
                      <w:lock w:val="sdtLocked"/>
                      <w:richText/>
                    </w:sdtPr>
                    <w:sdtContent>
                      <w:r>
                        <w:rPr>
                          <w:bCs/>
                        </w:rPr>
                        <w:t>42</w:t>
                      </w:r>
                    </w:sdtContent>
                  </w:sdt>
                  <w:r>
                    <w:t>. Jeigu išmokos vaikui, paskirtos iki jam sukaks 3, 7, 9, 12 metų, mokėjimo terminas po 2008 m. rugpjūčio 1 d. pasibaigia, sprendimą skirti ir mokėti pagal Išmokų vaikams įstatymo nuostatas priklausančią išmoką vaikui, jeigu nėra aplinkybių, turinčių įtakos išmokos mokėjimui (vaikas mirė, pasikeitė jo gyvenamoji vieta, jis išvyko ir kita),</w:t>
                  </w:r>
                  <w:r>
                    <w:rPr>
                      <w:bCs/>
                    </w:rPr>
                    <w:t xml:space="preserve"> </w:t>
                  </w:r>
                  <w:r>
                    <w:t xml:space="preserve">savivaldybės administracijos direktorius arba jo įgaliotas asmuo priima be naujo asmens prašymo ir apie išmokos vaikui mokėjimo pratęsimą ne vėliau kaip per 5 darbo dienas informuoja išmokos gavėją. Pagal Išmokų vaikams įstatymo 18 straipsnį savivaldybės administracija turi teisę apklausti asmenis, turinčius teisę gauti išmokas, tikrinti jų pateiktus dokumentus, reikalauti papildomos informacijos, įrodančios teisę gauti išmokas vaikui, ir neskirti šių išmokų, sustabdyti arba nutraukti jų mokėjimą, jeigu gavėjas (jo atstovas pagal įstatymą) nevykdo Išmokų vaikams įstatymo 19 straipsnyje nustatytų pareigų, tėvams apribota tėvų valdžia, globėjas (rūpintojas) atleistas ar nušalintas nuo globėjo (rūpintojo) pareigų.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efa19ebd2584c838601c8539ee7ede0"/>
                <w:lock w:val="sdtLocked"/>
                <w:richText/>
              </w:sdtPr>
              <w:sdtContent>
                <w:p>
                  <w:pPr>
                    <w:ind w:firstLine="708"/>
                    <w:jc w:val="both"/>
                    <w:rPr>
                      <w:color w:val="000000"/>
                    </w:rPr>
                  </w:pPr>
                  <w:sdt>
                    <w:sdtPr>
                      <w:alias w:val="Numeris"/>
                      <w:tag w:val="nr_7efa19ebd2584c838601c8539ee7ede0"/>
                      <w:lock w:val="sdtLocked"/>
                      <w:richText/>
                    </w:sdtPr>
                    <w:sdtContent>
                      <w:r>
                        <w:rPr>
                          <w:color w:val="000000"/>
                        </w:rPr>
                        <w:t>43</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1" w:tgtFrame="_blank" w:history="1">
                    <w:r>
                      <w:rPr>
                        <w:color w:val="0000FF" w:themeColor="hyperlink"/>
                        <w:u w:val="single"/>
                      </w:rPr>
                      <w:t>13-308</w:t>
                    </w:r>
                  </w:hyperlink>
                  <w:r>
                    <w:rPr>
                      <w:color w:val="000000"/>
                    </w:rPr>
                    <w:t xml:space="preserve">; 2000, Nr. </w:t>
                  </w:r>
                  <w:hyperlink r:id="rId22"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C7D96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8A037D79F865"/>
  <Relationship Id="rId2" Type="http://schemas.openxmlformats.org/officeDocument/2006/relationships/header" Target="header14.xml"/>
  <Relationship Id="rId20" Type="http://schemas.openxmlformats.org/officeDocument/2006/relationships/hyperlink" TargetMode="External" Target="https://www.e-tar.lt/portal/lt/legalAct/TAR.2CE6CFE9E2EE"/>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e830ca90d2d4d6d8e55f319ddeb4b4b">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fa45bb64ba544c098c29b5aa7983ee84"/>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d6ebdf0be3d14289bdac4f3419745916"/>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b806fa1f39de4edbbb19b3bbd62a552d">
        <Part Type="punktas" Nr="10.1" Abbr="10.1 p." DocPartId="62b8e1f3904c429b96d344dc2bbdd4de" PartId="7b46dc883d5c486d8ab67d448bc9ac25"/>
        <Part Type="punktas" Nr="10.2" Abbr="10.2 p." DocPartId="11eac179025f420d813a1cb8849a6663" PartId="536473f0239949b2a9772b94b0315a26"/>
      </Part>
      <Part Type="punktas" Nr="11" Abbr="11 p." DocPartId="9c8890caf3e245eabb926df88372a6b2" PartId="0fe678c9cd0b4fcda17a319a5d1f11fb"/>
      <Part Type="punktas" Nr="12" Abbr="12 p." DocPartId="acdec6cb39b14faaaf8a5f46e5a35f77" PartId="049c2254649543a38e7a49d73334ab29">
        <Part Type="punktas" Nr="12.1" Abbr="12.1 p." DocPartId="0492ad4464aa4473823934bc6e1f0ddd" PartId="54d775830d554376978d5d2dc049ff93"/>
        <Part Type="punktas" Nr="12.2" Abbr="12.2 p." DocPartId="3d2e972876624bd9b65fb03914bde3fb" PartId="ff2859517d1142ee941333b1e37648d5"/>
        <Part Type="punktas" Nr="12.3" Abbr="12.3 p." DocPartId="8527d370c2a34fefb990d4301588800c" PartId="3c9b9620643440f99f44c96a3646a753"/>
        <Part Type="punktas" Nr="12.4" Abbr="12.4 p." DocPartId="10c8ad06b546430989e18eb1a87e71d1" PartId="0aa58de840854982a2e4074209f179e9"/>
        <Part Type="punktas" Nr="12.5" Abbr="12.5 p." DocPartId="e74de451b5444bffbb7b9bd742140a0f" PartId="77f603f11eaf4f6585b531b5bb60c2d1"/>
        <Part Type="punktas" Nr="12.6" Abbr="12.6 p." DocPartId="44821be47ae641c28d1f8e6f23fee54a" PartId="d158078a4a9d4cd4a191dd13f842b893"/>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02773a17194443e8303ce216221efb6"/>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5477f514bb4e4c90a220a74f930ddb15">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b962091d4a544d1ab6d120b916967b76"/>
        <Part Type="punktas" Nr="15.4" Abbr="15.4 p." DocPartId="617e8ac8305f4de4bdbf1cc8423e4d67" PartId="2bd011064d0c48418947a840c6377e88"/>
      </Part>
      <Part Type="punktas" Nr="16" Abbr="16 p." DocPartId="e366613453e8498283ff08b44fee7058" PartId="63a9c66c782340f093018091bb8cc6fc">
        <Part Type="punktas" Nr="16.1" Abbr="16.1 p." DocPartId="f64caa0d090f463a929a937325e4dd9b" PartId="f7e0f53a3c534f6e9e7cd3bc8115f9db"/>
        <Part Type="punktas" Nr="16.2" Abbr="16.2 p." DocPartId="16e1e3cc02b048fa99c6f6cb91877b1c" PartId="60c67124bccb4b6cae51d8b095e6ac46"/>
      </Part>
      <Part Type="punktas" Nr="17" Abbr="17 p." DocPartId="2692c8872dfe44c6a64edb7bb0054fd3" PartId="e906e549733f463b8907217c19ec9f97"/>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675632eebd343c781f0f96a76de06c4"/>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d37548b4a7ff4ef29cb1fef4247e0d44"/>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1c6d94fa1eb847fc8ad9e736ac767874"/>
      <Part Type="punktas" Nr="26" Abbr="26 p." DocPartId="4ce3a53512d1466480e236d0a548f614" PartId="56a664414cdc4dc69d58638a5a940259"/>
      <Part Type="punktas" Nr="27" Abbr="27 p." DocPartId="7a13dda9450d4115b74f5bb2d70faaa6" PartId="3f9bbad127e04644aa7fd893dfe98679"/>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f8cf0bff5b5a45a897055575da18053f"/>
      <Part Type="punktas" Nr="43" Abbr="43 p." DocPartId="2c7b0bdf78f9438b87ab9789a310ba3f" PartId="7efa19ebd2584c838601c8539ee7ede0"/>
    </Part>
    <Part Type="pabaiga" DocPartId="e2fa2641e3b4424fbf350e467328a94a" PartId="d7a2f87e2997490394337d1b0128cec2"/>
  </Part>
</Parts>
</file>

<file path=customXml/itemProps1.xml><?xml version="1.0" encoding="utf-8"?>
<ds:datastoreItem xmlns:ds="http://schemas.openxmlformats.org/officeDocument/2006/customXml" ds:itemID="{9EDEE5AF-EAB7-402D-A41E-1D22B22CAA64}">
  <ds:schemaRefs>
    <ds:schemaRef ds:uri="http://lrs.lt/TAIS/DocParts"/>
  </ds:schemaRefs>
</ds:datastoreItem>
</file>

<file path=docProps/app.xml><?xml version="1.0" encoding="utf-8"?>
<Properties xmlns="http://schemas.openxmlformats.org/officeDocument/2006/extended-properties">
  <Template>Normal.dotm</Template>
  <TotalTime>21</TotalTime>
  <Pages>9</Pages>
  <Words>20695</Words>
  <Characters>11797</Characters>
  <Application>Microsoft Office Word</Application>
  <DocSecurity>0</DocSecurity>
  <Lines>98</Lines>
  <Paragraphs>64</Paragraphs>
  <ScaleCrop>false</ScaleCrop>
  <Company/>
  <LinksUpToDate>false</LinksUpToDate>
  <CharactersWithSpaces>32428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2016-11-04T11:07:00Z</dcterms:modified>
  <revision>15</revision>
</coreProperties>
</file>