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bdb66228d84e2aa64df3cead87ca8e"/>
        <w:lock w:val="sdtLocked"/>
        <w:richText/>
      </w:sdtPr>
      <w:sdtContent>
        <w:p>
          <w:pPr>
            <w:jc w:val="both"/>
            <w:rPr>
              <w:rFonts w:ascii="Times New Roman" w:hAnsi="Times New Roman"/>
            </w:rPr>
          </w:pPr>
          <w:r>
            <w:rPr>
              <w:rFonts w:ascii="Times New Roman" w:hAnsi="Times New Roman"/>
              <w:b/>
              <w:i/>
            </w:rPr>
            <w:t>Suvestinė redakcija nuo 2014-08-02 iki 2016-03-08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34bc0842d5b0438d8a9500866e9cc1bf"/>
                <w:lock w:val="sdtLocked"/>
                <w:richText/>
              </w:sdtPr>
              <w:sdtContent>
                <w:p>
                  <w:pPr>
                    <w:ind w:firstLine="709"/>
                    <w:jc w:val="both"/>
                  </w:pPr>
                  <w:sdt>
                    <w:sdtPr>
                      <w:alias w:val="Numeris"/>
                      <w:tag w:val="nr_34bc0842d5b0438d8a9500866e9cc1bf"/>
                      <w:lock w:val="sdtLocked"/>
                      <w:richText/>
                    </w:sdtPr>
                    <w:sdtContent>
                      <w:r>
                        <w:t>1</w:t>
                      </w:r>
                    </w:sdtContent>
                  </w:sdt>
                  <w:r>
                    <w:t xml:space="preserve">. Išmokų vaikams skyrimo ir mokėjimo nuostatai (toliau vadinama – Nuostatai) reglamentuoja Lietuvos Respublikos išmokų vaikams įstatymo (Žin., 1994, Nr. </w:t>
                  </w:r>
                  <w:hyperlink r:id="rId18" w:history="1">
                    <w:r>
                      <w:t>89-1706</w:t>
                    </w:r>
                  </w:hyperlink>
                  <w:r>
                    <w:t xml:space="preserve">; 2004, Nr. </w:t>
                  </w:r>
                  <w:hyperlink r:id="rId19" w:history="1">
                    <w:r>
                      <w:t>88-3208</w:t>
                    </w:r>
                  </w:hyperlink>
                  <w:r>
                    <w:t xml:space="preserve">) (toliau vadinama – Išmokų vaikams įstatymas) nustatytų išmokų (toliau vadinama – išmokos) skyrimo ir mokėjimo tvarką, taikomą ir Lietuvos Respublikos socialinių išmokų perskaičiavimo ir mokėjimo laikinojo įstatymo (Žin., 2009, Nr. </w:t>
                  </w:r>
                  <w:hyperlink r:id="rId20" w:tgtFrame="_blank" w:history="1">
                    <w:r>
                      <w:rPr>
                        <w:color w:val="0000FF" w:themeColor="hyperlink"/>
                        <w:u w:val="single"/>
                      </w:rPr>
                      <w:t>152-6820</w:t>
                    </w:r>
                  </w:hyperlink>
                  <w:r>
                    <w:t xml:space="preserve">) (toliau vadinama – Socialinių išmokų perskaičiavimo ir mokėjimo laikinasis įstatymas) galiojimo laikotarpiu nustatytam išmokos vaikui skyrimui ir mokėjimui.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4427146c18c54166be9c65615209d51a"/>
                <w:lock w:val="sdtLocked"/>
                <w:richText/>
              </w:sdtPr>
              <w:sdtContent>
                <w:p>
                  <w:pPr>
                    <w:ind w:firstLine="709"/>
                    <w:jc w:val="both"/>
                    <w:rPr>
                      <w:color w:val="000000"/>
                    </w:rPr>
                  </w:pPr>
                  <w:sdt>
                    <w:sdtPr>
                      <w:alias w:val="Numeris"/>
                      <w:tag w:val="nr_4427146c18c54166be9c65615209d51a"/>
                      <w:lock w:val="sdtLocked"/>
                      <w:richText/>
                    </w:sdtPr>
                    <w:sdtContent>
                      <w:r>
                        <w:t>3</w:t>
                      </w:r>
                    </w:sdtContent>
                  </w:sdt>
                  <w:r>
                    <w:t xml:space="preserve">. Jeigu tik vienas iš vaiko tėvų (įtėvių), globėjų (rūpintojų) atitinka Išmokų vaikams įstatymo 1 straipsnio 2 dalies taikymo sąlygas, skiriant išmokas, atsižvelgiama į Išmokų vaikams įstatymo 1 straipsnio 3 dalyje nustatytus išmokų skyrimo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4 p."/>
                <w:tag w:val="part_b2f4599462ef4daf86bc97da06cdc0b7"/>
                <w:lock w:val="sdtLocked"/>
                <w:richText/>
              </w:sdtPr>
              <w:sdtContent>
                <w:p>
                  <w:pPr>
                    <w:ind w:firstLine="708"/>
                    <w:jc w:val="both"/>
                  </w:pPr>
                  <w:sdt>
                    <w:sdtPr>
                      <w:alias w:val="Numeris"/>
                      <w:tag w:val="nr_b2f4599462ef4daf86bc97da06cdc0b7"/>
                      <w:lock w:val="sdtLocked"/>
                      <w:richText/>
                    </w:sdtPr>
                    <w:sdtContent>
                      <w:r>
                        <w:rPr>
                          <w:color w:val="000000"/>
                        </w:rPr>
                        <w:t>4</w:t>
                      </w:r>
                    </w:sdtContent>
                  </w:sdt>
                  <w:r>
                    <w:rPr>
                      <w:color w:val="000000"/>
                    </w:rPr>
                    <w:t xml:space="preserve">. Išmokas skiria ir moka savivaldybės administracija, vadovaudamasi Išmokų vaikams įstatymu, </w:t>
                  </w:r>
                  <w:r>
                    <w:t>Socialinių išmokų perskaičiavimo ir mokėjimo laikinojo įstatymo 12 straipsniu</w:t>
                  </w:r>
                  <w:r>
                    <w:rPr>
                      <w:color w:val="000000"/>
                    </w:rPr>
                    <w:t xml:space="preserve">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b299e41ac3f3403b9e0eae5ce6b40ac2"/>
                <w:lock w:val="sdtLocked"/>
                <w:richText/>
              </w:sdtPr>
              <w:sdtContent>
                <w:p>
                  <w:pPr>
                    <w:ind w:firstLine="709"/>
                    <w:jc w:val="both"/>
                    <w:rPr>
                      <w:color w:val="000000"/>
                    </w:rPr>
                  </w:pPr>
                  <w:sdt>
                    <w:sdtPr>
                      <w:alias w:val="Numeris"/>
                      <w:tag w:val="nr_b299e41ac3f3403b9e0eae5ce6b40ac2"/>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pilnamečiai asmenys, besimokantys Lietuvos bendrojo ugdymo mokyklose, profesinio mokymo įstaigose ir aukštosiose mokyklose, kreipiasi į savivaldybės, kurios teritorijoje yra mokykla, administraciją, o studijuojantys užsienio valstybių bendrojo ugdymo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3879936ea077493582b1311c41ac5f68"/>
                <w:lock w:val="sdtLocked"/>
                <w:richText/>
              </w:sdtPr>
              <w:sdtContent>
                <w:p>
                  <w:pPr>
                    <w:ind w:firstLine="709"/>
                    <w:jc w:val="both"/>
                    <w:rPr>
                      <w:color w:val="000000"/>
                    </w:rPr>
                  </w:pPr>
                  <w:sdt>
                    <w:sdtPr>
                      <w:alias w:val="Numeris"/>
                      <w:tag w:val="nr_3879936ea077493582b1311c41ac5f68"/>
                      <w:lock w:val="sdtLocked"/>
                      <w:richText/>
                    </w:sdtPr>
                    <w:sdtContent>
                      <w:r>
                        <w:rPr>
                          <w:bCs/>
                        </w:rPr>
                        <w:t>9</w:t>
                      </w:r>
                    </w:sdtContent>
                  </w:sdt>
                  <w:r>
                    <w:rPr>
                      <w:bCs/>
                    </w:rPr>
                    <w:t>. Dėl išmokų skyrimo gali kreiptis vienas iš vaiko tėvų, bendrai gyvenančių asmenų, globėjas (rūpintojas) – dėl išmokų jų auginamiems ar globojamiems vaikams, pats pilnametis,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c7276e3f3572435ca01a9562c1bd2dbf"/>
                    <w:lock w:val="sdtLocked"/>
                    <w:richText/>
                  </w:sdtPr>
                  <w:sdtContent>
                    <w:p>
                      <w:pPr>
                        <w:ind w:firstLine="709"/>
                        <w:jc w:val="both"/>
                        <w:rPr>
                          <w:bCs/>
                        </w:rPr>
                      </w:pPr>
                      <w:sdt>
                        <w:sdtPr>
                          <w:alias w:val="Numeris"/>
                          <w:tag w:val="nr_c7276e3f3572435ca01a9562c1bd2dbf"/>
                          <w:lock w:val="sdtLocked"/>
                          <w:richText/>
                        </w:sdtPr>
                        <w:sdtContent>
                          <w:r>
                            <w:rPr>
                              <w:bCs/>
                            </w:rPr>
                            <w:t>12.1</w:t>
                          </w:r>
                        </w:sdtContent>
                      </w:sdt>
                      <w:r>
                        <w:rPr>
                          <w:bCs/>
                        </w:rPr>
                        <w:t>. pateikti mokymo įstaigos pažymą, jeigu vyresnis kaip 18 metų asmuo mokosi ir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8cf2723df3c84cb4a1fb6854e8e38e7c"/>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3 p."/>
                    <w:tag w:val="part_c7f503b373994074923e2de61475dc48"/>
                    <w:lock w:val="sdtLocked"/>
                    <w:richText/>
                  </w:sdtPr>
                  <w:sdtContent>
                    <w:p>
                      <w:pPr>
                        <w:keepNext/>
                        <w:ind w:firstLine="709"/>
                        <w:jc w:val="both"/>
                      </w:pPr>
                      <w:sdt>
                        <w:sdtPr>
                          <w:alias w:val="Numeris"/>
                          <w:tag w:val="nr_c7f503b373994074923e2de61475dc48"/>
                          <w:lock w:val="sdtLocked"/>
                          <w:richText/>
                        </w:sdtPr>
                        <w:sdtContent>
                          <w:r>
                            <w:rPr>
                              <w:bCs/>
                            </w:rPr>
                            <w:t>12.3</w:t>
                          </w:r>
                        </w:sdtContent>
                      </w:sdt>
                      <w:r>
                        <w:rPr>
                          <w:bCs/>
                        </w:rPr>
                        <w:t>. prašyme pažymėti duomenis apie bendrai gyvenančių asmenų ar globėjų (rūpintojų), kai globojamam vaikui globa (rūpyba) nustatyta šeimoje, vidutinių mėnesio pajamų, nustatytų Lietuvos Respublikos piniginės socialinės paramos nepasiturintiems gyventojams įstatymo 17 straipsnio 1 dalyje ir tenkančių vienam asmeniui per mėnesį, dydį per praėjusius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4 p."/>
                    <w:tag w:val="part_5bcf37795dca430895dc03d46b1bff3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4 p."/>
                    <w:tag w:val="part_e01ac3f121e042668105cdefdca30c52"/>
                    <w:lock w:val="sdtLocked"/>
                    <w:richText/>
                  </w:sdtPr>
                  <w:sdtContent>
                    <w:p>
                      <w:pPr>
                        <w:ind w:firstLine="709"/>
                        <w:jc w:val="both"/>
                      </w:pPr>
                      <w:sdt>
                        <w:sdtPr>
                          <w:alias w:val="Numeris"/>
                          <w:tag w:val="nr_e01ac3f121e042668105cdefdca30c52"/>
                          <w:lock w:val="sdtLocked"/>
                          <w:richText/>
                        </w:sdtPr>
                        <w:sdtContent>
                          <w:r>
                            <w:rPr>
                              <w:bCs/>
                            </w:rPr>
                            <w:t>12.4</w:t>
                          </w:r>
                        </w:sdtContent>
                      </w:sdt>
                      <w:r>
                        <w:rPr>
                          <w:bCs/>
                        </w:rPr>
                        <w:t>. pateikti praėjusių 12 kalendorinių mėnesių iki kreipimosi dėl išmokos mėnesio arba praėjusių 12 kalendorinių mėnesių iki teisės gauti išmoką atsiradimo mėnesio bendrai gyvenančių asmenų ar globėjų (rūpintojų), kai globojamam vaikui globa (rūpyba) nustatyta šeimoje, gautų pajamų, nustatytų Lietuvos Respublikos piniginės socialinės paramos nepasiturintiems gyventojams įstatymo 17 straipsnio 1 dalyje, dydį patvirtinančius dokumentus, jeigu šių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c7efa6353c6846838f76a5bda3033003"/>
                    <w:lock w:val="sdtLocked"/>
                    <w:richText/>
                  </w:sdtPr>
                  <w:sdtContent>
                    <w:p>
                      <w:pPr>
                        <w:ind w:firstLine="709"/>
                        <w:jc w:val="both"/>
                        <w:rPr>
                          <w:color w:val="000000"/>
                        </w:rPr>
                      </w:pPr>
                      <w:sdt>
                        <w:sdtPr>
                          <w:alias w:val="Numeris"/>
                          <w:tag w:val="nr_c7efa6353c6846838f76a5bda3033003"/>
                          <w:lock w:val="sdtLocked"/>
                          <w:richText/>
                        </w:sdtPr>
                        <w:sdtContent>
                          <w:r>
                            <w:t>14.7</w:t>
                          </w:r>
                        </w:sdtContent>
                      </w:sdt>
                      <w:r>
                        <w:t>. mokyklos pažymą, kai vaikas (asmuo) mokosi ir yra išlaikomas (nemokamai gauna nakvynę ir maistą) bendrojo ugdymo</w:t>
                      </w:r>
                      <w:r>
                        <w:rPr>
                          <w:b/>
                        </w:rPr>
                        <w:t xml:space="preserve"> </w:t>
                      </w:r>
                      <w:r>
                        <w:t xml:space="preserve">mokyklos ar profesinio mokymo įstaigos bendrabutyje ar vaikų socializacijos centre,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1"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891b3c8ae9848daaa203caf2baf9a49"/>
                <w:lock w:val="sdtLocked"/>
                <w:richText/>
              </w:sdtPr>
              <w:sdtContent>
                <w:p>
                  <w:pPr>
                    <w:ind w:firstLine="709"/>
                    <w:jc w:val="both"/>
                    <w:rPr>
                      <w:color w:val="000000"/>
                    </w:rPr>
                  </w:pPr>
                  <w:sdt>
                    <w:sdtPr>
                      <w:alias w:val="Numeris"/>
                      <w:tag w:val="nr_1891b3c8ae9848daaa203caf2baf9a49"/>
                      <w:lock w:val="sdtLocked"/>
                      <w:richText/>
                    </w:sdtPr>
                    <w:sdtContent>
                      <w:r>
                        <w:rPr>
                          <w:color w:val="000000"/>
                        </w:rPr>
                        <w:t>23</w:t>
                      </w:r>
                    </w:sdtContent>
                  </w:sdt>
                  <w:r>
                    <w:rPr>
                      <w:color w:val="000000"/>
                    </w:rPr>
                    <w:t>. Apskaičiuojant bendrai gyvenančių asmenų vidutines pajamas, tenkančias vienam asmeniui per mėnesį, skaičiuojamos Lietuvos Respublikos piniginės socialinės paramos nepasiturintiems gyventojams įstatymo 17 straipsnio 1 dalyje nustatytos gautos pajamos:</w:t>
                  </w:r>
                </w:p>
                <w:sdt>
                  <w:sdtPr>
                    <w:alias w:val="23.1 p."/>
                    <w:tag w:val="part_71d37f618d494b85900ca63d92c59dec"/>
                    <w:lock w:val="sdtLocked"/>
                    <w:richText/>
                  </w:sdtPr>
                  <w:sdtContent>
                    <w:p>
                      <w:pPr>
                        <w:ind w:firstLine="709"/>
                        <w:jc w:val="both"/>
                        <w:rPr>
                          <w:color w:val="000000"/>
                        </w:rPr>
                      </w:pPr>
                      <w:sdt>
                        <w:sdtPr>
                          <w:alias w:val="Numeris"/>
                          <w:tag w:val="nr_71d37f618d494b85900ca63d92c59dec"/>
                          <w:lock w:val="sdtLocked"/>
                          <w:richText/>
                        </w:sdtPr>
                        <w:sdtContent>
                          <w:r>
                            <w:rPr>
                              <w:color w:val="000000"/>
                            </w:rPr>
                            <w:t>23.1</w:t>
                          </w:r>
                        </w:sdtContent>
                      </w:sdt>
                      <w:r>
                        <w:rPr>
                          <w:color w:val="000000"/>
                        </w:rPr>
                        <w:t>. išskaičiavus gyventojų pajamų mokestį, valstybinio socialinio draudimo ir privalomojo sveikatos draudimo įmokas;</w:t>
                      </w:r>
                    </w:p>
                  </w:sdtContent>
                </w:sdt>
                <w:sdt>
                  <w:sdtPr>
                    <w:alias w:val="23.2 p."/>
                    <w:tag w:val="part_d5294215b2ae4e1597a4dbb8122986f8"/>
                    <w:lock w:val="sdtLocked"/>
                    <w:richText/>
                  </w:sdtPr>
                  <w:sdtContent>
                    <w:p>
                      <w:pPr>
                        <w:ind w:firstLine="709"/>
                        <w:jc w:val="both"/>
                      </w:pPr>
                      <w:sdt>
                        <w:sdtPr>
                          <w:alias w:val="Numeris"/>
                          <w:tag w:val="nr_d5294215b2ae4e1597a4dbb8122986f8"/>
                          <w:lock w:val="sdtLocked"/>
                          <w:richText/>
                        </w:sdtPr>
                        <w:sdtContent>
                          <w:r>
                            <w:t>23.2</w:t>
                          </w:r>
                        </w:sdtContent>
                      </w:sdt>
                      <w:r>
                        <w:t xml:space="preserve">. įskaitant kalendoriniais metais ar laikotarpiu, pagal kurį skaičiuojamos pajamos teisei į išmoką vaikui nustatyti, gautas sumas į pajamas tų mėnesių, kuriais jos išmokėtos; </w:t>
                      </w:r>
                    </w:p>
                  </w:sdtContent>
                </w:sdt>
                <w:sdt>
                  <w:sdtPr>
                    <w:alias w:val="23.3 p."/>
                    <w:tag w:val="part_5c0d4e0ff0e24773bd68309f93e9e616"/>
                    <w:lock w:val="sdtLocked"/>
                    <w:richText/>
                  </w:sdtPr>
                  <w:sdtContent>
                    <w:p>
                      <w:pPr>
                        <w:ind w:firstLine="709"/>
                        <w:jc w:val="both"/>
                      </w:pPr>
                      <w:sdt>
                        <w:sdtPr>
                          <w:alias w:val="Numeris"/>
                          <w:tag w:val="nr_5c0d4e0ff0e24773bd68309f93e9e616"/>
                          <w:lock w:val="sdtLocked"/>
                          <w:richText/>
                        </w:sdtPr>
                        <w:sdtContent>
                          <w:r>
                            <w:t>23.3</w:t>
                          </w:r>
                        </w:sdtContent>
                      </w:sdt>
                      <w:r>
                        <w:t>. piniginių lėšų, mokamų vaikui išlaikyti (alimentų), neįskaitant į jas mokančio asmens pajamas;</w:t>
                      </w:r>
                    </w:p>
                  </w:sdtContent>
                </w:sdt>
                <w:sdt>
                  <w:sdtPr>
                    <w:alias w:val="23.4 p."/>
                    <w:tag w:val="part_5f5bcbe62aba407a96ef3caf35e13730"/>
                    <w:lock w:val="sdtLocked"/>
                    <w:richText/>
                  </w:sdtPr>
                  <w:sdtContent>
                    <w:p>
                      <w:pPr>
                        <w:ind w:firstLine="709"/>
                        <w:jc w:val="both"/>
                      </w:pPr>
                      <w:sdt>
                        <w:sdtPr>
                          <w:alias w:val="Numeris"/>
                          <w:tag w:val="nr_5f5bcbe62aba407a96ef3caf35e13730"/>
                          <w:lock w:val="sdtLocked"/>
                          <w:richText/>
                        </w:sdtPr>
                        <w:sdtContent>
                          <w:r>
                            <w:t>23.4</w:t>
                          </w:r>
                        </w:sdtContent>
                      </w:sdt>
                      <w:r>
                        <w:t>. neįskaitant globojamo vaiko, kuriam globa (rūpyba) nustatyta šeimoje, gautų pajamų į globėjų (rūpintojų) gautas pajamas ir nenustatant jam tenkančios pajamų dalies;</w:t>
                      </w:r>
                      <w:r>
                        <w:rPr>
                          <w:b/>
                        </w:rPr>
                        <w:t xml:space="preserve"> </w:t>
                      </w:r>
                      <w:r>
                        <w:t>į bendrai gyvenančių asmenų auginamų vaikų skaičių globojamas vaikas įskaitomas.</w:t>
                      </w:r>
                    </w:p>
                    <w:p>
                      <w:pPr>
                        <w:ind w:firstLine="709"/>
                        <w:jc w:val="both"/>
                      </w:pPr>
                      <w:r>
                        <w:t>Jeigu kreipimosi dėl išmokos vaikui metu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
                    <w:tag w:val="part_623ec9a8d99e48c4a1bda9017715a051"/>
                    <w:lock w:val="sdtLocked"/>
                    <w:richText/>
                  </w:sdtPr>
                  <w:sdtContent>
                    <w:p>
                      <w:pPr>
                        <w:ind w:firstLine="709"/>
                        <w:jc w:val="both"/>
                      </w:pPr>
                      <w:sdt>
                        <w:sdtPr>
                          <w:alias w:val="Numeris"/>
                          <w:tag w:val="nr_623ec9a8d99e48c4a1bda9017715a051"/>
                          <w:lock w:val="sdtLocked"/>
                          <w:richText/>
                        </w:sdtPr>
                        <w:sdtContent>
                          <w:r>
                            <w:t>23.5</w:t>
                          </w:r>
                        </w:sdtContent>
                      </w:sdt>
                      <w: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
                    <w:tag w:val="part_b7beb693b062423cbdf724294a9b724e"/>
                    <w:lock w:val="sdtLocked"/>
                    <w:richText/>
                  </w:sdtPr>
                  <w:sdtContent>
                    <w:p>
                      <w:pPr>
                        <w:ind w:firstLine="709"/>
                        <w:jc w:val="both"/>
                      </w:pPr>
                      <w:sdt>
                        <w:sdtPr>
                          <w:alias w:val="Numeris"/>
                          <w:tag w:val="nr_b7beb693b062423cbdf724294a9b724e"/>
                          <w:lock w:val="sdtLocked"/>
                          <w:richText/>
                        </w:sdtPr>
                        <w:sdtContent>
                          <w:r>
                            <w:t>23.6</w:t>
                          </w:r>
                        </w:sdtContent>
                      </w:sdt>
                      <w:r>
                        <w:t>. skaičiuojant bendrai gyvenančių asmenų gautas pajamas tuo laikotarpiu, pagal kurį nustatoma teisė į išmoką vaikui, jeigu kreipiamasi dėl išmokos mokėjimo už praėjusį laikotarpį;</w:t>
                      </w:r>
                    </w:p>
                  </w:sdtContent>
                </w:sdt>
                <w:sdt>
                  <w:sdtPr>
                    <w:alias w:val="23.7 p."/>
                    <w:tag w:val="part_d5984fd7b5d047e0a7eeeeea83b6ae2d"/>
                    <w:lock w:val="sdtLocked"/>
                    <w:richText/>
                  </w:sdtPr>
                  <w:sdtContent>
                    <w:p>
                      <w:pPr>
                        <w:ind w:firstLine="709"/>
                        <w:jc w:val="both"/>
                      </w:pPr>
                      <w:sdt>
                        <w:sdtPr>
                          <w:alias w:val="Numeris"/>
                          <w:tag w:val="nr_d5984fd7b5d047e0a7eeeeea83b6ae2d"/>
                          <w:lock w:val="sdtLocked"/>
                          <w:richText/>
                        </w:sdtPr>
                        <w:sdtContent>
                          <w:r>
                            <w:t>23.7</w:t>
                          </w:r>
                        </w:sdtContent>
                      </w:sdt>
                      <w:r>
                        <w:t>. skaičiuojant bendrai gyvenančių asmenų individualios veiklos pagal individualios veiklos vykdymo pažymą gautas pajamas, atskaičius leidžiamus atskaitymus;</w:t>
                      </w:r>
                    </w:p>
                  </w:sdtContent>
                </w:sdt>
                <w:sdt>
                  <w:sdtPr>
                    <w:alias w:val="23.8 p."/>
                    <w:tag w:val="part_41f37bc605ce4302bdadaa3e95623586"/>
                    <w:lock w:val="sdtLocked"/>
                    <w:richText/>
                  </w:sdtPr>
                  <w:sdtContent>
                    <w:p>
                      <w:pPr>
                        <w:ind w:firstLine="709"/>
                        <w:jc w:val="both"/>
                        <w:rPr>
                          <w:color w:val="000000"/>
                        </w:rPr>
                      </w:pPr>
                      <w:sdt>
                        <w:sdtPr>
                          <w:alias w:val="Numeris"/>
                          <w:tag w:val="nr_41f37bc605ce4302bdadaa3e95623586"/>
                          <w:lock w:val="sdtLocked"/>
                          <w:richText/>
                        </w:sdtPr>
                        <w:sdtContent>
                          <w:r>
                            <w:t>23.8</w:t>
                          </w:r>
                        </w:sdtContent>
                      </w:sdt>
                      <w:r>
                        <w:t xml:space="preserve">. įskaitant gautą socialinę pašalpą ir neįskaitant išmokos vaikui ir būsto šildymo išlaidų, išlaidų šaltam vandeniui ir karštam vandeniui kompensacijų.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1a3362074c0c4e7d978a80ecbad009d1"/>
                <w:lock w:val="sdtLocked"/>
                <w:richText/>
              </w:sdtPr>
              <w:sdtContent>
                <w:p>
                  <w:pPr>
                    <w:ind w:firstLine="709"/>
                    <w:jc w:val="both"/>
                    <w:rPr>
                      <w:color w:val="000000"/>
                    </w:rPr>
                  </w:pPr>
                  <w:sdt>
                    <w:sdtPr>
                      <w:alias w:val="Numeris"/>
                      <w:tag w:val="nr_1a3362074c0c4e7d978a80ecbad009d1"/>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rPr>
                      <w:color w:val="000000"/>
                    </w:rPr>
                    <w:t xml:space="preserve">Žin., 2008, Nr. </w:t>
                  </w:r>
                  <w:hyperlink r:id="rId25" w:tgtFrame="_blank" w:history="1">
                    <w:r>
                      <w:rPr>
                        <w:color w:val="0000FF" w:themeColor="hyperlink"/>
                        <w:u w:val="single"/>
                      </w:rPr>
                      <w:t>64-2429</w:t>
                    </w:r>
                  </w:hyperlink>
                  <w:r>
                    <w:rPr>
                      <w:bCs/>
                      <w:color w:val="000000"/>
                    </w:rPr>
                    <w:t xml:space="preserve">), pateikia </w:t>
                  </w:r>
                  <w:r>
                    <w:rPr>
                      <w:bCs/>
                    </w:rPr>
                    <w:t xml:space="preserve">Valstybinei mokesčių inspekcijai prie Finansų ministerijos (toliau vadinama – Valstybinė mokesčių inspekcija) užklausą dėl Valstybinės mokesčių inspekcijos turimų duomenų apie bendrai gyvenančių asmenų, </w:t>
                  </w:r>
                  <w:r>
                    <w:rPr>
                      <w:bCs/>
                      <w:color w:val="000000"/>
                    </w:rPr>
                    <w:t>kurių auginamiems ir (ar) globojamiems vaikams naujai</w:t>
                  </w:r>
                  <w:r>
                    <w:rPr>
                      <w:bCs/>
                    </w:rPr>
                    <w:t xml:space="preserve"> per praėjusį laikotarpį paskirta išmoka vaikui, gautas pajamas. </w:t>
                  </w:r>
                  <w:r>
                    <w:t xml:space="preserve">Valstybinei mokesčių inspekcijai neteikiami globojamo vaiko, kuriam mokama globos (rūpybos) išmoka ir (ar) našlaičių pensija, asmens duomenys ir bendrai gyvenančių asmenų, gaunančių socialinę pašalpą arba socialinę paramą mokiniams, asmens duomenys.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5 p."/>
                <w:tag w:val="part_4746074bf7d447539f8441401c94d23e"/>
                <w:lock w:val="sdtLocked"/>
                <w:richText/>
              </w:sdtPr>
              <w:sdtContent>
                <w:p>
                  <w:pPr>
                    <w:ind w:firstLine="720"/>
                    <w:jc w:val="both"/>
                    <w:rPr>
                      <w:color w:val="000000"/>
                    </w:rPr>
                  </w:pPr>
                  <w:sdt>
                    <w:sdtPr>
                      <w:alias w:val="Numeris"/>
                      <w:tag w:val="nr_4746074bf7d447539f8441401c94d23e"/>
                      <w:lock w:val="sdtLocked"/>
                      <w:richText/>
                    </w:sdtPr>
                    <w:sdtContent>
                      <w:r>
                        <w:rPr>
                          <w:bCs/>
                          <w:szCs w:val="24"/>
                          <w:lang w:eastAsia="lt-LT"/>
                        </w:rPr>
                        <w:t>25</w:t>
                      </w:r>
                    </w:sdtContent>
                  </w:sdt>
                  <w:r>
                    <w:rPr>
                      <w:bCs/>
                      <w:szCs w:val="24"/>
                      <w:lang w:eastAsia="lt-LT"/>
                    </w:rPr>
                    <w:t xml:space="preserve">. </w:t>
                  </w:r>
                  <w:r>
                    <w:rPr>
                      <w:szCs w:val="24"/>
                      <w:lang w:eastAsia="lt-LT"/>
                    </w:rPr>
                    <w:t>Vienkartinės išmokos vaikui, vienkartinės išmokos įsikurti ir vienkartinės išmokos nėščiai moteriai dydis apskaičiuojamas pagal teisės į išmoką atsiradimo dieną galiojančius išmokos ir bazinės socialinės išmokos dydžius. Išmokos vaikui, išmokos privalomosios pradinės karo tarnybos kario vaikui, globos (rūpybos) išmokos ir globos (rūpybos) išmokos tikslinio priedo dydis apskaičiuojamas pagal tą mėnesį, už kurį išmoka mokama,</w:t>
                  </w:r>
                  <w:r>
                    <w:rPr>
                      <w:b/>
                      <w:bCs/>
                      <w:szCs w:val="24"/>
                      <w:lang w:eastAsia="lt-LT"/>
                    </w:rPr>
                    <w:t xml:space="preserve"> </w:t>
                  </w:r>
                  <w:r>
                    <w:rPr>
                      <w:szCs w:val="24"/>
                      <w:lang w:eastAsia="lt-LT"/>
                    </w:rPr>
                    <w:t>galiojančius išmokos ir bazinės socialinės išmokos dydžius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3f2a739d368469bb6cedd10dda59819"/>
                <w:lock w:val="sdtLocked"/>
                <w:richText/>
              </w:sdtPr>
              <w:sdtContent>
                <w:p>
                  <w:pPr>
                    <w:ind w:firstLine="709"/>
                    <w:jc w:val="both"/>
                  </w:pPr>
                  <w:sdt>
                    <w:sdtPr>
                      <w:alias w:val="Numeris"/>
                      <w:tag w:val="nr_13f2a739d368469bb6cedd10dda59819"/>
                      <w:lock w:val="sdtLocked"/>
                      <w:richText/>
                    </w:sdtPr>
                    <w:sdtContent>
                      <w:r>
                        <w:t>27</w:t>
                      </w:r>
                    </w:sdtContent>
                  </w:sdt>
                  <w:r>
                    <w:t>. Savivaldybės administracija, priėmusi sprendimą skirti išmokas vaikams:</w:t>
                  </w:r>
                </w:p>
                <w:sdt>
                  <w:sdtPr>
                    <w:alias w:val="27.1 p."/>
                    <w:tag w:val="part_c424422db926482594952a8b02d4befe"/>
                    <w:lock w:val="sdtLocked"/>
                    <w:richText/>
                  </w:sdtPr>
                  <w:sdtContent>
                    <w:p>
                      <w:pPr>
                        <w:ind w:firstLine="709"/>
                        <w:jc w:val="both"/>
                      </w:pPr>
                      <w:sdt>
                        <w:sdtPr>
                          <w:alias w:val="Numeris"/>
                          <w:tag w:val="nr_c424422db926482594952a8b02d4befe"/>
                          <w:lock w:val="sdtLocked"/>
                          <w:richText/>
                        </w:sdtPr>
                        <w:sdtContent>
                          <w:r>
                            <w:t>27.1</w:t>
                          </w:r>
                        </w:sdtContent>
                      </w:sdt>
                      <w:r>
                        <w:t>. jos mokėjimą vykdo, iki atsiranda aplinkybės, turinčios įtakos išmokos dydžio pasikeitimui, išmokos mokėjimo sustabdymui ar nutraukimui;</w:t>
                      </w:r>
                    </w:p>
                  </w:sdtContent>
                </w:sdt>
                <w:sdt>
                  <w:sdtPr>
                    <w:alias w:val="27.2 p."/>
                    <w:tag w:val="part_4b99ba759a674ea0be0b17ad7b8f3bad"/>
                    <w:lock w:val="sdtLocked"/>
                    <w:richText/>
                  </w:sdtPr>
                  <w:sdtContent>
                    <w:p>
                      <w:pPr>
                        <w:ind w:firstLine="709"/>
                        <w:jc w:val="both"/>
                        <w:rPr>
                          <w:color w:val="000000"/>
                        </w:rPr>
                      </w:pPr>
                      <w:sdt>
                        <w:sdtPr>
                          <w:alias w:val="Numeris"/>
                          <w:tag w:val="nr_4b99ba759a674ea0be0b17ad7b8f3bad"/>
                          <w:lock w:val="sdtLocked"/>
                          <w:richText/>
                        </w:sdtPr>
                        <w:sdtContent>
                          <w:r>
                            <w:t>27.2</w:t>
                          </w:r>
                        </w:sdtContent>
                      </w:sdt>
                      <w:r>
                        <w:t xml:space="preserve">. nustato 12 mėnesių išmokos vaikui mokėjimo terminą arba trumpesnį išmokos vaikui mokėjimo terminą, kai </w:t>
                      </w:r>
                      <w:r>
                        <w:rPr>
                          <w:color w:val="000000"/>
                        </w:rPr>
                        <w:t>vaikui sukanka įstatymo nustatytas amžius, iki kurio gali būti mokama išmoka</w:t>
                      </w:r>
                      <w:r>
                        <w:t xml:space="preserve">, arba išmoka vaikui pradedama mokėti ir kitam tų pačių bendrai gyvenančių asmenų auginamam ir (ar) globojamam vaikui, </w:t>
                      </w:r>
                      <w:r>
                        <w:rPr>
                          <w:color w:val="000000"/>
                        </w:rPr>
                        <w:t>suvienodinant skiriamos ir jau mokamos išmokos vaikui mokėjimo laikotarpį;</w:t>
                      </w:r>
                    </w:p>
                  </w:sdtContent>
                </w:sdt>
                <w:sdt>
                  <w:sdtPr>
                    <w:alias w:val="27.3 p."/>
                    <w:tag w:val="part_76abd8e6036242f6bf3f6c6cf5ec632a"/>
                    <w:lock w:val="sdtLocked"/>
                    <w:richText/>
                  </w:sdtPr>
                  <w:sdtContent>
                    <w:p>
                      <w:pPr>
                        <w:ind w:firstLine="709"/>
                        <w:jc w:val="both"/>
                        <w:rPr>
                          <w:color w:val="000000"/>
                        </w:rPr>
                      </w:pPr>
                      <w:sdt>
                        <w:sdtPr>
                          <w:alias w:val="Numeris"/>
                          <w:tag w:val="nr_76abd8e6036242f6bf3f6c6cf5ec632a"/>
                          <w:lock w:val="sdtLocked"/>
                          <w:richText/>
                        </w:sdtPr>
                        <w:sdtContent>
                          <w:r>
                            <w:rPr>
                              <w:color w:val="000000"/>
                            </w:rPr>
                            <w:t>27.3</w:t>
                          </w:r>
                        </w:sdtContent>
                      </w:sdt>
                      <w:r>
                        <w:rPr>
                          <w:color w:val="000000"/>
                        </w:rPr>
                        <w:t>. skiria ir moka išmoką vaikui, iki kiekvienam vaikui sukanka 18 metų, tuo atveju, jeigu bendrai gyvenantys asmenys augina ir (ar) globoja (rūpina) šeimoje tris ir daugiau vaikų ir jų pilnamečiai vaikai mokosi pagal Išmokų vaikams įstatymo 6 straipsnio 2 dalies 1 punkte nurodytas ugdymo ir mokymo programas, į mokymosi laikotarpį įskaitant laikotarpį nuo bendrojo ugdymo programos baigimo dienos iki tų pačių metų rugsėjo 1 dienos;</w:t>
                      </w:r>
                      <w:r>
                        <w:rPr>
                          <w:bCs/>
                        </w:rPr>
                        <w:t xml:space="preserve"> </w:t>
                      </w:r>
                    </w:p>
                  </w:sdtContent>
                </w:sdt>
                <w:sdt>
                  <w:sdtPr>
                    <w:alias w:val="27.4 p."/>
                    <w:tag w:val="part_c32b875953464b63a6f788167467ad19"/>
                    <w:lock w:val="sdtLocked"/>
                    <w:richText/>
                  </w:sdtPr>
                  <w:sdtContent>
                    <w:p>
                      <w:pPr>
                        <w:ind w:firstLine="709"/>
                        <w:jc w:val="both"/>
                        <w:rPr>
                          <w:bCs/>
                        </w:rPr>
                      </w:pPr>
                      <w:sdt>
                        <w:sdtPr>
                          <w:alias w:val="Numeris"/>
                          <w:tag w:val="nr_c32b875953464b63a6f788167467ad19"/>
                          <w:lock w:val="sdtLocked"/>
                          <w:richText/>
                        </w:sdtPr>
                        <w:sdtContent>
                          <w:r>
                            <w:rPr>
                              <w:bCs/>
                            </w:rPr>
                            <w:t>27.4</w:t>
                          </w:r>
                        </w:sdtContent>
                      </w:sdt>
                      <w:r>
                        <w:rPr>
                          <w:bCs/>
                        </w:rPr>
                        <w:t>. sustabdo išmokos mokėjimą tuo atveju, jeigu kiekvienais naujaisiais mokslo metais per mėnesį nuo mokslo metų toje mokymo įstaigoje pradžios nepateikiama Nuostatų 12.1, 14.7 ir 14.9 punktuose nurodyta pažyma, kai šių duomenų nėra valstybės ir žinybiniuose registruose ir valstybės informacinėse sistemose;</w:t>
                      </w:r>
                    </w:p>
                  </w:sdtContent>
                </w:sdt>
                <w:sdt>
                  <w:sdtPr>
                    <w:alias w:val="27.5 p."/>
                    <w:tag w:val="part_3103b35aa7644025bdf08f0fc4ddb764"/>
                    <w:lock w:val="sdtLocked"/>
                    <w:richText/>
                  </w:sdtPr>
                  <w:sdtContent>
                    <w:p>
                      <w:pPr>
                        <w:ind w:firstLine="709"/>
                        <w:jc w:val="both"/>
                        <w:rPr>
                          <w:bCs/>
                        </w:rPr>
                      </w:pPr>
                      <w:sdt>
                        <w:sdtPr>
                          <w:alias w:val="Numeris"/>
                          <w:tag w:val="nr_3103b35aa7644025bdf08f0fc4ddb764"/>
                          <w:lock w:val="sdtLocked"/>
                          <w:richText/>
                        </w:sdtPr>
                        <w:sdtContent>
                          <w:r>
                            <w:rPr>
                              <w:bCs/>
                            </w:rPr>
                            <w:t>27.5</w:t>
                          </w:r>
                        </w:sdtContent>
                      </w:sdt>
                      <w:r>
                        <w:rPr>
                          <w:bCs/>
                        </w:rPr>
                        <w:t xml:space="preserve">. besimokančiajam mokymo įstaigoje baigiamaisiais mokymosi metais globos (rūpybos) išmoką skiria </w:t>
                      </w:r>
                      <w:r>
                        <w:rPr>
                          <w:bCs/>
                          <w:color w:val="000000"/>
                        </w:rPr>
                        <w:t>ir moka</w:t>
                      </w:r>
                      <w:r>
                        <w:rPr>
                          <w:bCs/>
                        </w:rPr>
                        <w:t xml:space="preserve"> iki tų mokslo metų pabaigos; baigiančiajam dieninę bendrojo </w:t>
                      </w:r>
                      <w:r>
                        <w:rPr>
                          <w:bCs/>
                          <w:color w:val="000000"/>
                        </w:rPr>
                        <w:t>ugdymo</w:t>
                      </w:r>
                      <w:r>
                        <w:rPr>
                          <w:bCs/>
                        </w:rPr>
                        <w:t xml:space="preserve"> mokyklą globos (rūpybos) išmoką skiria ir moka iki tų pačių metų rugsėjo 1 dienos;</w:t>
                      </w:r>
                    </w:p>
                  </w:sdtContent>
                </w:sdt>
                <w:sdt>
                  <w:sdtPr>
                    <w:alias w:val="27.6 p."/>
                    <w:tag w:val="part_b21306dc07b84597940bbd318bc33c3e"/>
                    <w:lock w:val="sdtLocked"/>
                    <w:richText/>
                  </w:sdtPr>
                  <w:sdtContent>
                    <w:p>
                      <w:pPr>
                        <w:ind w:firstLine="709"/>
                        <w:jc w:val="both"/>
                        <w:rPr>
                          <w:bCs/>
                        </w:rPr>
                      </w:pPr>
                      <w:sdt>
                        <w:sdtPr>
                          <w:alias w:val="Numeris"/>
                          <w:tag w:val="nr_b21306dc07b84597940bbd318bc33c3e"/>
                          <w:lock w:val="sdtLocked"/>
                          <w:richText/>
                        </w:sdtPr>
                        <w:sdtContent>
                          <w:r>
                            <w:rPr>
                              <w:bCs/>
                            </w:rPr>
                            <w:t>27.6</w:t>
                          </w:r>
                        </w:sdtContent>
                      </w:sdt>
                      <w:r>
                        <w:rPr>
                          <w:bCs/>
                        </w:rPr>
                        <w:t xml:space="preserve">. už vaiką, kuriam nustatyta globa (rūpyba) šeimynoje, jo globos (rūpybos) šeimynoje laikotarpiu vaiko globėjui (rūpintojui) skiria ir kartą per mėnesį moka globos (rūpybos) išmokos tikslinį priedą; </w:t>
                      </w:r>
                    </w:p>
                  </w:sdtContent>
                </w:sdt>
                <w:sdt>
                  <w:sdtPr>
                    <w:alias w:val="27.7 p."/>
                    <w:tag w:val="part_186ad8f2e69d48e78ffb514a260ccdab"/>
                    <w:lock w:val="sdtLocked"/>
                    <w:richText/>
                  </w:sdtPr>
                  <w:sdtContent>
                    <w:p>
                      <w:pPr>
                        <w:ind w:firstLine="709"/>
                        <w:jc w:val="both"/>
                      </w:pPr>
                      <w:sdt>
                        <w:sdtPr>
                          <w:alias w:val="Numeris"/>
                          <w:tag w:val="nr_186ad8f2e69d48e78ffb514a260ccdab"/>
                          <w:lock w:val="sdtLocked"/>
                          <w:richText/>
                        </w:sdtPr>
                        <w:sdtContent>
                          <w:r>
                            <w:t>27.7</w:t>
                          </w:r>
                        </w:sdtContent>
                      </w:sdt>
                      <w:r>
                        <w:t>. globos (rūpybos) išmoką moka šeimynai ar socialinės globos įstaigai, jeigu besimokantis vyresnis negu 18 metų asmuo lieka gyventi ir yra išlaikomas (nemokamai gauna nakvynę, maistą ir kitas paslaugas) šeimynoje ar socialinės globos įstaigoje, kurioje iki pilnametystės jam buvo nustatyta globa (rūpyba);</w:t>
                      </w:r>
                    </w:p>
                  </w:sdtContent>
                </w:sdt>
                <w:sdt>
                  <w:sdtPr>
                    <w:alias w:val="27.8 p."/>
                    <w:tag w:val="part_e74487dabbf0467dbb6a2f482c7cb9ce"/>
                    <w:lock w:val="sdtLocked"/>
                    <w:richText/>
                  </w:sdtPr>
                  <w:sdtContent>
                    <w:p>
                      <w:pPr>
                        <w:ind w:firstLine="709"/>
                        <w:jc w:val="both"/>
                        <w:rPr>
                          <w:color w:val="000000"/>
                        </w:rPr>
                      </w:pPr>
                      <w:sdt>
                        <w:sdtPr>
                          <w:alias w:val="Numeris"/>
                          <w:tag w:val="nr_e74487dabbf0467dbb6a2f482c7cb9ce"/>
                          <w:lock w:val="sdtLocked"/>
                          <w:richText/>
                        </w:sdtPr>
                        <w:sdtContent>
                          <w:r>
                            <w:t>27.8</w:t>
                          </w:r>
                        </w:sdtContent>
                      </w:sdt>
                      <w: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įstatymo nustatytas išmokas, ir nevykdo kitų Išmokų vaikams įstatymo 19 straipsnyje nustatytų pareigų, tėvams apribota tėvų valdžia, globėjas (rūpintojas) atleistas ar nušalintas nuo globėjo (rūpintojo) pareigų</w:t>
                      </w:r>
                      <w:r>
                        <w:rPr>
                          <w:color w:val="000000"/>
                        </w:rPr>
                        <w:t>;</w:t>
                      </w:r>
                    </w:p>
                  </w:sdtContent>
                </w:sdt>
                <w:sdt>
                  <w:sdtPr>
                    <w:alias w:val="27.9 p."/>
                    <w:tag w:val="part_cabccc64f0024c759291ccc6a693c75a"/>
                    <w:lock w:val="sdtLocked"/>
                    <w:richText/>
                  </w:sdtPr>
                  <w:sdtContent>
                    <w:p>
                      <w:pPr>
                        <w:ind w:firstLine="709"/>
                        <w:jc w:val="both"/>
                      </w:pPr>
                      <w:sdt>
                        <w:sdtPr>
                          <w:alias w:val="Numeris"/>
                          <w:tag w:val="nr_cabccc64f0024c759291ccc6a693c75a"/>
                          <w:lock w:val="sdtLocked"/>
                          <w:richText/>
                        </w:sdtPr>
                        <w:sdtContent>
                          <w:r>
                            <w:rPr>
                              <w:color w:val="000000"/>
                            </w:rPr>
                            <w:t>27.9</w:t>
                          </w:r>
                        </w:sdtContent>
                      </w:sdt>
                      <w:r>
                        <w:rPr>
                          <w:color w:val="000000"/>
                        </w:rPr>
                        <w:t>. išskaičiuoja</w:t>
                      </w:r>
                      <w:r>
                        <w:t xml:space="preserve"> iš kitų pagal šį įstatymą mokamų išmokų dėl gavėjo kaltės permokėtą išmokos vaikui sumą, jeigu ši suma nėra grąžinta ar nėra priimtas sprendimas dėl jos grąžinimo dalimis; negrąžintą ar neišskaičiuotą permokėtą išmokos sumą išieško teismo tvarka, jeigu įvertinus savivaldybės administracijos specialistų, atliekančių veiksmus dėl išmokos vaikui permokos išieškojimo teismo tvarka, darbo valandinį įkainį, veiksmams atlikti skiriamą darbo laiko trukmę ir su šiais veiksmais susijusias kitas išmokų vaikams administravimo išlaidas, su išieškojimu susijusios administravimo išlaidos neviršija išieškotinos sumos; </w:t>
                      </w:r>
                    </w:p>
                  </w:sdtContent>
                </w:sdt>
                <w:sdt>
                  <w:sdtPr>
                    <w:alias w:val="27.10 p."/>
                    <w:tag w:val="part_5ffdd1c8bdc84017b459a22cf447f2b3"/>
                    <w:lock w:val="sdtLocked"/>
                    <w:richText/>
                  </w:sdtPr>
                  <w:sdtContent>
                    <w:p>
                      <w:pPr>
                        <w:ind w:firstLine="709"/>
                        <w:jc w:val="both"/>
                        <w:rPr>
                          <w:color w:val="000000"/>
                        </w:rPr>
                      </w:pPr>
                      <w:sdt>
                        <w:sdtPr>
                          <w:alias w:val="Numeris"/>
                          <w:tag w:val="nr_5ffdd1c8bdc84017b459a22cf447f2b3"/>
                          <w:lock w:val="sdtLocked"/>
                          <w:richText/>
                        </w:sdtPr>
                        <w:sdtContent>
                          <w:r>
                            <w:rPr>
                              <w:color w:val="000000"/>
                            </w:rPr>
                            <w:t>27.10</w:t>
                          </w:r>
                        </w:sdtContent>
                      </w:sdt>
                      <w:r>
                        <w:rPr>
                          <w:color w:val="000000"/>
                        </w:rPr>
                        <w:t>.</w:t>
                      </w:r>
                      <w:r>
                        <w:t xml:space="preserve"> </w:t>
                      </w:r>
                      <w:r>
                        <w:rPr>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2"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dfff17dc97c1478692f8cb60dfd3d1c7"/>
                <w:lock w:val="sdtLocked"/>
                <w:richText/>
              </w:sdtPr>
              <w:sdtContent>
                <w:p>
                  <w:pPr>
                    <w:ind w:firstLine="709"/>
                    <w:jc w:val="both"/>
                  </w:pPr>
                  <w:sdt>
                    <w:sdtPr>
                      <w:alias w:val="Numeris"/>
                      <w:tag w:val="nr_dfff17dc97c1478692f8cb60dfd3d1c7"/>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ugdymo mokyklos ar profesinio mokymo įstaigos bendrabutyje ar vaikų socializacijos centre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30 p."/>
                <w:tag w:val="part_fec4dc8b333044d88172f28eb93429be"/>
                <w:lock w:val="sdtLocked"/>
                <w:richText/>
              </w:sdtPr>
              <w:sdtContent>
                <w:p>
                  <w:pPr>
                    <w:ind w:firstLine="709"/>
                    <w:jc w:val="both"/>
                  </w:pPr>
                  <w:sdt>
                    <w:sdtPr>
                      <w:alias w:val="Numeris"/>
                      <w:tag w:val="nr_fec4dc8b333044d88172f28eb93429be"/>
                      <w:lock w:val="sdtLocked"/>
                      <w:richText/>
                    </w:sdtPr>
                    <w:sdtContent>
                      <w:r>
                        <w:t>30</w:t>
                      </w:r>
                    </w:sdtContent>
                  </w:sdt>
                  <w:r>
                    <w:t xml:space="preserve">. Globos (rūpybos) išmoka nuolatinės globos (rūpybos) nustatymo ar panaikinimo, globėjo ar rūpintojo paskyrimo, atleidimo ar nušalinimo nuo pareigų, vaiko įvaikinimo atveju skiriama arba jos mokėjimas nutraukiamas nuo teismo sprendimo (nutarties) įsiteisėjimo dienos, išskyrus atvejus, kai teismo sprendimas (nutartis) ar jo dalis dėl globos (rūpybos) arba įvaikinimo vykdoma skubiai arba teismas nustato konkretų vykdymo terminą.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70224dc7fd82425b914a15552c63704c"/>
                <w:lock w:val="sdtLocked"/>
                <w:richText/>
              </w:sdtPr>
              <w:sdtContent>
                <w:p>
                  <w:pPr>
                    <w:ind w:firstLine="709"/>
                    <w:jc w:val="both"/>
                    <w:rPr>
                      <w:color w:val="000000"/>
                    </w:rPr>
                  </w:pPr>
                  <w:sdt>
                    <w:sdtPr>
                      <w:alias w:val="Numeris"/>
                      <w:tag w:val="nr_70224dc7fd82425b914a15552c63704c"/>
                      <w:lock w:val="sdtLocked"/>
                      <w:richText/>
                    </w:sdtPr>
                    <w:sdtContent>
                      <w:r>
                        <w:t>32</w:t>
                      </w:r>
                    </w:sdtContent>
                  </w:sdt>
                  <w:r>
                    <w:t xml:space="preserve">. Asmenims, patyrusiems socialinę riziką, išmokos teikiamos savivaldybių tarybų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4d8c176ea4d74b258f1d94d27bbc4ec1"/>
                <w:lock w:val="sdtLocked"/>
                <w:richText/>
              </w:sdtPr>
              <w:sdtContent>
                <w:p>
                  <w:pPr>
                    <w:ind w:firstLine="720"/>
                    <w:jc w:val="both"/>
                    <w:rPr>
                      <w:color w:val="000000"/>
                    </w:rPr>
                  </w:pPr>
                  <w:sdt>
                    <w:sdtPr>
                      <w:alias w:val="Numeris"/>
                      <w:tag w:val="nr_4d8c176ea4d74b258f1d94d27bbc4ec1"/>
                      <w:lock w:val="sdtLocked"/>
                      <w:richText/>
                    </w:sdtPr>
                    <w:sdtContent>
                      <w:r>
                        <w:rPr>
                          <w:bCs/>
                          <w:szCs w:val="24"/>
                          <w:lang w:eastAsia="lt-LT"/>
                        </w:rPr>
                        <w:t>34</w:t>
                      </w:r>
                    </w:sdtContent>
                  </w:sdt>
                  <w:r>
                    <w:rPr>
                      <w:bCs/>
                      <w:szCs w:val="24"/>
                      <w:lang w:eastAsia="lt-LT"/>
                    </w:rPr>
                    <w:t xml:space="preserve">. </w:t>
                  </w:r>
                  <w:r>
                    <w:rPr>
                      <w:szCs w:val="24"/>
                      <w:lang w:eastAsia="lt-LT"/>
                    </w:rPr>
                    <w:t>Išmoka vaikui, išmoka privalomosios pradinės karo tarnybos kario vaikui ir globos (rūpybos) išmoka,</w:t>
                  </w:r>
                  <w:r>
                    <w:rPr>
                      <w:b/>
                      <w:bCs/>
                      <w:szCs w:val="24"/>
                      <w:lang w:eastAsia="lt-LT"/>
                    </w:rPr>
                    <w:t xml:space="preserve"> </w:t>
                  </w:r>
                  <w:r>
                    <w:rPr>
                      <w:szCs w:val="24"/>
                      <w:lang w:eastAsia="lt-LT"/>
                    </w:rPr>
                    <w:t>globos (rūpybos) išmokos tikslinis priedas skiriami ir mokami nuo teisės gauti išmoką atsiradimo dienos, tačiau ne daugiau kaip už 12 praėjusių mėnesių nuo visų dokumentų, būtinų išmokai skirti, pateikimo savivaldybės administracijai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f3e7b11867d642e389e03bd2b71f9890"/>
                <w:lock w:val="sdtLocked"/>
                <w:richText/>
              </w:sdtPr>
              <w:sdtContent>
                <w:p>
                  <w:pPr>
                    <w:ind w:firstLine="709"/>
                    <w:jc w:val="both"/>
                    <w:rPr>
                      <w:color w:val="000000"/>
                    </w:rPr>
                  </w:pPr>
                  <w:sdt>
                    <w:sdtPr>
                      <w:alias w:val="Numeris"/>
                      <w:tag w:val="nr_f3e7b11867d642e389e03bd2b71f9890"/>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asmenis, patyrusius socialinę riziką,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3" w:tgtFrame="_blank" w:history="1">
                    <w:r>
                      <w:rPr>
                        <w:color w:val="0000FF" w:themeColor="hyperlink"/>
                        <w:u w:val="single"/>
                      </w:rPr>
                      <w:t>13-308</w:t>
                    </w:r>
                  </w:hyperlink>
                  <w:r>
                    <w:rPr>
                      <w:color w:val="000000"/>
                    </w:rPr>
                    <w:t xml:space="preserve">; 2000, Nr. </w:t>
                  </w:r>
                  <w:hyperlink r:id="rId24"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D4E2E1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3.wmf"/>
  <Relationship Id="rId16" Type="http://schemas.openxmlformats.org/officeDocument/2006/relationships/control" Target="activeX/activeX13.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www3.lrs.lt/cgi-bin/preps2?a=5981&amp;b="/>
  <Relationship Id="rId19" Type="http://schemas.openxmlformats.org/officeDocument/2006/relationships/hyperlink" TargetMode="External" Target="http://www3.lrs.lt/cgi-bin/preps2?a=234411&amp;b="/>
  <Relationship Id="rId2" Type="http://schemas.openxmlformats.org/officeDocument/2006/relationships/header" Target="header38.xml"/>
  <Relationship Id="rId20" Type="http://schemas.openxmlformats.org/officeDocument/2006/relationships/hyperlink" TargetMode="External" Target="https://www.e-tar.lt/portal/lt/legalAct/TAR.F412AFF35F51"/>
  <Relationship Id="rId21" Type="http://schemas.openxmlformats.org/officeDocument/2006/relationships/hyperlink" TargetMode="External" Target="https://www.e-tar.lt/portal/lt/legalAct/TAR.8A037D79F865"/>
  <Relationship Id="rId22" Type="http://schemas.openxmlformats.org/officeDocument/2006/relationships/hyperlink" TargetMode="External" Target="https://www.e-tar.lt/portal/lt/legalAct/TAR.2CE6CFE9E2EE"/>
  <Relationship Id="rId23" Type="http://schemas.openxmlformats.org/officeDocument/2006/relationships/hyperlink" TargetMode="External" Target="https://www.e-tar.lt/portal/lt/legalAct/TAR.67B5099C5848"/>
  <Relationship Id="rId24" Type="http://schemas.openxmlformats.org/officeDocument/2006/relationships/hyperlink" TargetMode="External" Target="https://www.e-tar.lt/portal/lt/legalAct/TAR.78FAC7B20AD8"/>
  <Relationship Id="rId25" Type="http://schemas.openxmlformats.org/officeDocument/2006/relationships/hyperlink" TargetMode="External" Target="https://www.e-tar.lt/portal/lt/legalAct/TAR.ACF3AFB05F0F"/>
  <Relationship Id="rId26" Type="http://schemas.openxmlformats.org/officeDocument/2006/relationships/customXml" Target="../customXml/item1.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cbbdb66228d84e2aa64df3cead87ca8e">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34bc0842d5b0438d8a9500866e9cc1bf"/>
      <Part Type="punktas" Nr="2" Abbr="2 p." DocPartId="45e4a5469e7349868b076346b44e8f39" PartId="89bbb1690c354894b5e20e24a2d20cf0"/>
      <Part Type="punktas" Nr="3" Abbr="3 p." DocPartId="3e053335b61549fb894648987749d207" PartId="4427146c18c54166be9c65615209d51a"/>
      <Part Type="punktas" Nr="4" Abbr="4 p." DocPartId="f98dfc4ecec04932a3806ab6fc9e94bb" PartId="b2f4599462ef4daf86bc97da06cdc0b7"/>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b299e41ac3f3403b9e0eae5ce6b40ac2"/>
      <Part Type="punktas" Nr="8" Abbr="8 p." DocPartId="2325b662a22640b6990875a425f69815" PartId="92ca6fc4facd441f8722cf6be4773b1e"/>
      <Part Type="punktas" Nr="9" Abbr="9 p." DocPartId="687456e1b82549d89cd9adda70c20ad3" PartId="3879936ea077493582b1311c41ac5f68"/>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c7276e3f3572435ca01a9562c1bd2dbf"/>
        <Part Type="punktas" Nr="12.2" Abbr="12.2 p." DocPartId="ee8d87ea4b22402aa276ad548caa7f32" PartId="86e5636de60e44a3a70b4863cf32c582"/>
        <Part Type="punktas" Nr="12.3" Abbr="12.3 p." DocPartId="d7dbe04935c742a2bfe3dbfae1f1e5fb" PartId="8cf2723df3c84cb4a1fb6854e8e38e7c"/>
        <Part Type="punktas" Nr="12.3" Abbr="12.3 p." DocPartId="950473c827fc44d8a41a5ce786eda658" PartId="c7f503b373994074923e2de61475dc48"/>
        <Part Type="punktas" Nr="12.4" Abbr="12.4 p." DocPartId="7ac50cd25da540c6ba24d4faffb1a11b" PartId="5bcf37795dca430895dc03d46b1bff39"/>
        <Part Type="punktas" Nr="12.4" Abbr="12.4 p." DocPartId="f80f9a05fe774739963e01e7689b37ed" PartId="e01ac3f121e042668105cdefdca30c52"/>
        <Part Type="punktas" Nr="12.5" Abbr="12.5 p." DocPartId="bd7d66c9829d4deabaea9501b5682357" PartId="f0b86cf9ecc640129d51d8d9d4e58b2e"/>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c7efa6353c6846838f76a5bda3033003"/>
        <Part Type="punktas" Nr="14.8" Abbr="14.8 p." DocPartId="81338750c19245959b8ff63c23456be6" PartId="eb5c5783a4a24efba371a85d7140728f"/>
        <Part Type="punktas" Nr="14.9" Abbr="14.9 p." DocPartId="25d0ba0c4fca4460b97dd90f26f1c085" PartId="9391e3368378477189ca569875ed034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891b3c8ae9848daaa203caf2baf9a49">
        <Part Type="punktas" Nr="23.1" Abbr="23.1 p." DocPartId="142c453016d6490bb35fc3c05472ea08" PartId="71d37f618d494b85900ca63d92c59dec"/>
        <Part Type="punktas" Nr="23.2" Abbr="23.2 p." DocPartId="b7543a41c51b4fec85e81bfb79ca543f" PartId="d5294215b2ae4e1597a4dbb8122986f8"/>
        <Part Type="punktas" Nr="23.3" Abbr="23.3 p." DocPartId="a2b93405ee654869beeba8f90c75fa7b" PartId="5c0d4e0ff0e24773bd68309f93e9e616"/>
        <Part Type="punktas" Nr="23.4" Abbr="23.4 p." DocPartId="ed051d4500844934a8c0cc2032f6e8d9" PartId="5f5bcbe62aba407a96ef3caf35e13730"/>
        <Part Type="punktas" Nr="23.5" Abbr="23.5 p." DocPartId="debf713f30044f01b10ffa508ea2af11" PartId="623ec9a8d99e48c4a1bda9017715a051"/>
        <Part Type="punktas" Nr="23.6" Abbr="23.6 p." DocPartId="610024f5147842b8b878dbad9610c7a6" PartId="b7beb693b062423cbdf724294a9b724e"/>
        <Part Type="punktas" Nr="23.7" Abbr="23.7 p." DocPartId="b02ce247fa1e454b86d68380b63dd924" PartId="d5984fd7b5d047e0a7eeeeea83b6ae2d"/>
        <Part Type="punktas" Nr="23.8" Abbr="23.8 p." DocPartId="c531afc992f84ae889be001973c085e8" PartId="41f37bc605ce4302bdadaa3e95623586"/>
      </Part>
      <Part Type="punktas" Nr="24" Abbr="24 p." DocPartId="7182bed4c3574dc0ab61877cb55ff501" PartId="eccd3dbb3a6848219205185dec92cbfe"/>
      <Part Type="punktas" Nr="24" Abbr="24 p." DocPartId="c38ece0e59324882b928f5cbf63ba1d7" PartId="1a3362074c0c4e7d978a80ecbad009d1"/>
      <Part Type="punktas" Nr="25" Abbr="25 p." DocPartId="8165507f991a4e1099bd94c4ddc9a8ee" PartId="4746074bf7d447539f8441401c94d23e"/>
      <Part Type="punktas" Nr="26" Abbr="26 p." DocPartId="4ce3a53512d1466480e236d0a548f614" PartId="56a664414cdc4dc69d58638a5a940259"/>
      <Part Type="punktas" Nr="27" Abbr="27 p." DocPartId="7a13dda9450d4115b74f5bb2d70faaa6" PartId="13f2a739d368469bb6cedd10dda59819">
        <Part Type="punktas" Nr="27.1" Abbr="27.1 p." DocPartId="8f4e948e723f4e68971c4dbb0aa8be28" PartId="c424422db926482594952a8b02d4befe"/>
        <Part Type="punktas" Nr="27.2" Abbr="27.2 p." DocPartId="8904e3d268564fc9a4c8fd1b91d2b764" PartId="4b99ba759a674ea0be0b17ad7b8f3bad"/>
        <Part Type="punktas" Nr="27.3" Abbr="27.3 p." DocPartId="dfe070c46bc649b89e98357ceefe9bd8" PartId="76abd8e6036242f6bf3f6c6cf5ec632a"/>
        <Part Type="punktas" Nr="27.4" Abbr="27.4 p." DocPartId="3fceca87ca4e4255a5bf3e671443e0a7" PartId="c32b875953464b63a6f788167467ad19"/>
        <Part Type="punktas" Nr="27.5" Abbr="27.5 p." DocPartId="91a34b465cb74f449090d6c2687b3471" PartId="3103b35aa7644025bdf08f0fc4ddb764"/>
        <Part Type="punktas" Nr="27.6" Abbr="27.6 p." DocPartId="71285a4d1e3b4610bd1bb60a56cad1ca" PartId="b21306dc07b84597940bbd318bc33c3e"/>
        <Part Type="punktas" Nr="27.7" Abbr="27.7 p." DocPartId="455c4c49fe704a41a594fe083d245420" PartId="186ad8f2e69d48e78ffb514a260ccdab"/>
        <Part Type="punktas" Nr="27.8" Abbr="27.8 p." DocPartId="42a23a71fcf440b29c4a19ca470148aa" PartId="e74487dabbf0467dbb6a2f482c7cb9ce"/>
        <Part Type="punktas" Nr="27.9" Abbr="27.9 p." DocPartId="ed1fbc5b04c94e89b12ebd6eb0659ae3" PartId="cabccc64f0024c759291ccc6a693c75a"/>
        <Part Type="punktas" Nr="27.10" Abbr="27.10 p." DocPartId="2b3012c4f84546cab30a5e57b0429e02" PartId="5ffdd1c8bdc84017b459a22cf447f2b3"/>
      </Part>
      <Part Type="punktas" Nr="28" Abbr="28 p." DocPartId="552b59568fe24f8faa6b257f1d9c5bbc" PartId="2480c33516474d41884742ffaa922a64"/>
      <Part Type="punktas" Nr="29" Abbr="29 p." DocPartId="5f4dabce04dc4901b959122b6d073287" PartId="dfff17dc97c1478692f8cb60dfd3d1c7"/>
      <Part Type="punktas" Nr="30" Abbr="30 p." DocPartId="3b8189416f6c406295c1b5618ad3bd28" PartId="fec4dc8b333044d88172f28eb93429be"/>
      <Part Type="punktas" Nr="31" Abbr="31 p." DocPartId="3840973717c34ee2b7250847a788ad30" PartId="c4a1da4359c14a0b9fc164a023dc43ae"/>
      <Part Type="punktas" Nr="32" Abbr="32 p." DocPartId="284423aa79bb4a2f97bc5d08796a2c5a" PartId="70224dc7fd82425b914a15552c63704c"/>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4d8c176ea4d74b258f1d94d27bbc4ec1"/>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f3e7b11867d642e389e03bd2b71f9890"/>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BAIGIAMOSIOS NUOSTATOS" DocPartId="eaa9c0e921224cd488134b49e7880a8b" PartId="bf12d631c2ce4282b04b9082fdeff5f7">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a78290b4de9646f0be57c9de631cde7c"/>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977AB4D5-B821-4618-8F3F-4DB2F9B8D404}">
  <ds:schemaRefs>
    <ds:schemaRef ds:uri="http://lrs.lt/TAIS/DocParts"/>
  </ds:schemaRefs>
</ds:datastoreItem>
</file>

<file path=docProps/app.xml><?xml version="1.0" encoding="utf-8"?>
<Properties xmlns="http://schemas.openxmlformats.org/officeDocument/2006/extended-properties">
  <Template>Normal.dotm</Template>
  <TotalTime>37</TotalTime>
  <Pages>9</Pages>
  <Words>20580</Words>
  <Characters>11731</Characters>
  <Application>Microsoft Office Word</Application>
  <DocSecurity>0</DocSecurity>
  <Lines>97</Lines>
  <Paragraphs>64</Paragraphs>
  <ScaleCrop>false</ScaleCrop>
  <Company/>
  <LinksUpToDate>false</LinksUpToDate>
  <CharactersWithSpaces>32247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2016-11-04T12:52:00Z</dcterms:modified>
  <revision>27</revision>
</coreProperties>
</file>