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2023-01-01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3acb73834acf475d9f627b4730c5aa82"/>
                    <w:lock w:val="sdtLocked"/>
                    <w:richText/>
                  </w:sdtPr>
                  <w:sdtContent>
                    <w:p>
                      <w:pPr>
                        <w:ind w:firstLine="720"/>
                        <w:jc w:val="both"/>
                        <w:rPr>
                          <w:sz w:val="22"/>
                          <w:szCs w:val="22"/>
                        </w:rPr>
                      </w:pPr>
                      <w:sdt>
                        <w:sdtPr>
                          <w:alias w:val="Numeris"/>
                          <w:tag w:val="nr_3acb73834acf475d9f627b4730c5aa82"/>
                          <w:lock w:val="sdtLocked"/>
                          <w:richText/>
                        </w:sdtPr>
                        <w:sdtContent>
                          <w:r>
                            <w:rPr>
                              <w:color w:val="000000"/>
                              <w:sz w:val="22"/>
                              <w:szCs w:val="22"/>
                            </w:rPr>
                            <w:t>6</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3"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12dfd0322a5a435981f38e98101a9fde"/>
                        <w:lock w:val="sdtLocked"/>
                        <w:richText/>
                      </w:sdtPr>
                      <w:sdtContent>
                        <w:p>
                          <w:pPr>
                            <w:ind w:firstLine="720"/>
                            <w:jc w:val="both"/>
                            <w:rPr>
                              <w:color w:val="000000"/>
                              <w:sz w:val="22"/>
                              <w:szCs w:val="22"/>
                              <w:shd w:val="clear" w:color="auto" w:fill="FFFFFF"/>
                            </w:rPr>
                          </w:pPr>
                          <w:sdt>
                            <w:sdtPr>
                              <w:alias w:val="Numeris"/>
                              <w:tag w:val="nr_12dfd0322a5a435981f38e98101a9fde"/>
                              <w:lock w:val="sdtLocked"/>
                              <w:richText/>
                            </w:sdtPr>
                            <w:sdtContent>
                              <w:r>
                                <w:rPr>
                                  <w:color w:val="000000"/>
                                  <w:sz w:val="22"/>
                                  <w:szCs w:val="22"/>
                                  <w:shd w:val="clear" w:color="auto" w:fill="FFFFFF"/>
                                </w:rPr>
                                <w:t>3</w:t>
                              </w:r>
                            </w:sdtContent>
                          </w:sdt>
                          <w:r>
                            <w:rPr>
                              <w:color w:val="000000"/>
                              <w:sz w:val="22"/>
                              <w:szCs w:val="22"/>
                              <w:shd w:val="clear" w:color="auto" w:fill="FFFFFF"/>
                            </w:rPr>
                            <w:t>. Jeigu nelydimo nepilnamečio užsieniečio atstovu paskiriamas juridinis asmuo, jis ne vėliau kaip kitą darbo dieną nuo savivaldybės administracijos direktoriaus įsakymo dėl vaiko laikinosios globos (rūpybos) nustatymo priėmimo dienos paskiria atsakingą darbuotoją, kuris vykdo nelydimo nepilnamečio užsieniečio atstovo pareigas.</w:t>
                          </w:r>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c66b071ccc0d4faba6d4d532318df48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cc903a83e93047d58e8a2918d133516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6 p."/>
                            <w:tag w:val="part_1eb2ed53157f4ba996a0ed7986eca82f"/>
                            <w:lock w:val="sdtLocked"/>
                            <w:richText/>
                          </w:sdtPr>
                          <w:sdtContent>
                            <w:p>
                              <w:pPr>
                                <w:ind w:firstLine="720"/>
                                <w:jc w:val="both"/>
                                <w:rPr>
                                  <w:rFonts w:eastAsia="Arial Unicode MS"/>
                                  <w:sz w:val="22"/>
                                  <w:szCs w:val="22"/>
                                  <w:bdr w:val="nil"/>
                                </w:rPr>
                              </w:pPr>
                              <w:sdt>
                                <w:sdtPr>
                                  <w:alias w:val="Numeris"/>
                                  <w:tag w:val="nr_1eb2ed53157f4ba996a0ed7986eca82f"/>
                                  <w:lock w:val="sdtLocked"/>
                                  <w:richText/>
                                </w:sdtPr>
                                <w:sdtContent>
                                  <w:r>
                                    <w:rPr>
                                      <w:color w:val="000000"/>
                                      <w:sz w:val="22"/>
                                      <w:szCs w:val="22"/>
                                    </w:rPr>
                                    <w:t>6</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29704&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288727&amp;b="/>
  <Relationship Id="rId234" Type="http://schemas.openxmlformats.org/officeDocument/2006/relationships/hyperlink" TargetMode="External" Target="http://www3.lrs.lt/cgi-bin/preps2?a=31480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3acb73834acf475d9f627b4730c5aa82"/>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12dfd0322a5a435981f38e98101a9fde"/>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c66b071ccc0d4faba6d4d532318df481"/>
            <Part Type="strPunktas" Nr="4" Abbr="57 str. 1 d. 4 p." DocPartId="b936d4cbb5cd4db5bdd934a994de1806" PartId="d5e3e486e3c7408799a111d4963b70ac"/>
            <Part Type="strPunktas" Nr="5" Abbr="57 str. 1 d. 5 p." DocPartId="a54921b9f826412f9f3a3d1db7cd727f" PartId="cc903a83e93047d58e8a2918d1335160"/>
            <Part Type="strPunktas" Nr="6" Abbr="57 str. 1 d. 6 p." DocPartId="8ee59834d08940bd866bfdfc05e9fe6e" PartId="1eb2ed53157f4ba996a0ed7986eca82f"/>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02F8A6D-D286-416B-A600-F7A90EB42AD4}">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