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2018-10-01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ad573f55df10434fa979071d7e4b59e7"/>
                            <w:lock w:val="sdtLocked"/>
                            <w:richText/>
                          </w:sdtPr>
                          <w:sdtContent>
                            <w:p>
                              <w:pPr>
                                <w:ind w:firstLine="720"/>
                                <w:jc w:val="both"/>
                                <w:rPr>
                                  <w:sz w:val="22"/>
                                  <w:szCs w:val="22"/>
                                </w:rPr>
                              </w:pPr>
                              <w:sdt>
                                <w:sdtPr>
                                  <w:alias w:val="Numeris"/>
                                  <w:tag w:val="nr_ad573f55df10434fa979071d7e4b59e7"/>
                                  <w:lock w:val="sdtLocked"/>
                                  <w:richText/>
                                </w:sdtPr>
                                <w:sdtContent>
                                  <w:r>
                                    <w:rPr>
                                      <w:sz w:val="22"/>
                                      <w:szCs w:val="22"/>
                                      <w:lang w:val="ga-IE"/>
                                    </w:rPr>
                                    <w:t>3</w:t>
                                  </w:r>
                                </w:sdtContent>
                              </w:sdt>
                              <w:r>
                                <w:rPr>
                                  <w:sz w:val="22"/>
                                  <w:szCs w:val="22"/>
                                  <w:lang w:val="ga-IE"/>
                                </w:rPr>
                                <w:t>) švietimo įstaiga ar priimantysis subjektas – apie užsieniečio, turinčio leidimą laikinai gyventi, mokymosi, studijų, stažuotės, kvalifikacijos tobulinimo ar savanoriškos veiklos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3274621c88aa43dd95cf3e6e0086434c"/>
                        <w:lock w:val="sdtLocked"/>
                        <w:richText/>
                      </w:sdtPr>
                      <w:sdtContent>
                        <w:p>
                          <w:pPr>
                            <w:ind w:firstLine="720"/>
                            <w:jc w:val="both"/>
                            <w:rPr>
                              <w:sz w:val="22"/>
                              <w:szCs w:val="22"/>
                            </w:rPr>
                          </w:pPr>
                          <w:sdt>
                            <w:sdtPr>
                              <w:alias w:val="Numeris"/>
                              <w:tag w:val="nr_3274621c88aa43dd95cf3e6e0086434c"/>
                              <w:lock w:val="sdtLocked"/>
                              <w:richText/>
                            </w:sdtPr>
                            <w:sdtContent>
                              <w:r>
                                <w:rPr>
                                  <w:sz w:val="22"/>
                                  <w:szCs w:val="22"/>
                                  <w:lang w:eastAsia="lt-LT"/>
                                </w:rPr>
                                <w:t>4</w:t>
                              </w:r>
                            </w:sdtContent>
                          </w:sdt>
                          <w:r>
                            <w:rPr>
                              <w:sz w:val="22"/>
                              <w:szCs w:val="22"/>
                              <w:lang w:eastAsia="lt-LT"/>
                            </w:rPr>
                            <w:t xml:space="preserve">. Ne vėliau kaip per 7 dienas nuo šio Įstatymo 58 straipsnio 12 punkte nurodyto užsieniečio darbo pradžios įmonėje Lietuvos Respublikoje įmonė, į kurią šis užsienietis atvyko dirbti, privalo </w:t>
                          </w:r>
                          <w:r>
                            <w:rPr>
                              <w:bCs/>
                              <w:sz w:val="22"/>
                              <w:szCs w:val="22"/>
                            </w:rPr>
                            <w:t>socialinės apsaugos ir darbo ministro ar jo įgaliotos institucijos nustatyta tvarka</w:t>
                          </w:r>
                          <w:r>
                            <w:rPr>
                              <w:sz w:val="22"/>
                              <w:szCs w:val="22"/>
                              <w:lang w:eastAsia="lt-LT"/>
                            </w:rPr>
                            <w:t xml:space="preserve"> informuoti Valstybinės darbo inspekcijos prie Lietuvos Respublikos socialinės apsaugos ir darbo ministerijos teritorinį skyrių.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68fbcd2f60d0497a8f789ea654112516"/>
                            <w:lock w:val="sdtLocked"/>
                            <w:richText/>
                          </w:sdtPr>
                          <w:sdtContent>
                            <w:p>
                              <w:pPr>
                                <w:ind w:firstLine="720"/>
                                <w:jc w:val="both"/>
                                <w:rPr>
                                  <w:sz w:val="22"/>
                                  <w:szCs w:val="22"/>
                                </w:rPr>
                              </w:pPr>
                              <w:sdt>
                                <w:sdtPr>
                                  <w:alias w:val="Numeris"/>
                                  <w:tag w:val="nr_68fbcd2f60d0497a8f789ea654112516"/>
                                  <w:lock w:val="sdtLocked"/>
                                  <w:richText/>
                                </w:sdtPr>
                                <w:sdtContent>
                                  <w:r>
                                    <w:rPr>
                                      <w:bCs/>
                                      <w:sz w:val="22"/>
                                      <w:szCs w:val="22"/>
                                      <w:lang w:val="ga-IE"/>
                                    </w:rPr>
                                    <w:t>4</w:t>
                                  </w:r>
                                </w:sdtContent>
                              </w:sdt>
                              <w:r>
                                <w:rPr>
                                  <w:bCs/>
                                  <w:sz w:val="22"/>
                                  <w:szCs w:val="22"/>
                                  <w:lang w:val="ga-IE"/>
                                </w:rPr>
                                <w:t>) kuris yra atvykęs stažuoti mokslo ir studijų institucijose pagal Lietuvos Respublikos tarptautines sutartis arba pagal Europos Sąjungos akademinių mainų su trečiosiomis valstybėmis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87506d8469f348cab781a1b6e383e3c8"/>
                                <w:lock w:val="sdtLocked"/>
                                <w:richText/>
                              </w:sdtPr>
                              <w:sdtContent>
                                <w:p>
                                  <w:pPr>
                                    <w:ind w:firstLine="720"/>
                                    <w:jc w:val="both"/>
                                    <w:rPr>
                                      <w:sz w:val="22"/>
                                      <w:szCs w:val="22"/>
                                    </w:rPr>
                                  </w:pPr>
                                  <w:sdt>
                                    <w:sdtPr>
                                      <w:alias w:val="Numeris"/>
                                      <w:tag w:val="nr_87506d8469f348cab781a1b6e383e3c8"/>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Content>
                        </w:sdt>
                      </w:sdtContent>
                    </w:sdt>
                    <w:sdt>
                      <w:sdtPr>
                        <w:alias w:val="44 str. 2 d."/>
                        <w:tag w:val="part_9ac1672f853f4a42830c312dea09bd92"/>
                        <w:lock w:val="sdtLocked"/>
                        <w:richText/>
                      </w:sdtPr>
                      <w:sdtContent>
                        <w:p>
                          <w:pPr>
                            <w:ind w:firstLine="720"/>
                            <w:jc w:val="both"/>
                            <w:rPr>
                              <w:sz w:val="22"/>
                              <w:szCs w:val="22"/>
                            </w:rPr>
                          </w:pPr>
                          <w:sdt>
                            <w:sdtPr>
                              <w:alias w:val="Numeris"/>
                              <w:tag w:val="nr_9ac1672f853f4a42830c312dea09bd92"/>
                              <w:lock w:val="sdtLocked"/>
                              <w:richText/>
                            </w:sdtPr>
                            <w:sdtContent>
                              <w:r>
                                <w:rPr>
                                  <w:sz w:val="22"/>
                                  <w:szCs w:val="22"/>
                                </w:rPr>
                                <w:t>2</w:t>
                              </w:r>
                            </w:sdtContent>
                          </w:sdt>
                          <w:r>
                            <w:rPr>
                              <w:sz w:val="22"/>
                              <w:szCs w:val="22"/>
                            </w:rPr>
                            <w:t>.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Užimtumo tarnybos direktorius kiekvienų metų pusmečiui tvirtina remdamasis Užimtumo tarnybos atliekama darbo rinkos stebėsena, padėties darbo rinkoje vertinimu ir jos pokyčių prognoze.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02607fdccb454b4eb4d4d42c52e6a50f"/>
                        <w:lock w:val="sdtLocked"/>
                        <w:richText/>
                      </w:sdtPr>
                      <w:sdtContent>
                        <w:p>
                          <w:pPr>
                            <w:ind w:firstLine="720"/>
                            <w:jc w:val="both"/>
                            <w:rPr>
                              <w:sz w:val="22"/>
                              <w:szCs w:val="22"/>
                            </w:rPr>
                          </w:pPr>
                          <w:sdt>
                            <w:sdtPr>
                              <w:alias w:val="Numeris"/>
                              <w:tag w:val="nr_02607fdccb454b4eb4d4d42c52e6a50f"/>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Užimtumo tarnybai registruoti darbdavys turi pateikti per 2 mėnesius nuo leidimo laikinai gyventi šiam užsieniečiui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4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531b8f9e15e34e03bf4e600c4e4bca9b"/>
                        <w:lock w:val="sdtLocked"/>
                        <w:richText/>
                      </w:sdtPr>
                      <w:sdtContent>
                        <w:p>
                          <w:pPr>
                            <w:ind w:firstLine="720"/>
                            <w:jc w:val="both"/>
                            <w:rPr>
                              <w:b/>
                              <w:i/>
                              <w:sz w:val="22"/>
                              <w:szCs w:val="22"/>
                            </w:rPr>
                          </w:pPr>
                          <w:sdt>
                            <w:sdtPr>
                              <w:alias w:val="Numeris"/>
                              <w:tag w:val="nr_531b8f9e15e34e03bf4e600c4e4bca9b"/>
                              <w:lock w:val="sdtLocked"/>
                              <w:richText/>
                            </w:sdtPr>
                            <w:sdtContent>
                              <w:r>
                                <w:rPr>
                                  <w:sz w:val="22"/>
                                  <w:szCs w:val="22"/>
                                </w:rPr>
                                <w:t>6</w:t>
                              </w:r>
                            </w:sdtContent>
                          </w:sdt>
                          <w:r>
                            <w:rPr>
                              <w:sz w:val="22"/>
                              <w:szCs w:val="22"/>
                            </w:rPr>
                            <w:t xml:space="preserve">.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 xml:space="preserve">dydžiai, ir leidimo laikinai gyventi galiojimo laikotarpiu numatytas darbo užmokestis tampa mažesnis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 leidimas laikinai gyventi gali būti keičiamas, jeigu užsienietis atitinka šio straipsnio 1 dalies 1 punkte nustatytą sąlygą ir Užimtumo tarnyba socialinės apsaugos ir darbo ministro nustatyta tvarka priima sprendimą, kad užsieniečio darbas atitinka Lietuvos Respublikos darbo rinkos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7 d."/>
                        <w:tag w:val="part_de18e296b1d2457485a874d33d212579"/>
                        <w:lock w:val="sdtLocked"/>
                        <w:richText/>
                      </w:sdtPr>
                      <w:sdtContent>
                        <w:p>
                          <w:pPr>
                            <w:ind w:firstLine="720"/>
                            <w:jc w:val="both"/>
                            <w:rPr>
                              <w:sz w:val="22"/>
                            </w:rPr>
                          </w:pPr>
                          <w:sdt>
                            <w:sdtPr>
                              <w:alias w:val="Numeris"/>
                              <w:tag w:val="nr_de18e296b1d2457485a874d33d212579"/>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Užimtumo tarnybai registruoti turi pateikti per 2 mėnesius nuo leidimo laikinai gyventi šiam užsieniečiui išdavimo arba nuo darbo sutarties su naujuoju darbdaviu sudarymo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a2f5869119f84c178427e4f8c291d1f5"/>
                        <w:lock w:val="sdtLocked"/>
                        <w:richText/>
                      </w:sdtPr>
                      <w:sdtContent>
                        <w:p>
                          <w:pPr>
                            <w:ind w:firstLine="720"/>
                            <w:jc w:val="both"/>
                            <w:rPr>
                              <w:sz w:val="22"/>
                              <w:szCs w:val="22"/>
                              <w:lang w:val="ga-IE"/>
                            </w:rPr>
                          </w:pPr>
                          <w:sdt>
                            <w:sdtPr>
                              <w:alias w:val="Numeris"/>
                              <w:tag w:val="nr_a2f5869119f84c178427e4f8c291d1f5"/>
                              <w:lock w:val="sdtLocked"/>
                              <w:richText/>
                            </w:sdtPr>
                            <w:sdtContent>
                              <w:r>
                                <w:rPr>
                                  <w:sz w:val="22"/>
                                  <w:szCs w:val="22"/>
                                  <w:lang w:val="ga-IE"/>
                                </w:rPr>
                                <w:t>6</w:t>
                              </w:r>
                            </w:sdtContent>
                          </w:sdt>
                          <w:r>
                            <w:rPr>
                              <w:sz w:val="22"/>
                              <w:szCs w:val="22"/>
                              <w:lang w:val="ga-IE"/>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vidaus reikalų ministro įgaliotai institucijai pagal šio Įstatymo 36 straipsnio 1 dalies 5 punktą. Jeigu užsienietis per 2 mėnesius nuo pranešimo vidaus reikalų ministro įgaliotai institucijai pateikimo datos nepateikia įrodymų, patvirtinančių, kad jis buvo priimtas studijuoti į kitos mokslo ir studijų institucijos lygiavertę studijų programą arba į doktorantūrą, leidimas laikinai gyventi panaikinamas pagal šio Įstatymo 50 straipsnio 1</w:t>
                          </w:r>
                          <w:r>
                            <w:rPr>
                              <w:sz w:val="22"/>
                              <w:szCs w:val="22"/>
                            </w:rPr>
                            <w:t> </w:t>
                          </w:r>
                          <w:r>
                            <w:rPr>
                              <w:sz w:val="22"/>
                              <w:szCs w:val="22"/>
                              <w:lang w:val="ga-IE"/>
                            </w:rPr>
                            <w:t>dalies 19 punktą.</w:t>
                          </w:r>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5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5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5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1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414d0c7af71b46fb943e4812d81058c3"/>
                            <w:lock w:val="sdtLocked"/>
                            <w:richText/>
                          </w:sdtPr>
                          <w:sdtContent>
                            <w:p>
                              <w:pPr>
                                <w:ind w:firstLine="720"/>
                                <w:jc w:val="both"/>
                                <w:rPr>
                                  <w:sz w:val="22"/>
                                </w:rPr>
                              </w:pPr>
                              <w:sdt>
                                <w:sdtPr>
                                  <w:alias w:val="Numeris"/>
                                  <w:tag w:val="nr_414d0c7af71b46fb943e4812d81058c3"/>
                                  <w:lock w:val="sdtLocked"/>
                                  <w:richText/>
                                </w:sdtPr>
                                <w:sdtContent>
                                  <w:r>
                                    <w:rPr>
                                      <w:sz w:val="22"/>
                                      <w:szCs w:val="22"/>
                                    </w:rPr>
                                    <w:t>3</w:t>
                                  </w:r>
                                </w:sdtContent>
                              </w:sdt>
                              <w:r>
                                <w:rPr>
                                  <w:sz w:val="22"/>
                                  <w:szCs w:val="22"/>
                                </w:rPr>
                                <w:t>) pateikiami dokumentai, patvirtinantys užsieniečio turimą kvalifikaciją ir ne mažesnę negu vienerių metų darbo patirtį pagal turimą kvalifikaciją per pastaruosius dvejus metus, išskyrus užsienietį, kuris atvyksta dirbti kaip stažuotojas ar praktikantas.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51fc7f0cd5124e2ca0c2337acf95b618"/>
                            <w:lock w:val="sdtLocked"/>
                            <w:richText/>
                          </w:sdtPr>
                          <w:sdtContent>
                            <w:p>
                              <w:pPr>
                                <w:ind w:firstLine="720"/>
                                <w:jc w:val="both"/>
                              </w:pPr>
                              <w:sdt>
                                <w:sdtPr>
                                  <w:alias w:val="Numeris"/>
                                  <w:tag w:val="nr_51fc7f0cd5124e2ca0c2337acf95b618"/>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4e3b9d63df23442590abfadb03ba3598"/>
                        <w:lock w:val="sdtLocked"/>
                        <w:richText/>
                      </w:sdtPr>
                      <w:sdtContent>
                        <w:p>
                          <w:pPr>
                            <w:ind w:firstLine="720"/>
                            <w:jc w:val="both"/>
                          </w:pPr>
                          <w:sdt>
                            <w:sdtPr>
                              <w:alias w:val="Numeris"/>
                              <w:tag w:val="nr_4e3b9d63df23442590abfadb03ba3598"/>
                              <w:lock w:val="sdtLocked"/>
                              <w:richText/>
                            </w:sdtPr>
                            <w:sdtContent>
                              <w:r>
                                <w:rPr>
                                  <w:sz w:val="22"/>
                                  <w:szCs w:val="22"/>
                                </w:rPr>
                                <w:t>2</w:t>
                              </w:r>
                              <w:r>
                                <w:rPr>
                                  <w:sz w:val="22"/>
                                  <w:szCs w:val="22"/>
                                  <w:vertAlign w:val="superscript"/>
                                </w:rPr>
                                <w:t>1</w:t>
                              </w:r>
                            </w:sdtContent>
                          </w:sdt>
                          <w:r>
                            <w:rPr>
                              <w:sz w:val="22"/>
                              <w:szCs w:val="22"/>
                            </w:rPr>
                            <w:t>. Tais atvejais, kai užsienietis privalo įsigyti leidimą dirbti, taip pat šio Įstatymo 58 straipsnio 2 ir 11 punktuose nurodytais atvejais, kai užsienietis atleidžiamas nuo pareigos įsigyti leidimą dirbti, darbdavys Užimtumo tarnybai turi pateikti registruoti su užsieniečiu sudarytos darbo sutarties kopiją.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2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168066348b6d439f86488180c0964e37"/>
                            <w:lock w:val="sdtLocked"/>
                            <w:richText/>
                          </w:sdtPr>
                          <w:sdtContent>
                            <w:p>
                              <w:pPr>
                                <w:ind w:firstLine="720"/>
                                <w:jc w:val="both"/>
                                <w:rPr>
                                  <w:sz w:val="22"/>
                                  <w:szCs w:val="22"/>
                                </w:rPr>
                              </w:pPr>
                              <w:sdt>
                                <w:sdtPr>
                                  <w:alias w:val="Numeris"/>
                                  <w:tag w:val="nr_168066348b6d439f86488180c0964e37"/>
                                  <w:lock w:val="sdtLocked"/>
                                  <w:richText/>
                                </w:sdtPr>
                                <w:sdtContent>
                                  <w:r>
                                    <w:rPr>
                                      <w:sz w:val="22"/>
                                      <w:szCs w:val="22"/>
                                    </w:rPr>
                                    <w:t>4</w:t>
                                  </w:r>
                                </w:sdtContent>
                              </w:sdt>
                              <w:r>
                                <w:rPr>
                                  <w:sz w:val="22"/>
                                  <w:szCs w:val="22"/>
                                </w:rPr>
                                <w:t>) per šio Įstatymo 62 straipsnio 2</w:t>
                              </w:r>
                              <w:r>
                                <w:rPr>
                                  <w:sz w:val="22"/>
                                  <w:szCs w:val="22"/>
                                  <w:vertAlign w:val="superscript"/>
                                </w:rPr>
                                <w:t xml:space="preserve">1 </w:t>
                              </w:r>
                              <w:r>
                                <w:rPr>
                                  <w:sz w:val="22"/>
                                  <w:szCs w:val="22"/>
                                </w:rPr>
                                <w:t>dalyje nustatytą terminą neužregistruota darbo sutartis;</w:t>
                              </w:r>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2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3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3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3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4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3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3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2"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6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6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2"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7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8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2"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9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98"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e1049b02a9a64b66a373e48fee9e24ea"/>
                    <w:lock w:val="sdtLocked"/>
                    <w:richText/>
                  </w:sdtPr>
                  <w:sdtContent>
                    <w:p>
                      <w:pPr>
                        <w:ind w:firstLine="720"/>
                        <w:jc w:val="both"/>
                        <w:rPr>
                          <w:color w:val="000000"/>
                          <w:sz w:val="22"/>
                          <w:szCs w:val="22"/>
                          <w:lang w:eastAsia="lt-LT"/>
                        </w:rPr>
                      </w:pPr>
                      <w:sdt>
                        <w:sdtPr>
                          <w:alias w:val="Numeris"/>
                          <w:tag w:val="nr_e1049b02a9a64b66a373e48fee9e24ea"/>
                          <w:lock w:val="sdtLocked"/>
                          <w:richText/>
                        </w:sdtPr>
                        <w:sdtContent>
                          <w:r>
                            <w:rPr>
                              <w:color w:val="000000"/>
                              <w:sz w:val="22"/>
                              <w:szCs w:val="22"/>
                              <w:lang w:eastAsia="lt-LT"/>
                            </w:rPr>
                            <w:t>1</w:t>
                          </w:r>
                        </w:sdtContent>
                      </w:sdt>
                      <w:r>
                        <w:rPr>
                          <w:color w:val="000000"/>
                          <w:sz w:val="22"/>
                          <w:szCs w:val="22"/>
                          <w:lang w:eastAsia="lt-LT"/>
                        </w:rPr>
                        <w:t>.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c3770fd236784035b2105cdbe028f526"/>
                    <w:lock w:val="sdtLocked"/>
                    <w:richText/>
                  </w:sdtPr>
                  <w:sdtContent>
                    <w:p>
                      <w:pPr>
                        <w:ind w:firstLine="720"/>
                        <w:jc w:val="both"/>
                        <w:rPr>
                          <w:sz w:val="22"/>
                          <w:szCs w:val="22"/>
                        </w:rPr>
                      </w:pPr>
                      <w:sdt>
                        <w:sdtPr>
                          <w:alias w:val="Numeris"/>
                          <w:tag w:val="nr_c3770fd236784035b2105cdbe028f526"/>
                          <w:lock w:val="sdtLocked"/>
                          <w:richText/>
                        </w:sdtPr>
                        <w:sdtContent>
                          <w:r>
                            <w:rPr>
                              <w:color w:val="000000"/>
                              <w:sz w:val="22"/>
                              <w:szCs w:val="22"/>
                              <w:lang w:eastAsia="lt-LT"/>
                            </w:rPr>
                            <w:t>8</w:t>
                          </w:r>
                        </w:sdtContent>
                      </w:sdt>
                      <w:r>
                        <w:rPr>
                          <w:color w:val="000000"/>
                          <w:sz w:val="22"/>
                          <w:szCs w:val="22"/>
                          <w:lang w:eastAsia="lt-LT"/>
                        </w:rPr>
                        <w:t xml:space="preserve">. </w:t>
                      </w:r>
                      <w:r>
                        <w:rPr>
                          <w:sz w:val="22"/>
                          <w:szCs w:val="22"/>
                        </w:rPr>
                        <w:t xml:space="preserve">Sprendimą uždrausti (neuždrausti) užsieniečiui atvykti į Lietuvos Respubliką priima Migracijos departamentas. </w:t>
                      </w:r>
                      <w:r>
                        <w:rPr>
                          <w:bCs/>
                          <w:color w:val="000000"/>
                          <w:sz w:val="22"/>
                          <w:szCs w:val="22"/>
                        </w:rPr>
                        <w:t xml:space="preserve">Sprendimą uždrausti užsieniečiui atvykti į Lietuvos Respubliką </w:t>
                      </w:r>
                      <w:r>
                        <w:rPr>
                          <w:color w:val="000000"/>
                          <w:sz w:val="22"/>
                          <w:szCs w:val="22"/>
                        </w:rPr>
                        <w:t xml:space="preserve">šio </w:t>
                      </w:r>
                      <w:r>
                        <w:rPr>
                          <w:bCs/>
                          <w:color w:val="000000"/>
                          <w:sz w:val="22"/>
                          <w:szCs w:val="22"/>
                        </w:rPr>
                        <w:t>straipsnio 4 dalyje nurodytais pagrindais užsienio reikalų ministro siūlymu priima</w:t>
                      </w:r>
                      <w:r>
                        <w:rPr>
                          <w:color w:val="000000"/>
                          <w:sz w:val="22"/>
                          <w:szCs w:val="22"/>
                        </w:rPr>
                        <w:t xml:space="preserve"> vidaus reikalų ministras. </w:t>
                      </w:r>
                      <w:r>
                        <w:rPr>
                          <w:sz w:val="22"/>
                          <w:szCs w:val="22"/>
                        </w:rPr>
                        <w:t xml:space="preserve">Draudimo atvykti </w:t>
                      </w:r>
                      <w:r>
                        <w:rPr>
                          <w:color w:val="000000"/>
                          <w:sz w:val="22"/>
                          <w:szCs w:val="22"/>
                          <w:lang w:eastAsia="lt-LT"/>
                        </w:rPr>
                        <w:t>į Lietuvos Respubliką</w:t>
                      </w:r>
                      <w:r>
                        <w:rPr>
                          <w:sz w:val="22"/>
                          <w:szCs w:val="22"/>
                        </w:rPr>
                        <w:t xml:space="preserve"> trukmė nustatoma kiekvienu atveju tinkamai atsižvelgus į visas su konkrečiu atveju susijusias aplinkybes.</w:t>
                      </w:r>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5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0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09"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0"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3"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14"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5"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1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1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2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2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2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2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2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2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2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2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3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3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3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3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4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4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4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4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4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29704&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4767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53097&amp;b="/>
  <Relationship Id="rId115" Type="http://schemas.openxmlformats.org/officeDocument/2006/relationships/hyperlink" TargetMode="External" Target="http://www3.lrs.lt/cgi-bin/preps2?a=457912&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429704&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350406&amp;b="/>
  <Relationship Id="rId126" Type="http://schemas.openxmlformats.org/officeDocument/2006/relationships/hyperlink" TargetMode="External" Target="http://www3.lrs.lt/cgi-bin/preps2?a=476706&amp;b="/>
  <Relationship Id="rId127" Type="http://schemas.openxmlformats.org/officeDocument/2006/relationships/hyperlink" TargetMode="External" Target="http://www3.lrs.lt/cgi-bin/preps2?a=350406&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314800&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414120&amp;b="/>
  <Relationship Id="rId135" Type="http://schemas.openxmlformats.org/officeDocument/2006/relationships/hyperlink" TargetMode="External" Target="http://www3.lrs.lt/cgi-bin/preps2?a=288727&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3504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31480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767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29704&amp;b="/>
  <Relationship Id="rId146" Type="http://schemas.openxmlformats.org/officeDocument/2006/relationships/hyperlink" TargetMode="External" Target="http://www3.lrs.lt/cgi-bin/preps2?a=429704&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288727&amp;b="/>
  <Relationship Id="rId152" Type="http://schemas.openxmlformats.org/officeDocument/2006/relationships/hyperlink" TargetMode="External" Target="http://www3.lrs.lt/cgi-bin/preps2?a=429704&amp;b="/>
  <Relationship Id="rId153" Type="http://schemas.openxmlformats.org/officeDocument/2006/relationships/hyperlink" TargetMode="External" Target="http://www3.lrs.lt/cgi-bin/preps2?a=288727&amp;b="/>
  <Relationship Id="rId154" Type="http://schemas.openxmlformats.org/officeDocument/2006/relationships/hyperlink" TargetMode="External" Target="http://www3.lrs.lt/cgi-bin/preps2?a=350406&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453097&amp;b="/>
  <Relationship Id="rId157" Type="http://schemas.openxmlformats.org/officeDocument/2006/relationships/hyperlink" TargetMode="External" Target="http://www3.lrs.lt/cgi-bin/preps2?a=476706&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288727&amp;b="/>
  <Relationship Id="rId16" Type="http://schemas.openxmlformats.org/officeDocument/2006/relationships/webSettings" Target="webSettings.xml"/>
  <Relationship Id="rId160" Type="http://schemas.openxmlformats.org/officeDocument/2006/relationships/hyperlink" TargetMode="External" Target="http://www3.lrs.lt/cgi-bin/preps2?a=350406&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29704&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314800&amp;b="/>
  <Relationship Id="rId165" Type="http://schemas.openxmlformats.org/officeDocument/2006/relationships/hyperlink" TargetMode="External" Target="http://www3.lrs.lt/cgi-bin/preps2?a=429704&amp;b="/>
  <Relationship Id="rId166" Type="http://schemas.openxmlformats.org/officeDocument/2006/relationships/hyperlink" TargetMode="External" Target="http://www3.lrs.lt/cgi-bin/preps2?a=457912&amp;b="/>
  <Relationship Id="rId167" Type="http://schemas.openxmlformats.org/officeDocument/2006/relationships/hyperlink" TargetMode="External" Target="http://www3.lrs.lt/cgi-bin/preps2?a=476706&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429704&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14800&amp;b="/>
  <Relationship Id="rId181" Type="http://schemas.openxmlformats.org/officeDocument/2006/relationships/hyperlink" TargetMode="External" Target="http://www3.lrs.lt/cgi-bin/preps2?a=414120&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414120&amp;b="/>
  <Relationship Id="rId185" Type="http://schemas.openxmlformats.org/officeDocument/2006/relationships/hyperlink" TargetMode="External" Target="http://www3.lrs.lt/cgi-bin/preps2?a=288727&amp;b="/>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57912&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414120&amp;b="/>
  <Relationship Id="rId193" Type="http://schemas.openxmlformats.org/officeDocument/2006/relationships/hyperlink" TargetMode="External" Target="http://www3.lrs.lt/cgi-bin/preps2?a=288727&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14120&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4767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14120&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288727&amp;b="/>
  <Relationship Id="rId207" Type="http://schemas.openxmlformats.org/officeDocument/2006/relationships/hyperlink" TargetMode="External" Target="http://www3.lrs.lt/cgi-bin/preps2?a=288727&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288727&amp;b="/>
  <Relationship Id="rId212" Type="http://schemas.openxmlformats.org/officeDocument/2006/relationships/hyperlink" TargetMode="External" Target="http://www3.lrs.lt/cgi-bin/preps2?a=288727&amp;b="/>
  <Relationship Id="rId213" Type="http://schemas.openxmlformats.org/officeDocument/2006/relationships/hyperlink" TargetMode="External" Target="http://www3.lrs.lt/cgi-bin/preps2?a=350406&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476706&amp;b="/>
  <Relationship Id="rId216" Type="http://schemas.openxmlformats.org/officeDocument/2006/relationships/hyperlink" TargetMode="External" Target="http://www3.lrs.lt/cgi-bin/preps2?a=350406&amp;b="/>
  <Relationship Id="rId217" Type="http://schemas.openxmlformats.org/officeDocument/2006/relationships/hyperlink" TargetMode="External" Target="http://www3.lrs.lt/cgi-bin/preps2?a=429704&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19873&amp;b="/>
  <Relationship Id="rId221" Type="http://schemas.openxmlformats.org/officeDocument/2006/relationships/hyperlink" TargetMode="External" Target="http://www3.lrs.lt/cgi-bin/preps2?a=25838&amp;b="/>
  <Relationship Id="rId222" Type="http://schemas.openxmlformats.org/officeDocument/2006/relationships/hyperlink" TargetMode="External" Target="http://www3.lrs.lt/cgi-bin/preps2?a=46543&amp;b="/>
  <Relationship Id="rId223" Type="http://schemas.openxmlformats.org/officeDocument/2006/relationships/hyperlink" TargetMode="External" Target="http://www3.lrs.lt/cgi-bin/preps2?a=60133&amp;b="/>
  <Relationship Id="rId224" Type="http://schemas.openxmlformats.org/officeDocument/2006/relationships/hyperlink" TargetMode="External" Target="http://www3.lrs.lt/cgi-bin/preps2?a=69958&amp;b="/>
  <Relationship Id="rId225" Type="http://schemas.openxmlformats.org/officeDocument/2006/relationships/hyperlink" TargetMode="External" Target="http://www3.lrs.lt/cgi-bin/preps2?a=88562&amp;b="/>
  <Relationship Id="rId226" Type="http://schemas.openxmlformats.org/officeDocument/2006/relationships/hyperlink" TargetMode="External" Target="http://www3.lrs.lt/cgi-bin/preps2?a=94199&amp;b="/>
  <Relationship Id="rId227" Type="http://schemas.openxmlformats.org/officeDocument/2006/relationships/hyperlink" TargetMode="External" Target="http://www3.lrs.lt/cgi-bin/preps2?a=104679&amp;b="/>
  <Relationship Id="rId228" Type="http://schemas.openxmlformats.org/officeDocument/2006/relationships/hyperlink" TargetMode="External" Target="http://www3.lrs.lt/cgi-bin/preps2?a=111843&amp;b="/>
  <Relationship Id="rId229" Type="http://schemas.openxmlformats.org/officeDocument/2006/relationships/hyperlink" TargetMode="External" Target="http://www3.lrs.lt/cgi-bin/preps2?a=104679&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111837&amp;b="/>
  <Relationship Id="rId231" Type="http://schemas.openxmlformats.org/officeDocument/2006/relationships/hyperlink" TargetMode="External" Target="http://www3.lrs.lt/cgi-bin/preps2?a=139415&amp;b="/>
  <Relationship Id="rId232" Type="http://schemas.openxmlformats.org/officeDocument/2006/relationships/hyperlink" TargetMode="External" Target="http://www3.lrs.lt/cgi-bin/preps2?a=159541&amp;b="/>
  <Relationship Id="rId233" Type="http://schemas.openxmlformats.org/officeDocument/2006/relationships/hyperlink" TargetMode="External" Target="http://www3.lrs.lt/cgi-bin/preps2?a=209640&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14800&amp;b="/>
  <Relationship Id="rId236" Type="http://schemas.openxmlformats.org/officeDocument/2006/relationships/hyperlink" TargetMode="External" Target="http://www3.lrs.lt/cgi-bin/preps2?a=414120&amp;b="/>
  <Relationship Id="rId237" Type="http://schemas.openxmlformats.org/officeDocument/2006/relationships/hyperlink" TargetMode="External" Target="http://www3.lrs.lt/cgi-bin/preps2?a=429704&amp;b="/>
  <Relationship Id="rId238" Type="http://schemas.openxmlformats.org/officeDocument/2006/relationships/hyperlink" TargetMode="External" Target="http://www3.lrs.lt/cgi-bin/preps2?a=453097&amp;b="/>
  <Relationship Id="rId239" Type="http://schemas.openxmlformats.org/officeDocument/2006/relationships/hyperlink" TargetMode="External" Target="http://www3.lrs.lt/cgi-bin/preps2?a=288727&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314800&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14120&amp;b="/>
  <Relationship Id="rId243" Type="http://schemas.openxmlformats.org/officeDocument/2006/relationships/hyperlink" TargetMode="External" Target="http://www3.lrs.lt/cgi-bin/preps2?a=42929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53097&amp;b="/>
  <Relationship Id="rId246" Type="http://schemas.openxmlformats.org/officeDocument/2006/relationships/hyperlink" TargetMode="External" Target="http://www3.lrs.lt/cgi-bin/preps2?a=457912&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476706&amp;b="/>
  <Relationship Id="rId249" Type="http://schemas.openxmlformats.org/officeDocument/2006/relationships/hyperlink" TargetMode="External" Target="http://www3.lrs.lt/cgi-bin/preps2?a=288727&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314800&amp;b="/>
  <Relationship Id="rId252" Type="http://schemas.openxmlformats.org/officeDocument/2006/relationships/hyperlink" TargetMode="External" Target="http://www3.lrs.lt/cgi-bin/preps2?a=41412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288727&amp;b="/>
  <Relationship Id="rId255" Type="http://schemas.openxmlformats.org/officeDocument/2006/relationships/hyperlink" TargetMode="External" Target="http://www3.lrs.lt/cgi-bin/preps2?a=314800&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314800&amp;b="/>
  <Relationship Id="rId258" Type="http://schemas.openxmlformats.org/officeDocument/2006/relationships/hyperlink" TargetMode="External" Target="http://www3.lrs.lt/cgi-bin/preps2?a=476706&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ad573f55df10434fa979071d7e4b59e7"/>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3274621c88aa43dd95cf3e6e0086434c"/>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68fbcd2f60d0497a8f789ea654112516"/>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87506d8469f348cab781a1b6e383e3c8"/>
            </Part>
          </Part>
          <Part Type="strDalis" Nr="2" Abbr="44 str. 2 d." DocPartId="585ae5da454f4a5db9583c570726a540" PartId="9ac1672f853f4a42830c312dea09bd92"/>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02607fdccb454b4eb4d4d42c52e6a50f"/>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531b8f9e15e34e03bf4e600c4e4bca9b"/>
          <Part Type="strDalis" Nr="7" Abbr="44-1 str. 7 d." DocPartId="bff995382c78455cab5aa5e011584ea2" PartId="de18e296b1d2457485a874d33d212579"/>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a2f5869119f84c178427e4f8c291d1f5"/>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37ec8b0cd32c46418c287ef8c5d034ab"/>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414d0c7af71b46fb943e4812d81058c3"/>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51fc7f0cd5124e2ca0c2337acf95b618"/>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4e3b9d63df23442590abfadb03ba3598"/>
          <Part Type="strDalis" Nr="3" Abbr="62 str. 3 d." DocPartId="76970964c89744f6819dc87748285053" PartId="370f4cf47bc24bc9ab11c34473163002"/>
          <Part Type="strDalis" Nr="4" Abbr="62 str. 4 d." DocPartId="bb546ad877994622a30065ebb7dbbf18" PartId="e1025d90338546718c140e21e6c91cff"/>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168066348b6d439f86488180c0964e37"/>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e1049b02a9a64b66a373e48fee9e24ea"/>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c3770fd236784035b2105cdbe028f526"/>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6ED6A00-BAE2-4AAA-BFDE-4FEDA3648DC9}">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