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2021-07-23 iki 2021-08-11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f41f6738f3394ffcb67a26882659a9d1"/>
                    <w:lock w:val="sdtLocked"/>
                    <w:richText/>
                  </w:sdtPr>
                  <w:sdtContent>
                    <w:p>
                      <w:pPr>
                        <w:pBdr>
                          <w:top w:val="nil"/>
                          <w:left w:val="nil"/>
                          <w:bottom w:val="nil"/>
                          <w:right w:val="nil"/>
                          <w:between w:val="nil"/>
                          <w:bar w:val="nil"/>
                        </w:pBdr>
                        <w:ind w:firstLine="720"/>
                        <w:jc w:val="both"/>
                        <w:rPr>
                          <w:sz w:val="22"/>
                        </w:rPr>
                      </w:pPr>
                      <w:sdt>
                        <w:sdtPr>
                          <w:alias w:val="Numeris"/>
                          <w:tag w:val="nr_f41f6738f3394ffcb67a26882659a9d1"/>
                          <w:lock w:val="sdtLocked"/>
                          <w:richText/>
                        </w:sdtPr>
                        <w:sdtContent>
                          <w:r>
                            <w:rPr>
                              <w:rFonts w:eastAsia="Arial Unicode MS"/>
                              <w:sz w:val="22"/>
                              <w:szCs w:val="22"/>
                              <w:bdr w:val="nil"/>
                            </w:rPr>
                            <w:t>17</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sz w:val="22"/>
                          <w:szCs w:val="22"/>
                          <w:bdr w:val="nil"/>
                        </w:rPr>
                        <w:t>Pabėgėlių priėmimo centras</w:t>
                      </w:r>
                      <w:r>
                        <w:rPr>
                          <w:rFonts w:eastAsia="Arial Unicode MS"/>
                          <w:sz w:val="22"/>
                          <w:szCs w:val="22"/>
                          <w:bdr w:val="nil"/>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w:t>
                      </w:r>
                      <w:r>
                        <w:rPr>
                          <w:rFonts w:eastAsia="Arial Unicode MS"/>
                          <w:bCs/>
                          <w:sz w:val="22"/>
                          <w:szCs w:val="22"/>
                          <w:bdr w:val="nil"/>
                        </w:rPr>
                        <w:t xml:space="preserve"> Lietuvos Respublikos Vyriausybės sprendimu</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609fdc238a6944eaa217d1bdbcd14c57"/>
                    <w:lock w:val="sdtLocked"/>
                    <w:richText/>
                  </w:sdtPr>
                  <w:sdtContent>
                    <w:p>
                      <w:pPr>
                        <w:pBdr>
                          <w:top w:val="nil"/>
                          <w:left w:val="nil"/>
                          <w:bottom w:val="nil"/>
                          <w:right w:val="nil"/>
                          <w:between w:val="nil"/>
                          <w:bar w:val="nil"/>
                        </w:pBdr>
                        <w:ind w:firstLine="720"/>
                        <w:jc w:val="both"/>
                        <w:rPr>
                          <w:bCs/>
                          <w:sz w:val="22"/>
                        </w:rPr>
                      </w:pPr>
                      <w:sdt>
                        <w:sdtPr>
                          <w:alias w:val="Numeris"/>
                          <w:tag w:val="nr_609fdc238a6944eaa217d1bdbcd14c57"/>
                          <w:lock w:val="sdtLocked"/>
                          <w:richText/>
                        </w:sdtPr>
                        <w:sdtContent>
                          <w:r>
                            <w:rPr>
                              <w:rFonts w:eastAsia="Arial Unicode MS"/>
                              <w:sz w:val="22"/>
                              <w:szCs w:val="22"/>
                              <w:bdr w:val="nil"/>
                            </w:rPr>
                            <w:t>34</w:t>
                          </w:r>
                        </w:sdtContent>
                      </w:sdt>
                      <w:r>
                        <w:rPr>
                          <w:rFonts w:eastAsia="Arial Unicode MS"/>
                          <w:sz w:val="22"/>
                          <w:szCs w:val="22"/>
                          <w:bdr w:val="nil"/>
                        </w:rPr>
                        <w:t xml:space="preserve">. Kitos šiame Įstatyme vartojamos sąvokos suprantamos taip, kaip jos apibrėžtos </w:t>
                      </w:r>
                      <w:r>
                        <w:rPr>
                          <w:sz w:val="22"/>
                          <w:szCs w:val="22"/>
                          <w:bdr w:val="nil"/>
                          <w:lang w:eastAsia="lt-LT"/>
                        </w:rPr>
                        <w:t xml:space="preserve">Vizų kodekse ir </w:t>
                      </w:r>
                      <w:r>
                        <w:rPr>
                          <w:rFonts w:eastAsia="Arial Unicode MS"/>
                          <w:sz w:val="22"/>
                          <w:szCs w:val="22"/>
                          <w:bdr w:val="nil"/>
                        </w:rPr>
                        <w:t>2014 m. liepos 23 d. Europos Parlamento ir Tarybos reglamente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4" w:history="1">
                        <w:r>
                          <w:rPr>
                            <w:rStyle w:val="Hipersaitas"/>
                            <w:i/>
                            <w:sz w:val="20"/>
                          </w:rPr>
                          <w:t>XI-392</w:t>
                        </w:r>
                      </w:hyperlink>
                      <w:r>
                        <w:rPr>
                          <w:i/>
                          <w:sz w:val="20"/>
                        </w:rPr>
                        <w:t>, 2009-07-22, Žin., 2009, Nr. 93-3984 (2009-08-04)</w:t>
                      </w:r>
                    </w:p>
                    <w:p>
                      <w:pPr>
                        <w:jc w:val="both"/>
                      </w:pPr>
                      <w:r>
                        <w:rPr>
                          <w:i/>
                          <w:sz w:val="20"/>
                        </w:rPr>
                        <w:t xml:space="preserve">Nr. </w:t>
                      </w:r>
                      <w:hyperlink r:id="rId225"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e49393dff0324d119b17f97df901cd3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e49393dff0324d119b17f97df901cd33"/>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Užsieniečių buvimas Lietuvos Respublikos tarptautinių oro uostų tranzito zonose (toliau – tranzito zonos) nelaikomas atvykimu į Lietuvos Respublikos teritoriją. Užsieniečių, pateikusių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lang w:eastAsia="lt-LT"/>
                        </w:rPr>
                        <w:t xml:space="preserve"> buvimas </w:t>
                      </w:r>
                      <w:r>
                        <w:rPr>
                          <w:sz w:val="22"/>
                          <w:szCs w:val="22"/>
                          <w:lang w:eastAsia="en-GB"/>
                        </w:rPr>
                        <w:t xml:space="preserve">šio straipsnio 6 dalyje nurodytose laikino apgyvendinimo vietose </w:t>
                      </w:r>
                      <w:r>
                        <w:rPr>
                          <w:rFonts w:eastAsia="Arial Unicode MS"/>
                          <w:sz w:val="22"/>
                          <w:szCs w:val="22"/>
                          <w:bdr w:val="nil"/>
                        </w:rPr>
                        <w:t xml:space="preserve">nelaikomas </w:t>
                      </w:r>
                      <w:r>
                        <w:rPr>
                          <w:sz w:val="22"/>
                          <w:szCs w:val="22"/>
                          <w:lang w:eastAsia="en-GB"/>
                        </w:rPr>
                        <w:t>a</w:t>
                      </w:r>
                      <w:r>
                        <w:rPr>
                          <w:rFonts w:eastAsia="Arial Unicode MS"/>
                          <w:sz w:val="22"/>
                          <w:szCs w:val="22"/>
                          <w:bdr w:val="nil"/>
                        </w:rPr>
                        <w:t xml:space="preserve">tvykimu į Lietuvos Respublikos teritoriją, iki nepriimamas sprendimas įleisti prieglobsčio prašytoją į Lietuvos Respubliką. </w:t>
                      </w:r>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8d63d2c1126747629a496aa46a5e89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63d2c1126747629a496aa46a5e897e"/>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 xml:space="preserve">nepriimtas sprendimas įleisti juos į Lietuvos Respubliką, laikinai apgyvendinami pasienio kontrolės punktuose, tranzito zonose, Valstybės sienos apsaugos tarnyboje. Esant </w:t>
                      </w:r>
                      <w:r>
                        <w:rPr>
                          <w:rFonts w:eastAsia="Calibri"/>
                          <w:bCs/>
                          <w:sz w:val="22"/>
                          <w:szCs w:val="22"/>
                          <w:bdr w:val="none" w:sz="0" w:space="0" w:color="auto" w:frame="1"/>
                        </w:rPr>
                        <w:t>karo padėčiai, nepaprastajai padėčiai, dėl masinio užsieniečių antplūdžio paskelbtai ekstremaliajai situacijai ar ekstremaliajam įvykiui</w:t>
                      </w:r>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 xml:space="preserve">nepriimtas sprendimas įleisti juos į Lietuvos Respubliką, laikinai apgyvendinami pasienio kontrolės punktuose, tranzito zonose, Valstybės sienos apsaugos tarnyboje ar kitose tam pritaikytose vietose, </w:t>
                      </w:r>
                      <w:r>
                        <w:rPr>
                          <w:rFonts w:eastAsia="Arial Unicode MS"/>
                          <w:bCs/>
                          <w:sz w:val="22"/>
                          <w:szCs w:val="22"/>
                          <w:bdr w:val="nil"/>
                        </w:rPr>
                        <w:t>nesuteikiant jiems teisės laisvai judėti Lietuvos Respublikos teritorijoje</w:t>
                      </w:r>
                      <w:r>
                        <w:rPr>
                          <w:rFonts w:eastAsia="Arial Unicode MS"/>
                          <w:sz w:val="22"/>
                          <w:szCs w:val="22"/>
                          <w:bdr w:val="nil"/>
                        </w:rPr>
                        <w:t xml:space="preserve">. </w:t>
                      </w:r>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c6f1ba11ce8f4d6faaca5e200c34eb8a"/>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c6f1ba11ce8f4d6faaca5e200c34eb8a"/>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xml:space="preserve">, prašymo suteikti prieglobstį pateikimo dienos nebuvo priimtas galutinis sprendimas, Migracijos departamentas priima sprendimą įleisti tokį prieglobsčio prašytoją į Lietuvos Respubliką. </w:t>
                      </w:r>
                      <w:r>
                        <w:rPr>
                          <w:rFonts w:eastAsia="Calibri"/>
                          <w:bCs/>
                          <w:sz w:val="22"/>
                          <w:szCs w:val="22"/>
                          <w:bdr w:val="none" w:sz="0" w:space="0" w:color="auto" w:frame="1"/>
                        </w:rPr>
                        <w:t xml:space="preserve">Paskelbus karo padėtį, nepaprastąją padėtį, taip pat ekstremaliąją situaciją ar ekstremalųjį įvykį dėl masinio užsieniečių antplūdžio, šioje dalyje nurodytas 28 dienų terminas pratęsiamas karo padėties, nepaprastosios padėties, dėl masinio užsieniečių antplūdžio paskelbtos ekstremaliosios situacijos ar ekstremaliojo įvykio laikotarpiui ir 28 dienoms po jų pabaigos, </w:t>
                      </w:r>
                      <w:r>
                        <w:rPr>
                          <w:rFonts w:eastAsia="Calibri"/>
                          <w:sz w:val="22"/>
                          <w:szCs w:val="22"/>
                        </w:rPr>
                        <w:t>tačiau ne ilgiau kaip 6 mėnesiams.</w:t>
                      </w:r>
                    </w:p>
                  </w:sdtContent>
                </w:sdt>
                <w:sdt>
                  <w:sdtPr>
                    <w:alias w:val="5 str. 9 d."/>
                    <w:tag w:val="part_fdc36049b1fc4a42bdbf2172aa0a4485"/>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fdc36049b1fc4a42bdbf2172aa0a4485"/>
                          <w:lock w:val="sdtLocked"/>
                          <w:richText/>
                        </w:sdtPr>
                        <w:sdtContent>
                          <w:r>
                            <w:rPr>
                              <w:rFonts w:eastAsia="Arial Unicode MS"/>
                              <w:sz w:val="22"/>
                              <w:szCs w:val="22"/>
                              <w:bdr w:val="nil"/>
                            </w:rPr>
                            <w:t>9</w:t>
                          </w:r>
                        </w:sdtContent>
                      </w:sdt>
                      <w:r>
                        <w:rPr>
                          <w:rFonts w:eastAsia="Arial Unicode MS"/>
                          <w:sz w:val="22"/>
                          <w:szCs w:val="22"/>
                          <w:bdr w:val="nil"/>
                        </w:rPr>
                        <w:t>. Kai pagal šio straipsnio 4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taikymo. Jeigu pagal šio straipsnio 4 ar 8 dalį priimamas sprendimas įleisti prieglobsčio prašytoją į Lietuvos Respubliką ir jo</w:t>
                      </w:r>
                      <w:r>
                        <w:rPr>
                          <w:rFonts w:eastAsia="MS Mincho"/>
                          <w:sz w:val="22"/>
                          <w:szCs w:val="22"/>
                        </w:rPr>
                        <w:t xml:space="preserve"> prašymas suteikti prieglobstį nagrinėjamas iš esmės skubos tvarka, toks </w:t>
                      </w:r>
                      <w:r>
                        <w:rPr>
                          <w:rFonts w:eastAsia="MS Mincho"/>
                          <w:bCs/>
                          <w:color w:val="000000"/>
                          <w:sz w:val="22"/>
                          <w:szCs w:val="22"/>
                        </w:rPr>
                        <w:t xml:space="preserve">prieglobsčio prašytojas Valstybės sienos apsaugos tarnybos sprendimu apgyvendinamas šio straipsnio 6 dalyje nurodytose laikino apgyvendinimo vietose, nesuteikiant jam </w:t>
                      </w:r>
                      <w:r>
                        <w:rPr>
                          <w:rFonts w:eastAsia="Arial Unicode MS"/>
                          <w:bCs/>
                          <w:sz w:val="22"/>
                          <w:szCs w:val="22"/>
                          <w:bdr w:val="nil"/>
                        </w:rPr>
                        <w:t>teisės laisvai judėti Lietuvos Respublikos teritorijoje</w:t>
                      </w:r>
                      <w:r>
                        <w:rPr>
                          <w:rFonts w:eastAsia="MS Mincho"/>
                          <w:bCs/>
                          <w:color w:val="000000"/>
                          <w:sz w:val="22"/>
                          <w:szCs w:val="22"/>
                        </w:rPr>
                        <w:t xml:space="preserve"> tol, kol įsigalios Migracijos departamento </w:t>
                      </w:r>
                      <w:r>
                        <w:rPr>
                          <w:rFonts w:eastAsia="Calibri"/>
                          <w:sz w:val="22"/>
                          <w:szCs w:val="22"/>
                        </w:rPr>
                        <w:t>sprendimas, priimtas išnagrinėjus prašymą suteikti prieglobstį iš esmės skubos tvarka.</w:t>
                      </w:r>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c71fbee3c5504f289dcc088353e01a9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c71fbee3c5504f289dcc088353e01a9f"/>
                              <w:lock w:val="sdtLocked"/>
                              <w:richText/>
                            </w:sdtPr>
                            <w:sdtContent>
                              <w:r>
                                <w:rPr>
                                  <w:sz w:val="22"/>
                                  <w:szCs w:val="22"/>
                                  <w:bdr w:val="nil"/>
                                </w:rPr>
                                <w:t>2</w:t>
                              </w:r>
                            </w:sdtContent>
                          </w:sdt>
                          <w:r>
                            <w:rPr>
                              <w:sz w:val="22"/>
                              <w:szCs w:val="22"/>
                              <w:bdr w:val="nil"/>
                            </w:rPr>
                            <w:t xml:space="preserve">. Užsienietis, kuriam taikomas bevizis režimas,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c5646ff7e6d646fdafd5524aa300e700"/>
                        <w:lock w:val="sdtLocked"/>
                        <w:richText/>
                      </w:sdtPr>
                      <w:sdtContent>
                        <w:p>
                          <w:pPr>
                            <w:pBdr>
                              <w:top w:val="nil"/>
                              <w:left w:val="nil"/>
                              <w:bottom w:val="nil"/>
                              <w:right w:val="nil"/>
                              <w:between w:val="nil"/>
                              <w:bar w:val="nil"/>
                            </w:pBdr>
                            <w:ind w:firstLine="720"/>
                            <w:jc w:val="both"/>
                            <w:rPr>
                              <w:bCs/>
                              <w:sz w:val="22"/>
                              <w:szCs w:val="22"/>
                              <w:bdr w:val="nil"/>
                            </w:rPr>
                          </w:pPr>
                          <w:sdt>
                            <w:sdtPr>
                              <w:alias w:val="Numeris"/>
                              <w:tag w:val="nr_c5646ff7e6d646fdafd5524aa300e700"/>
                              <w:lock w:val="sdtLocked"/>
                              <w:richText/>
                            </w:sdtPr>
                            <w:sdtContent>
                              <w:r>
                                <w:rPr>
                                  <w:bCs/>
                                  <w:sz w:val="22"/>
                                  <w:szCs w:val="22"/>
                                  <w:bdr w:val="nil"/>
                                </w:rPr>
                                <w:t>10</w:t>
                              </w:r>
                            </w:sdtContent>
                          </w:sdt>
                          <w:r>
                            <w:rPr>
                              <w:bCs/>
                              <w:sz w:val="22"/>
                              <w:szCs w:val="22"/>
                              <w:bdr w:val="nil"/>
                            </w:rPr>
                            <w:t>. Vizos turėjimas automatiškai nesuteikia teisės atvykti į Lietuvos Respubliką.</w:t>
                          </w:r>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8" w:history="1">
                            <w:r>
                              <w:rPr>
                                <w:i/>
                                <w:color w:val="0000FF"/>
                                <w:sz w:val="20"/>
                                <w:u w:val="single"/>
                              </w:rPr>
                              <w:t>XI-1786</w:t>
                            </w:r>
                          </w:hyperlink>
                          <w:r>
                            <w:rPr>
                              <w:i/>
                              <w:sz w:val="20"/>
                            </w:rPr>
                            <w:t>, 2011-12-08, Žin., 2011, Nr. 156-7384 (2011-12-22)</w:t>
                          </w:r>
                        </w:p>
                        <w:p>
                          <w:pPr>
                            <w:jc w:val="both"/>
                          </w:pPr>
                          <w:r>
                            <w:rPr>
                              <w:i/>
                              <w:sz w:val="20"/>
                            </w:rPr>
                            <w:t xml:space="preserve">Nr. </w:t>
                          </w:r>
                          <w:hyperlink r:id="rId22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3"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453c12f5e4ff48cc87f07cb6a01aa006"/>
                            <w:lock w:val="sdtLocked"/>
                            <w:richText/>
                          </w:sdtPr>
                          <w:sdtContent>
                            <w:p>
                              <w:pPr>
                                <w:ind w:firstLine="720"/>
                                <w:jc w:val="both"/>
                                <w:rPr>
                                  <w:sz w:val="22"/>
                                  <w:szCs w:val="22"/>
                                </w:rPr>
                              </w:pPr>
                              <w:sdt>
                                <w:sdtPr>
                                  <w:alias w:val="Numeris"/>
                                  <w:tag w:val="nr_453c12f5e4ff48cc87f07cb6a01aa006"/>
                                  <w:lock w:val="sdtLocked"/>
                                  <w:richText/>
                                </w:sdtPr>
                                <w:sdtContent>
                                  <w:r>
                                    <w:rPr>
                                      <w:sz w:val="22"/>
                                      <w:szCs w:val="22"/>
                                    </w:rPr>
                                    <w:t>2</w:t>
                                  </w:r>
                                </w:sdtContent>
                              </w:sdt>
                              <w:r>
                                <w:rPr>
                                  <w:sz w:val="22"/>
                                  <w:szCs w:val="22"/>
                                </w:rPr>
                                <w:t>) mokytis pagal bendrojo ugdymo arba profesinio mokymo programą (programas)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8"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d5ed2d2fad445aa9ad4fce29a78d68a"/>
                        <w:lock w:val="sdtLocked"/>
                        <w:richText/>
                      </w:sdtPr>
                      <w:sdtContent>
                        <w:p>
                          <w:pPr>
                            <w:pBdr>
                              <w:top w:val="nil"/>
                              <w:left w:val="nil"/>
                              <w:bottom w:val="nil"/>
                              <w:right w:val="nil"/>
                              <w:between w:val="nil"/>
                              <w:bar w:val="nil"/>
                            </w:pBdr>
                            <w:ind w:firstLine="720"/>
                            <w:jc w:val="both"/>
                            <w:rPr>
                              <w:sz w:val="22"/>
                            </w:rPr>
                          </w:pPr>
                          <w:sdt>
                            <w:sdtPr>
                              <w:alias w:val="Numeris"/>
                              <w:tag w:val="nr_8d5ed2d2fad445aa9ad4fce29a78d68a"/>
                              <w:lock w:val="sdtLocked"/>
                              <w:richText/>
                            </w:sdtPr>
                            <w:sdtContent>
                              <w:r>
                                <w:rPr>
                                  <w:rFonts w:eastAsia="Arial Unicode MS"/>
                                  <w:sz w:val="22"/>
                                  <w:szCs w:val="22"/>
                                  <w:bdr w:val="nil"/>
                                </w:rPr>
                                <w:t>1</w:t>
                              </w:r>
                              <w:r>
                                <w:rPr>
                                  <w:rFonts w:eastAsia="Arial Unicode MS"/>
                                  <w:sz w:val="22"/>
                                  <w:szCs w:val="22"/>
                                  <w:bdr w:val="nil"/>
                                  <w:vertAlign w:val="superscript"/>
                                </w:rPr>
                                <w:t>1</w:t>
                              </w:r>
                            </w:sdtContent>
                          </w:sdt>
                          <w:r>
                            <w:rPr>
                              <w:rFonts w:eastAsia="Arial Unicode MS"/>
                              <w:sz w:val="22"/>
                              <w:szCs w:val="22"/>
                              <w:bdr w:val="nil"/>
                            </w:rPr>
                            <w:t>. Šio Įstatymo 11 straipsnio 2–5 dalyse nurodytas užsienietis teisėto buvimo Lietuvos Respublikoje laikotarpiu gali dirbti Lietuvos Respublikoje, jeigu jam yra išduotas leidimas dirbti arba jis atitinka šio Įstatymo 58 straipsnio 7–13 ar 15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c5e7b513420f4399a62464ba8ab074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5e7b513420f4399a62464ba8ab0741d"/>
                                  <w:lock w:val="sdtLocked"/>
                                  <w:richText/>
                                </w:sdtPr>
                                <w:sdtContent>
                                  <w:r>
                                    <w:rPr>
                                      <w:rFonts w:eastAsia="Arial Unicode MS"/>
                                      <w:sz w:val="22"/>
                                      <w:szCs w:val="22"/>
                                      <w:bdr w:val="nil"/>
                                    </w:rPr>
                                    <w:t>7</w:t>
                                  </w:r>
                                </w:sdtContent>
                              </w:sdt>
                              <w:r>
                                <w:rPr>
                                  <w:rFonts w:eastAsia="Arial Unicode MS"/>
                                  <w:sz w:val="22"/>
                                  <w:szCs w:val="22"/>
                                  <w:bdr w:val="nil"/>
                                </w:rPr>
                                <w:t>) nemokamai gauti būtinąją medicinos pagalbą, psichologinę pagalbą ir socialines paslaugas Valstybės sienos apsaugos tarnyboje, Pabėgėlių priėmimo centre</w:t>
                              </w:r>
                              <w:r>
                                <w:rPr>
                                  <w:rFonts w:eastAsia="Arial Unicode MS"/>
                                  <w:bCs/>
                                  <w:sz w:val="22"/>
                                  <w:szCs w:val="22"/>
                                  <w:bdr w:val="nil"/>
                                </w:rPr>
                                <w:t xml:space="preserve"> </w:t>
                              </w:r>
                              <w:r>
                                <w:rPr>
                                  <w:rFonts w:eastAsia="Arial Unicode MS"/>
                                  <w:sz w:val="22"/>
                                  <w:szCs w:val="22"/>
                                  <w:bdr w:val="nil"/>
                                </w:rPr>
                                <w:t>ar kitoje apgyvendinimo vietoje;</w:t>
                              </w:r>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dfcaeb108a294308a5f24d39ec09be75"/>
                        <w:lock w:val="sdtLocked"/>
                        <w:richText/>
                      </w:sdtPr>
                      <w:sdtContent>
                        <w:p>
                          <w:pPr>
                            <w:ind w:firstLine="720"/>
                            <w:jc w:val="both"/>
                            <w:rPr>
                              <w:rFonts w:eastAsia="Arial Unicode MS"/>
                              <w:sz w:val="22"/>
                              <w:szCs w:val="22"/>
                              <w:bdr w:val="nil"/>
                              <w:lang w:eastAsia="lt-LT"/>
                            </w:rPr>
                          </w:pPr>
                          <w:sdt>
                            <w:sdtPr>
                              <w:alias w:val="Numeris"/>
                              <w:tag w:val="nr_dfcaeb108a294308a5f24d39ec09be75"/>
                              <w:lock w:val="sdtLocked"/>
                              <w:richText/>
                            </w:sdtPr>
                            <w:sdtContent>
                              <w:r>
                                <w:rPr>
                                  <w:rFonts w:eastAsia="Arial Unicode MS"/>
                                  <w:sz w:val="22"/>
                                  <w:szCs w:val="22"/>
                                  <w:bdr w:val="nil"/>
                                  <w:lang w:eastAsia="lt-LT"/>
                                </w:rPr>
                                <w:t>1</w:t>
                              </w:r>
                              <w:r>
                                <w:rPr>
                                  <w:rFonts w:eastAsia="Arial Unicode MS"/>
                                  <w:sz w:val="22"/>
                                  <w:szCs w:val="22"/>
                                  <w:bdr w:val="nil"/>
                                  <w:vertAlign w:val="superscript"/>
                                  <w:lang w:eastAsia="lt-LT"/>
                                </w:rPr>
                                <w:t>1</w:t>
                              </w:r>
                            </w:sdtContent>
                          </w:sdt>
                          <w:r>
                            <w:rPr>
                              <w:rFonts w:eastAsia="Arial Unicode MS"/>
                              <w:sz w:val="22"/>
                              <w:szCs w:val="22"/>
                              <w:bdr w:val="nil"/>
                              <w:lang w:eastAsia="lt-LT"/>
                            </w:rPr>
                            <w:t>.</w:t>
                          </w:r>
                          <w:r>
                            <w:rPr>
                              <w:sz w:val="22"/>
                              <w:szCs w:val="22"/>
                            </w:rPr>
                            <w:t xml:space="preserve"> Paskelbus</w:t>
                          </w:r>
                          <w:r>
                            <w:rPr>
                              <w:color w:val="000000"/>
                              <w:sz w:val="22"/>
                              <w:szCs w:val="22"/>
                            </w:rPr>
                            <w:t xml:space="preserve"> karo padėtį, nepaprastąją padėtį, taip pat</w:t>
                          </w:r>
                          <w:r>
                            <w:rPr>
                              <w:rFonts w:eastAsia="Calibri"/>
                              <w:bCs/>
                              <w:sz w:val="22"/>
                              <w:szCs w:val="22"/>
                              <w:bdr w:val="none" w:sz="0" w:space="0" w:color="auto" w:frame="1"/>
                            </w:rPr>
                            <w:t xml:space="preserve"> </w:t>
                          </w:r>
                          <w:r>
                            <w:rPr>
                              <w:color w:val="000000"/>
                              <w:sz w:val="22"/>
                              <w:szCs w:val="22"/>
                            </w:rPr>
                            <w:t>ekstremaliąją situaciją ar ekstremalųjį įvykį</w:t>
                          </w:r>
                          <w:r>
                            <w:rPr>
                              <w:rFonts w:eastAsia="Calibri"/>
                              <w:bCs/>
                              <w:sz w:val="22"/>
                              <w:szCs w:val="22"/>
                              <w:bdr w:val="none" w:sz="0" w:space="0" w:color="auto" w:frame="1"/>
                            </w:rPr>
                            <w:t xml:space="preserve"> dėl masinio užsieniečių antplūdžio</w:t>
                          </w:r>
                          <w:r>
                            <w:rPr>
                              <w:color w:val="000000"/>
                              <w:sz w:val="22"/>
                              <w:szCs w:val="22"/>
                            </w:rPr>
                            <w:t xml:space="preserve">, gali būti laikinai ir proporcingai ribojamos </w:t>
                          </w:r>
                          <w:r>
                            <w:rPr>
                              <w:sz w:val="22"/>
                              <w:szCs w:val="22"/>
                            </w:rPr>
                            <w:t>šio straipsnio 1 dalyje nurodytos prieglobsčio prašytojų teisės, jeigu jų negalima užtikrinti dėl objektyvių ir pagrįstų priežasčių, išskyrus teisę į materialines priėmimo sąlygas, būtinosios medicinos pagalbos teikimą ir valstybės garantuojamą teisinę pagalbą, o pažeidžiamiems asmenims – ir teisė naudotis jų specialiuosius poreikius atitinkančiomis priėmimo sąlygomis. Išnykus šioje dalyje nurodytoms priežastims, pažeidžiamiems asmenims šio straipsnio 1 dalyje nurodytos prieglobsčio prašytojų teisės užtikrinamos prioriteto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sdt>
                      <w:sdtPr>
                        <w:alias w:val="71 str. 3 d."/>
                        <w:tag w:val="part_c4cbdc175d11405fbb54930a5b15a1e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4cbdc175d11405fbb54930a5b15a1eb"/>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xml:space="preserve">. Teisę likti Lietuvos Respublikos teritorijoje turintiems prieglobsčio prašytojams, gyvenantiems </w:t>
                          </w:r>
                          <w:r>
                            <w:rPr>
                              <w:rFonts w:eastAsia="Arial Unicode MS"/>
                              <w:sz w:val="22"/>
                              <w:szCs w:val="22"/>
                              <w:bdr w:val="nil"/>
                            </w:rPr>
                            <w:t xml:space="preserve">Lietuvos Respublikos institucijų paskirtose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6 str. 6 d."/>
                        <w:tag w:val="part_3e6ee9e12ce841f5b3ab7af5ba4cc35a"/>
                        <w:lock w:val="sdtLocked"/>
                        <w:richText/>
                      </w:sdtPr>
                      <w:sdtContent>
                        <w:p>
                          <w:pPr>
                            <w:ind w:firstLine="720"/>
                            <w:jc w:val="both"/>
                            <w:rPr>
                              <w:sz w:val="22"/>
                            </w:rPr>
                          </w:pPr>
                          <w:sdt>
                            <w:sdtPr>
                              <w:alias w:val="Numeris"/>
                              <w:tag w:val="nr_3e6ee9e12ce841f5b3ab7af5ba4cc35a"/>
                              <w:lock w:val="sdtLocked"/>
                              <w:richText/>
                            </w:sdtPr>
                            <w:sdtContent>
                              <w:r>
                                <w:rPr>
                                  <w:rFonts w:eastAsia="Arial Unicode MS"/>
                                  <w:sz w:val="22"/>
                                  <w:szCs w:val="22"/>
                                  <w:bdr w:val="nil"/>
                                </w:rPr>
                                <w:t>6</w:t>
                              </w:r>
                            </w:sdtContent>
                          </w:sdt>
                          <w:r>
                            <w:rPr>
                              <w:rFonts w:eastAsia="Arial Unicode MS"/>
                              <w:sz w:val="22"/>
                              <w:szCs w:val="22"/>
                              <w:bdr w:val="nil"/>
                            </w:rPr>
                            <w:t xml:space="preserve">. Šio straipsnio 4 dalis netaikoma nelydimiems nepilnamečiams prieglobsčio prašytojams ir prieglobsčio prašytojams, kurie buvo kankinti, išprievartauti ar patyrė kitokį sunkų psichologinį, fizinį ar seksualinį smurtą. </w:t>
                          </w:r>
                          <w:r>
                            <w:rPr>
                              <w:rFonts w:eastAsia="Arial Unicode MS"/>
                              <w:bCs/>
                              <w:sz w:val="22"/>
                              <w:szCs w:val="22"/>
                              <w:bdr w:val="nil"/>
                            </w:rPr>
                            <w:t>Ši nuostata netaikoma p</w:t>
                          </w:r>
                          <w:r>
                            <w:rPr>
                              <w:bCs/>
                              <w:sz w:val="22"/>
                              <w:szCs w:val="22"/>
                            </w:rPr>
                            <w:t>askelbus karo padėtį, nepaprastąją padėtį, taip pat ekstremaliąją situaciją ar ekstremalųjį įvykį dėl masinio užsieniečių antplūdžio.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ceb794d9a1714eebaaac966b38a20eef"/>
                        <w:lock w:val="sdtLocked"/>
                        <w:richText/>
                      </w:sdtPr>
                      <w:sdtContent>
                        <w:p>
                          <w:pPr>
                            <w:ind w:firstLine="720"/>
                            <w:jc w:val="both"/>
                          </w:pPr>
                          <w:sdt>
                            <w:sdtPr>
                              <w:alias w:val="Numeris"/>
                              <w:tag w:val="nr_ceb794d9a1714eebaaac966b38a20eef"/>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 išskyrus atvejus, kai yra paskelbta karo padėtis, nepaprastoji padėtis, taip pat ekstremalioji situacija ar ekstremalusis įvykis dėl masinio užsieniečių antplūdžio.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1f3ea6488df9471fb8e44fcb27fe330d"/>
                        <w:lock w:val="sdtLocked"/>
                        <w:richText/>
                      </w:sdtPr>
                      <w:sdtContent>
                        <w:p>
                          <w:pPr>
                            <w:tabs>
                              <w:tab w:val="left" w:pos="8505"/>
                            </w:tabs>
                            <w:ind w:firstLine="720"/>
                            <w:jc w:val="both"/>
                            <w:rPr>
                              <w:sz w:val="22"/>
                              <w:szCs w:val="22"/>
                            </w:rPr>
                          </w:pPr>
                          <w:sdt>
                            <w:sdtPr>
                              <w:alias w:val="Numeris"/>
                              <w:tag w:val="nr_1f3ea6488df9471fb8e44fcb27fe330d"/>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jam skirta alternatyvi sulaikymui priemonė Lietuvos Respublikos įstatymų nustatyta tvarka arba kai jis apgyvendinamas įgalioto Valstybės sienos apsaugos tarnybos pareigūno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4"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5"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a3b47544c2cc4932bb56b525b05cc8ca"/>
            <w:lock w:val="sdtLocked"/>
            <w:richText/>
          </w:sdtPr>
          <w:sdtContent>
            <w:p>
              <w:pPr>
                <w:tabs>
                  <w:tab w:val="left" w:pos="10992"/>
                  <w:tab w:val="left" w:pos="11908"/>
                  <w:tab w:val="left" w:pos="12824"/>
                  <w:tab w:val="left" w:pos="13740"/>
                  <w:tab w:val="left" w:pos="14656"/>
                </w:tabs>
                <w:jc w:val="center"/>
                <w:rPr>
                  <w:b/>
                  <w:sz w:val="22"/>
                  <w:szCs w:val="22"/>
                  <w:lang w:eastAsia="lt-LT"/>
                </w:rPr>
              </w:pPr>
              <w:sdt>
                <w:sdtPr>
                  <w:alias w:val="Numeris"/>
                  <w:tag w:val="nr_a3b47544c2cc4932bb56b525b05cc8ca"/>
                  <w:lock w:val="sdtLocked"/>
                  <w:richText/>
                </w:sdtPr>
                <w:sdtContent>
                  <w:r>
                    <w:rPr>
                      <w:b/>
                      <w:sz w:val="22"/>
                      <w:szCs w:val="22"/>
                      <w:lang w:eastAsia="lt-LT"/>
                    </w:rPr>
                    <w:t>IX</w:t>
                  </w:r>
                  <w:r>
                    <w:rPr>
                      <w:b/>
                      <w:sz w:val="22"/>
                      <w:szCs w:val="22"/>
                      <w:vertAlign w:val="superscript"/>
                      <w:lang w:eastAsia="lt-LT"/>
                    </w:rPr>
                    <w:t>1</w:t>
                  </w:r>
                </w:sdtContent>
              </w:sdt>
              <w:r>
                <w:rPr>
                  <w:b/>
                  <w:sz w:val="22"/>
                  <w:szCs w:val="22"/>
                  <w:lang w:eastAsia="lt-LT"/>
                </w:rPr>
                <w:t xml:space="preserve"> SKYRIUS</w:t>
              </w:r>
            </w:p>
            <w:p>
              <w:pPr>
                <w:tabs>
                  <w:tab w:val="left" w:pos="10992"/>
                  <w:tab w:val="left" w:pos="11908"/>
                  <w:tab w:val="left" w:pos="12824"/>
                  <w:tab w:val="left" w:pos="13740"/>
                  <w:tab w:val="left" w:pos="14656"/>
                </w:tabs>
                <w:jc w:val="center"/>
                <w:rPr>
                  <w:strike/>
                  <w:sz w:val="22"/>
                  <w:szCs w:val="22"/>
                  <w:lang w:eastAsia="lt-LT"/>
                </w:rPr>
              </w:pPr>
              <w:sdt>
                <w:sdtPr>
                  <w:alias w:val="Pavadinimas"/>
                  <w:tag w:val="title_a3b47544c2cc4932bb56b525b05cc8ca"/>
                  <w:lock w:val="sdtLocked"/>
                  <w:richText/>
                </w:sdtPr>
                <w:sdtContent>
                  <w:r>
                    <w:rPr>
                      <w:b/>
                      <w:sz w:val="22"/>
                      <w:szCs w:val="22"/>
                      <w:lang w:eastAsia="lt-LT"/>
                    </w:rPr>
                    <w:t>SPRENDIMŲ DĖL PRAŠYMŲ SUTEIKTI PRIEGLOBSTĮ APSKUNDIMAS IKITEISMINE TVARKA</w:t>
                  </w:r>
                </w:sdtContent>
              </w:sdt>
            </w:p>
            <w:p>
              <w:pPr>
                <w:ind w:firstLine="720"/>
                <w:rPr>
                  <w:b/>
                  <w:bCs/>
                  <w:color w:val="000000"/>
                  <w:sz w:val="22"/>
                  <w:szCs w:val="22"/>
                </w:rPr>
              </w:pPr>
            </w:p>
            <w:sdt>
              <w:sdtPr>
                <w:alias w:val="135-1 str."/>
                <w:tag w:val="part_e90c0cb8919a465ab8b04687de02777c"/>
                <w:lock w:val="sdtLocked"/>
                <w:richText/>
              </w:sdtPr>
              <w:sdtContent>
                <w:p>
                  <w:pPr>
                    <w:ind w:firstLine="720"/>
                    <w:jc w:val="both"/>
                    <w:rPr>
                      <w:rFonts w:eastAsia="Calibri"/>
                      <w:b/>
                      <w:sz w:val="22"/>
                      <w:szCs w:val="22"/>
                    </w:rPr>
                  </w:pPr>
                  <w:sdt>
                    <w:sdtPr>
                      <w:alias w:val="Numeris"/>
                      <w:tag w:val="nr_e90c0cb8919a465ab8b04687de02777c"/>
                      <w:lock w:val="sdtLocked"/>
                      <w:richText/>
                    </w:sdtPr>
                    <w:sdtContent>
                      <w:r>
                        <w:rPr>
                          <w:rFonts w:eastAsia="Calibri"/>
                          <w:b/>
                          <w:sz w:val="22"/>
                          <w:szCs w:val="22"/>
                        </w:rPr>
                        <w:t>135</w:t>
                      </w:r>
                      <w:r>
                        <w:rPr>
                          <w:rFonts w:eastAsia="Calibri"/>
                          <w:b/>
                          <w:sz w:val="22"/>
                          <w:szCs w:val="22"/>
                          <w:vertAlign w:val="superscript"/>
                        </w:rPr>
                        <w:t>1</w:t>
                      </w:r>
                    </w:sdtContent>
                  </w:sdt>
                  <w:r>
                    <w:rPr>
                      <w:rFonts w:eastAsia="Calibri"/>
                      <w:b/>
                      <w:sz w:val="22"/>
                      <w:szCs w:val="22"/>
                    </w:rPr>
                    <w:t xml:space="preserve"> straipsnis. </w:t>
                  </w:r>
                  <w:sdt>
                    <w:sdtPr>
                      <w:alias w:val="Pavadinimas"/>
                      <w:tag w:val="title_e90c0cb8919a465ab8b04687de02777c"/>
                      <w:lock w:val="sdtLocked"/>
                      <w:richText/>
                    </w:sdtPr>
                    <w:sdtContent>
                      <w:r>
                        <w:rPr>
                          <w:rFonts w:eastAsia="Calibri"/>
                          <w:b/>
                          <w:sz w:val="22"/>
                          <w:szCs w:val="22"/>
                        </w:rPr>
                        <w:t xml:space="preserve">Skundo padavimas </w:t>
                      </w:r>
                    </w:sdtContent>
                  </w:sdt>
                </w:p>
                <w:sdt>
                  <w:sdtPr>
                    <w:alias w:val="135-1 str. 1 d."/>
                    <w:tag w:val="part_491beae069a449cf9c3e8de74ff28e44"/>
                    <w:lock w:val="sdtLocked"/>
                    <w:richText/>
                  </w:sdtPr>
                  <w:sdtContent>
                    <w:p>
                      <w:pPr>
                        <w:ind w:firstLine="720"/>
                        <w:jc w:val="both"/>
                        <w:rPr>
                          <w:rFonts w:eastAsia="Calibri"/>
                          <w:sz w:val="22"/>
                          <w:szCs w:val="22"/>
                        </w:rPr>
                      </w:pPr>
                      <w:sdt>
                        <w:sdtPr>
                          <w:alias w:val="Numeris"/>
                          <w:tag w:val="nr_491beae069a449cf9c3e8de74ff28e44"/>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ir 87 straipsnio 3 dalyje, vidaus reikalų ministro nustatyta tvarka gali būti paduotas Migracijos departamentui per 7 dienas nuo užsieniečio supažindinimo su sprendimu dienos. </w:t>
                      </w:r>
                    </w:p>
                  </w:sdtContent>
                </w:sdt>
                <w:sdt>
                  <w:sdtPr>
                    <w:alias w:val="135-1 str. 2 d."/>
                    <w:tag w:val="part_852fc0a4b70c49a5b0c2173a19537dba"/>
                    <w:lock w:val="sdtLocked"/>
                    <w:richText/>
                  </w:sdtPr>
                  <w:sdtContent>
                    <w:p>
                      <w:pPr>
                        <w:ind w:firstLine="720"/>
                        <w:jc w:val="both"/>
                        <w:rPr>
                          <w:rFonts w:eastAsia="Calibri"/>
                          <w:sz w:val="22"/>
                          <w:szCs w:val="22"/>
                        </w:rPr>
                      </w:pPr>
                      <w:sdt>
                        <w:sdtPr>
                          <w:alias w:val="Numeris"/>
                          <w:tag w:val="nr_852fc0a4b70c49a5b0c2173a19537dba"/>
                          <w:lock w:val="sdtLocked"/>
                          <w:richText/>
                        </w:sdtPr>
                        <w:sdtContent>
                          <w:r>
                            <w:rPr>
                              <w:rFonts w:eastAsia="Calibri"/>
                              <w:sz w:val="22"/>
                              <w:szCs w:val="22"/>
                            </w:rPr>
                            <w:t>2</w:t>
                          </w:r>
                        </w:sdtContent>
                      </w:sdt>
                      <w:r>
                        <w:rPr>
                          <w:rFonts w:eastAsia="Calibri"/>
                          <w:sz w:val="22"/>
                          <w:szCs w:val="22"/>
                        </w:rPr>
                        <w:t>. Šio straipsnio 1 dalyje nurodytą skundą dėl sprendimo, priimto nagrinėjant pagal šio Įstatymo 67 straipsnio 2 dalį pateiktą prašymą, gali paduoti užsienietis, pateikęs prašymą savo, kitų šeimos narių vardu, arba bet kuris pilnametis tos šeimos narys.</w:t>
                      </w:r>
                    </w:p>
                  </w:sdtContent>
                </w:sdt>
                <w:sdt>
                  <w:sdtPr>
                    <w:alias w:val="135-1 str. 3 d."/>
                    <w:tag w:val="part_e2c9d3071d724ac9b9fef529d4c57156"/>
                    <w:lock w:val="sdtLocked"/>
                    <w:richText/>
                  </w:sdtPr>
                  <w:sdtContent>
                    <w:p>
                      <w:pPr>
                        <w:ind w:firstLine="720"/>
                        <w:jc w:val="both"/>
                        <w:rPr>
                          <w:rFonts w:eastAsia="Calibri"/>
                          <w:sz w:val="22"/>
                          <w:szCs w:val="22"/>
                        </w:rPr>
                      </w:pPr>
                      <w:sdt>
                        <w:sdtPr>
                          <w:alias w:val="Numeris"/>
                          <w:tag w:val="nr_e2c9d3071d724ac9b9fef529d4c57156"/>
                          <w:lock w:val="sdtLocked"/>
                          <w:richText/>
                        </w:sdtPr>
                        <w:sdtContent>
                          <w:r>
                            <w:rPr>
                              <w:rFonts w:eastAsia="Calibri"/>
                              <w:sz w:val="22"/>
                              <w:szCs w:val="22"/>
                            </w:rPr>
                            <w:t>3</w:t>
                          </w:r>
                        </w:sdtContent>
                      </w:sdt>
                      <w:r>
                        <w:rPr>
                          <w:rFonts w:eastAsia="Calibri"/>
                          <w:sz w:val="22"/>
                          <w:szCs w:val="22"/>
                        </w:rPr>
                        <w:t>. Šio straipsnio 1 dalyje nurodyti skundai privalomai ikiteismine tvarka nagrinėjami Migracijos departamente.</w:t>
                      </w:r>
                    </w:p>
                    <w:p>
                      <w:pPr>
                        <w:ind w:firstLine="720"/>
                        <w:jc w:val="both"/>
                        <w:rPr>
                          <w:sz w:val="22"/>
                          <w:szCs w:val="22"/>
                        </w:rPr>
                      </w:pPr>
                    </w:p>
                  </w:sdtContent>
                </w:sdt>
              </w:sdtContent>
            </w:sdt>
            <w:sdt>
              <w:sdtPr>
                <w:alias w:val="135-2 str."/>
                <w:tag w:val="part_afa93728524044619859312bbdd98fab"/>
                <w:lock w:val="sdtLocked"/>
                <w:richText/>
              </w:sdtPr>
              <w:sdtContent>
                <w:p>
                  <w:pPr>
                    <w:ind w:firstLine="720"/>
                    <w:jc w:val="both"/>
                    <w:rPr>
                      <w:rFonts w:eastAsia="Calibri"/>
                      <w:b/>
                      <w:sz w:val="22"/>
                      <w:szCs w:val="22"/>
                    </w:rPr>
                  </w:pPr>
                  <w:sdt>
                    <w:sdtPr>
                      <w:alias w:val="Numeris"/>
                      <w:tag w:val="nr_afa93728524044619859312bbdd98fab"/>
                      <w:lock w:val="sdtLocked"/>
                      <w:richText/>
                    </w:sdtPr>
                    <w:sdtContent>
                      <w:r>
                        <w:rPr>
                          <w:rFonts w:eastAsia="Calibri"/>
                          <w:b/>
                          <w:sz w:val="22"/>
                          <w:szCs w:val="22"/>
                        </w:rPr>
                        <w:t>135</w:t>
                      </w:r>
                      <w:r>
                        <w:rPr>
                          <w:rFonts w:eastAsia="Calibri"/>
                          <w:b/>
                          <w:sz w:val="22"/>
                          <w:szCs w:val="22"/>
                          <w:vertAlign w:val="superscript"/>
                        </w:rPr>
                        <w:t>2</w:t>
                      </w:r>
                    </w:sdtContent>
                  </w:sdt>
                  <w:r>
                    <w:rPr>
                      <w:rFonts w:eastAsia="Calibri"/>
                      <w:b/>
                      <w:sz w:val="22"/>
                      <w:szCs w:val="22"/>
                      <w:vertAlign w:val="superscript"/>
                    </w:rPr>
                    <w:t xml:space="preserve"> </w:t>
                  </w:r>
                  <w:r>
                    <w:rPr>
                      <w:rFonts w:eastAsia="Calibri"/>
                      <w:b/>
                      <w:sz w:val="22"/>
                      <w:szCs w:val="22"/>
                    </w:rPr>
                    <w:t xml:space="preserve"> straipsnis. </w:t>
                  </w:r>
                  <w:sdt>
                    <w:sdtPr>
                      <w:alias w:val="Pavadinimas"/>
                      <w:tag w:val="title_afa93728524044619859312bbdd98fab"/>
                      <w:lock w:val="sdtLocked"/>
                      <w:richText/>
                    </w:sdtPr>
                    <w:sdtContent>
                      <w:r>
                        <w:rPr>
                          <w:rFonts w:eastAsia="Calibri"/>
                          <w:b/>
                          <w:sz w:val="22"/>
                          <w:szCs w:val="22"/>
                        </w:rPr>
                        <w:t>Skundo nagrinėjimas ir sprendimo priėmimas</w:t>
                      </w:r>
                    </w:sdtContent>
                  </w:sdt>
                </w:p>
                <w:sdt>
                  <w:sdtPr>
                    <w:alias w:val="135-2 str. 1 d."/>
                    <w:tag w:val="part_1c8e058e07aa4f5a8d14a44339f6266f"/>
                    <w:lock w:val="sdtLocked"/>
                    <w:richText/>
                  </w:sdtPr>
                  <w:sdtContent>
                    <w:p>
                      <w:pPr>
                        <w:ind w:firstLine="720"/>
                        <w:jc w:val="both"/>
                        <w:rPr>
                          <w:sz w:val="22"/>
                          <w:szCs w:val="22"/>
                        </w:rPr>
                      </w:pPr>
                      <w:sdt>
                        <w:sdtPr>
                          <w:alias w:val="Numeris"/>
                          <w:tag w:val="nr_1c8e058e07aa4f5a8d14a44339f6266f"/>
                          <w:lock w:val="sdtLocked"/>
                          <w:richText/>
                        </w:sdtPr>
                        <w:sdtContent>
                          <w:r>
                            <w:rPr>
                              <w:sz w:val="22"/>
                              <w:szCs w:val="22"/>
                            </w:rPr>
                            <w:t>1</w:t>
                          </w:r>
                        </w:sdtContent>
                      </w:sdt>
                      <w:r>
                        <w:rPr>
                          <w:sz w:val="22"/>
                          <w:szCs w:val="22"/>
                        </w:rPr>
                        <w:t>. Migracijos departamentas šio Įstatymo 135</w:t>
                      </w:r>
                      <w:r>
                        <w:rPr>
                          <w:sz w:val="22"/>
                          <w:szCs w:val="22"/>
                          <w:vertAlign w:val="superscript"/>
                        </w:rPr>
                        <w:t xml:space="preserve">1 </w:t>
                      </w:r>
                      <w:r>
                        <w:rPr>
                          <w:sz w:val="22"/>
                          <w:szCs w:val="22"/>
                        </w:rPr>
                        <w:t>straipsnio 1 dalyje nurodytą skundą išnagrinėja ir dėl jo sprendimą priima vidaus reikalų ministro nustatyta tvarka per 7 dienas nuo šio Įstatymo 135</w:t>
                      </w:r>
                      <w:r>
                        <w:rPr>
                          <w:sz w:val="22"/>
                          <w:szCs w:val="22"/>
                          <w:vertAlign w:val="superscript"/>
                        </w:rPr>
                        <w:t xml:space="preserve">1 </w:t>
                      </w:r>
                      <w:r>
                        <w:rPr>
                          <w:sz w:val="22"/>
                          <w:szCs w:val="22"/>
                        </w:rPr>
                        <w:t xml:space="preserve">straipsnio 1 dalyje nurodyto skundo gavimo.  </w:t>
                      </w:r>
                    </w:p>
                  </w:sdtContent>
                </w:sdt>
                <w:sdt>
                  <w:sdtPr>
                    <w:alias w:val="135-2 str. 2 d."/>
                    <w:tag w:val="part_0ed4a15e250443d3ac304e8df69d9275"/>
                    <w:lock w:val="sdtLocked"/>
                    <w:richText/>
                  </w:sdtPr>
                  <w:sdtContent>
                    <w:p>
                      <w:pPr>
                        <w:ind w:firstLine="720"/>
                        <w:jc w:val="both"/>
                        <w:rPr>
                          <w:sz w:val="22"/>
                        </w:rPr>
                      </w:pPr>
                      <w:sdt>
                        <w:sdtPr>
                          <w:alias w:val="Numeris"/>
                          <w:tag w:val="nr_0ed4a15e250443d3ac304e8df69d9275"/>
                          <w:lock w:val="sdtLocked"/>
                          <w:richText/>
                        </w:sdtPr>
                        <w:sdtContent>
                          <w:r>
                            <w:rPr>
                              <w:sz w:val="22"/>
                              <w:szCs w:val="22"/>
                            </w:rPr>
                            <w:t>2</w:t>
                          </w:r>
                        </w:sdtContent>
                      </w:sdt>
                      <w:r>
                        <w:rPr>
                          <w:sz w:val="22"/>
                          <w:szCs w:val="22"/>
                        </w:rPr>
                        <w:t>. Šio straipsnio 1 dalyje nurodyto sprendimo apskundimas nesustabdo šio Įstatymo 135</w:t>
                      </w:r>
                      <w:r>
                        <w:rPr>
                          <w:sz w:val="22"/>
                          <w:szCs w:val="22"/>
                          <w:vertAlign w:val="superscript"/>
                        </w:rPr>
                        <w:t>1 </w:t>
                      </w:r>
                      <w:r>
                        <w:rPr>
                          <w:sz w:val="22"/>
                          <w:szCs w:val="22"/>
                        </w:rPr>
                        <w:t xml:space="preserve"> straipsnio 1 dalyje nurodyto sprendimo vykdymo.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1b807e8b0d5549aaa26de7c6d3810188"/>
                <w:lock w:val="sdtLocked"/>
                <w:richText/>
              </w:sdtPr>
              <w:sdtContent>
                <w:p>
                  <w:pPr>
                    <w:ind w:firstLine="720"/>
                    <w:jc w:val="both"/>
                    <w:rPr>
                      <w:b/>
                      <w:bCs/>
                      <w:sz w:val="22"/>
                      <w:szCs w:val="22"/>
                    </w:rPr>
                  </w:pPr>
                  <w:sdt>
                    <w:sdtPr>
                      <w:alias w:val="Numeris"/>
                      <w:tag w:val="nr_1b807e8b0d5549aaa26de7c6d3810188"/>
                      <w:lock w:val="sdtLocked"/>
                      <w:richText/>
                    </w:sdtPr>
                    <w:sdtContent>
                      <w:r>
                        <w:rPr>
                          <w:b/>
                          <w:sz w:val="22"/>
                          <w:szCs w:val="22"/>
                        </w:rPr>
                        <w:t>136</w:t>
                      </w:r>
                    </w:sdtContent>
                  </w:sdt>
                  <w:r>
                    <w:rPr>
                      <w:b/>
                      <w:sz w:val="22"/>
                      <w:szCs w:val="22"/>
                    </w:rPr>
                    <w:t xml:space="preserve"> straipsnis. </w:t>
                  </w:r>
                  <w:sdt>
                    <w:sdtPr>
                      <w:alias w:val="Pavadinimas"/>
                      <w:tag w:val="title_1b807e8b0d5549aaa26de7c6d3810188"/>
                      <w:lock w:val="sdtLocked"/>
                      <w:richText/>
                    </w:sdtPr>
                    <w:sdtContent>
                      <w:r>
                        <w:rPr>
                          <w:b/>
                          <w:sz w:val="22"/>
                          <w:szCs w:val="22"/>
                        </w:rPr>
                        <w:t>Sprendimo apskundimo teisė</w:t>
                      </w:r>
                    </w:sdtContent>
                  </w:sdt>
                </w:p>
                <w:sdt>
                  <w:sdtPr>
                    <w:alias w:val="136 str. 1 d."/>
                    <w:tag w:val="part_8a540e7a0ae24dd493fca1b1d5911e0e"/>
                    <w:lock w:val="sdtLocked"/>
                    <w:richText/>
                  </w:sdtPr>
                  <w:sdtContent>
                    <w:p>
                      <w:pPr>
                        <w:ind w:firstLine="720"/>
                        <w:jc w:val="both"/>
                      </w:pPr>
                      <w:r>
                        <w:rPr>
                          <w:rFonts w:eastAsia="Calibri"/>
                          <w:bCs/>
                          <w:sz w:val="22"/>
                          <w:szCs w:val="22"/>
                        </w:rPr>
                        <w:t>Sprendimai, priimti pagal šį Įstatymą, gali būti skundžiami šio Įstatymo IX</w:t>
                      </w:r>
                      <w:r>
                        <w:rPr>
                          <w:rFonts w:eastAsia="Calibri"/>
                          <w:bCs/>
                          <w:sz w:val="22"/>
                          <w:szCs w:val="22"/>
                          <w:vertAlign w:val="superscript"/>
                        </w:rPr>
                        <w:t>1</w:t>
                      </w:r>
                      <w:r>
                        <w:rPr>
                          <w:rFonts w:eastAsia="Calibri"/>
                          <w:bCs/>
                          <w:sz w:val="22"/>
                          <w:szCs w:val="22"/>
                        </w:rPr>
                        <w:t xml:space="preserve">, </w:t>
                      </w:r>
                      <w:r>
                        <w:rPr>
                          <w:rFonts w:eastAsia="Calibri"/>
                          <w:bCs/>
                          <w:sz w:val="22"/>
                          <w:szCs w:val="22"/>
                          <w:vertAlign w:val="superscript"/>
                        </w:rPr>
                        <w:t xml:space="preserve"> </w:t>
                      </w:r>
                      <w:r>
                        <w:rPr>
                          <w:rFonts w:eastAsia="Calibri"/>
                          <w:bCs/>
                          <w:sz w:val="22"/>
                          <w:szCs w:val="22"/>
                        </w:rPr>
                        <w:t>X skyriuose ir Administracinių bylų teisenos įstatyme nustatyta tvarka.</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745f120305574e51afac5c59c8e49c38"/>
                    <w:lock w:val="sdtLocked"/>
                    <w:richText/>
                  </w:sdtPr>
                  <w:sdtContent>
                    <w:p>
                      <w:pPr>
                        <w:ind w:firstLine="720"/>
                        <w:jc w:val="both"/>
                      </w:pPr>
                      <w:sdt>
                        <w:sdtPr>
                          <w:alias w:val="Numeris"/>
                          <w:tag w:val="nr_745f120305574e51afac5c59c8e49c38"/>
                          <w:lock w:val="sdtLocked"/>
                          <w:richText/>
                        </w:sdtPr>
                        <w:sdtContent>
                          <w:r>
                            <w:rPr>
                              <w:bCs/>
                              <w:sz w:val="22"/>
                              <w:szCs w:val="22"/>
                            </w:rPr>
                            <w:t>2</w:t>
                          </w:r>
                        </w:sdtContent>
                      </w:sdt>
                      <w:r>
                        <w:rPr>
                          <w:bCs/>
                          <w:sz w:val="22"/>
                          <w:szCs w:val="22"/>
                        </w:rPr>
                        <w:t>. Skundą dėl š</w:t>
                      </w:r>
                      <w:r>
                        <w:rPr>
                          <w:sz w:val="22"/>
                          <w:szCs w:val="22"/>
                        </w:rPr>
                        <w:t>io Įstatymo 135</w:t>
                      </w:r>
                      <w:r>
                        <w:rPr>
                          <w:sz w:val="22"/>
                          <w:szCs w:val="22"/>
                          <w:vertAlign w:val="superscript"/>
                        </w:rPr>
                        <w:t xml:space="preserve">2 </w:t>
                      </w:r>
                      <w:r>
                        <w:rPr>
                          <w:sz w:val="22"/>
                          <w:szCs w:val="22"/>
                        </w:rPr>
                        <w:t xml:space="preserve">straipsnio 1 dalyje nurodyto sprendimo užsienietis gali paduoti apygardos administraciniam teismui per 7 dienas nuo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0ac9415f19ba46ae9ca5f94fce879556"/>
                    <w:lock w:val="sdtLocked"/>
                    <w:richText/>
                  </w:sdtPr>
                  <w:sdtContent>
                    <w:p>
                      <w:pPr>
                        <w:ind w:firstLine="720"/>
                        <w:jc w:val="both"/>
                        <w:rPr>
                          <w:rFonts w:eastAsia="Calibri"/>
                          <w:bCs/>
                          <w:sz w:val="22"/>
                          <w:szCs w:val="22"/>
                        </w:rPr>
                      </w:pPr>
                      <w:sdt>
                        <w:sdtPr>
                          <w:alias w:val="Numeris"/>
                          <w:tag w:val="nr_0ac9415f19ba46ae9ca5f94fce879556"/>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357f26954d324a07951623eeaa5a2525"/>
                        <w:lock w:val="sdtLocked"/>
                        <w:richText/>
                      </w:sdtPr>
                      <w:sdtContent>
                        <w:p>
                          <w:pPr>
                            <w:ind w:firstLine="720"/>
                            <w:jc w:val="both"/>
                            <w:rPr>
                              <w:rFonts w:eastAsia="Calibri"/>
                              <w:bCs/>
                              <w:sz w:val="22"/>
                              <w:szCs w:val="22"/>
                            </w:rPr>
                          </w:pPr>
                          <w:sdt>
                            <w:sdtPr>
                              <w:alias w:val="Numeris"/>
                              <w:tag w:val="nr_357f26954d324a07951623eeaa5a2525"/>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21 punkte nurodytais pagrindais;</w:t>
                          </w:r>
                        </w:p>
                      </w:sdtContent>
                    </w:sdt>
                    <w:sdt>
                      <w:sdtPr>
                        <w:alias w:val="139 str. 1 d. 2 p."/>
                        <w:tag w:val="part_dab8370eed0a4ed694b36d1e344cdaed"/>
                        <w:lock w:val="sdtLocked"/>
                        <w:richText/>
                      </w:sdtPr>
                      <w:sdtContent>
                        <w:p>
                          <w:pPr>
                            <w:ind w:firstLine="720"/>
                            <w:jc w:val="both"/>
                            <w:rPr>
                              <w:sz w:val="22"/>
                              <w:szCs w:val="22"/>
                            </w:rPr>
                          </w:pPr>
                          <w:sdt>
                            <w:sdtPr>
                              <w:alias w:val="Numeris"/>
                              <w:tag w:val="nr_dab8370eed0a4ed694b36d1e344cdaed"/>
                              <w:lock w:val="sdtLocked"/>
                              <w:richText/>
                            </w:sdtPr>
                            <w:sdtContent>
                              <w:r>
                                <w:rPr>
                                  <w:rFonts w:eastAsia="Calibri"/>
                                  <w:sz w:val="22"/>
                                  <w:szCs w:val="22"/>
                                </w:rPr>
                                <w:t>2</w:t>
                              </w:r>
                            </w:sdtContent>
                          </w:sdt>
                          <w:r>
                            <w:rPr>
                              <w:rFonts w:eastAsia="Calibri"/>
                              <w:sz w:val="22"/>
                              <w:szCs w:val="22"/>
                            </w:rPr>
                            <w:t>)</w:t>
                          </w:r>
                          <w:r>
                            <w:rPr>
                              <w:rFonts w:eastAsia="Calibri"/>
                              <w:b/>
                              <w:sz w:val="22"/>
                              <w:szCs w:val="22"/>
                            </w:rPr>
                            <w:t xml:space="preserve"> </w:t>
                          </w:r>
                          <w:r>
                            <w:rPr>
                              <w:rFonts w:eastAsia="Calibri"/>
                              <w:sz w:val="22"/>
                              <w:szCs w:val="22"/>
                            </w:rPr>
                            <w:t xml:space="preserve">kai </w:t>
                          </w:r>
                          <w:r>
                            <w:rPr>
                              <w:rFonts w:eastAsia="Calibri"/>
                              <w:bCs/>
                              <w:sz w:val="22"/>
                              <w:szCs w:val="22"/>
                            </w:rPr>
                            <w:t>nutraukiamas prašymo suteikti prieglobstį nagrinėjimas arba suteiktas prieglobstis panaikinamas ir užsienietis išsiunčiamas iš Lietuvos Respublikos arba grąžinamas į užsienio valstybę.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674bd87a3cc43239d9bf8cf85edb713"/>
                    <w:lock w:val="sdtLocked"/>
                    <w:richText/>
                  </w:sdtPr>
                  <w:sdtContent>
                    <w:p>
                      <w:pPr>
                        <w:ind w:firstLine="720"/>
                        <w:jc w:val="both"/>
                      </w:pPr>
                      <w:sdt>
                        <w:sdtPr>
                          <w:alias w:val="Numeris"/>
                          <w:tag w:val="nr_2674bd87a3cc43239d9bf8cf85edb713"/>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išskyrus teismo sprendimą, priimtą dėl šio Įstatymo 135</w:t>
                      </w:r>
                      <w:r>
                        <w:rPr>
                          <w:rFonts w:eastAsia="Calibri"/>
                          <w:bCs/>
                          <w:sz w:val="22"/>
                          <w:szCs w:val="22"/>
                          <w:vertAlign w:val="superscript"/>
                        </w:rPr>
                        <w:t xml:space="preserve">2 </w:t>
                      </w:r>
                      <w:r>
                        <w:rPr>
                          <w:rFonts w:eastAsia="Calibri"/>
                          <w:bCs/>
                          <w:sz w:val="22"/>
                          <w:szCs w:val="22"/>
                        </w:rPr>
                        <w:t>straipsnio 1 dalyje nurodyto sprendimo.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4-1 d."/>
                    <w:tag w:val="part_119a8f44474540adbf2822a82a0cbc40"/>
                    <w:lock w:val="sdtLocked"/>
                    <w:richText/>
                  </w:sdtPr>
                  <w:sdtContent>
                    <w:p>
                      <w:pPr>
                        <w:ind w:firstLine="720"/>
                        <w:jc w:val="both"/>
                        <w:rPr>
                          <w:sz w:val="22"/>
                          <w:szCs w:val="24"/>
                        </w:rPr>
                      </w:pPr>
                      <w:sdt>
                        <w:sdtPr>
                          <w:alias w:val="Numeris"/>
                          <w:tag w:val="nr_119a8f44474540adbf2822a82a0cbc40"/>
                          <w:lock w:val="sdtLocked"/>
                          <w:richText/>
                        </w:sdtPr>
                        <w:sdtContent>
                          <w:r>
                            <w:rPr>
                              <w:rFonts w:eastAsia="Calibri"/>
                              <w:bCs/>
                              <w:sz w:val="22"/>
                              <w:szCs w:val="22"/>
                            </w:rPr>
                            <w:t>4</w:t>
                          </w:r>
                          <w:r>
                            <w:rPr>
                              <w:rFonts w:eastAsia="Calibri"/>
                              <w:bCs/>
                              <w:sz w:val="22"/>
                              <w:szCs w:val="22"/>
                              <w:vertAlign w:val="superscript"/>
                            </w:rPr>
                            <w:t>1</w:t>
                          </w:r>
                        </w:sdtContent>
                      </w:sdt>
                      <w:r>
                        <w:rPr>
                          <w:rFonts w:eastAsia="Calibri"/>
                          <w:bCs/>
                          <w:sz w:val="22"/>
                          <w:szCs w:val="22"/>
                        </w:rPr>
                        <w:t>. Teismo sprendimas, priimtas dėl šio Įstatymo 135</w:t>
                      </w:r>
                      <w:r>
                        <w:rPr>
                          <w:rFonts w:eastAsia="Calibri"/>
                          <w:bCs/>
                          <w:sz w:val="22"/>
                          <w:szCs w:val="22"/>
                          <w:vertAlign w:val="superscript"/>
                        </w:rPr>
                        <w:t xml:space="preserve">2 </w:t>
                      </w:r>
                      <w:r>
                        <w:rPr>
                          <w:rFonts w:eastAsia="Calibri"/>
                          <w:bCs/>
                          <w:sz w:val="22"/>
                          <w:szCs w:val="22"/>
                        </w:rPr>
                        <w:t>straipsnio 1 dalyje nurodyto sprendimo, yra galutinis ir neskundžiamas.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8fd56bc97be04bc4823f094490448251"/>
                        <w:lock w:val="sdtLocked"/>
                        <w:richText/>
                      </w:sdtPr>
                      <w:sdtContent>
                        <w:p>
                          <w:pPr>
                            <w:ind w:firstLine="720"/>
                            <w:jc w:val="both"/>
                            <w:rPr>
                              <w:sz w:val="22"/>
                              <w:szCs w:val="22"/>
                            </w:rPr>
                          </w:pPr>
                          <w:sdt>
                            <w:sdtPr>
                              <w:alias w:val="Numeris"/>
                              <w:tag w:val="nr_8fd56bc97be04bc4823f094490448251"/>
                              <w:lock w:val="sdtLocked"/>
                              <w:richText/>
                            </w:sdtPr>
                            <w:sdtContent>
                              <w:r>
                                <w:rPr>
                                  <w:sz w:val="22"/>
                                  <w:szCs w:val="22"/>
                                </w:rPr>
                                <w:t>1</w:t>
                              </w:r>
                            </w:sdtContent>
                          </w:sdt>
                          <w:r>
                            <w:rPr>
                              <w:sz w:val="22"/>
                              <w:szCs w:val="22"/>
                            </w:rPr>
                            <w:t>) dėl jo kita Šengeno valstybė į centrinę antrosios kartos Šengeno informacinę sistemą yra įtraukusi įspėjimą dėl neįsileidimo;</w:t>
                          </w:r>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8"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7"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9"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1"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2"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3"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4"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5"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6"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7"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8"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9"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90"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1"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2"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3"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4"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pr. 31 p."/>
            <w:tag w:val="part_1f2837e76f564f3786459c5f104f74df"/>
            <w:lock w:val="sdtLocked"/>
            <w:richText/>
          </w:sdtPr>
          <w:sdtContent>
            <w:p>
              <w:pPr>
                <w:pBdr>
                  <w:top w:val="nil"/>
                  <w:left w:val="nil"/>
                  <w:bottom w:val="nil"/>
                  <w:right w:val="nil"/>
                  <w:between w:val="nil"/>
                  <w:bar w:val="nil"/>
                </w:pBdr>
                <w:ind w:firstLine="720"/>
                <w:jc w:val="both"/>
                <w:rPr>
                  <w:rFonts w:eastAsia="MS Mincho"/>
                  <w:b/>
                  <w:bCs/>
                  <w:sz w:val="20"/>
                </w:rPr>
              </w:pPr>
              <w:sdt>
                <w:sdtPr>
                  <w:alias w:val="Numeris"/>
                  <w:tag w:val="nr_1f2837e76f564f3786459c5f104f74df"/>
                  <w:lock w:val="sdtLocked"/>
                  <w:richText/>
                </w:sdtPr>
                <w:sdtContent>
                  <w:r>
                    <w:rPr>
                      <w:rFonts w:eastAsia="Arial Unicode MS"/>
                      <w:sz w:val="22"/>
                      <w:szCs w:val="22"/>
                      <w:bdr w:val="nil"/>
                    </w:rPr>
                    <w:t>30</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350406&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19873&amp;b="/>
  <Relationship Id="rId182" Type="http://schemas.openxmlformats.org/officeDocument/2006/relationships/hyperlink" TargetMode="External" Target="http://www3.lrs.lt/cgi-bin/preps2?a=25838&amp;b="/>
  <Relationship Id="rId183" Type="http://schemas.openxmlformats.org/officeDocument/2006/relationships/hyperlink" TargetMode="External" Target="http://www3.lrs.lt/cgi-bin/preps2?a=46543&amp;b="/>
  <Relationship Id="rId184" Type="http://schemas.openxmlformats.org/officeDocument/2006/relationships/hyperlink" TargetMode="External" Target="http://www3.lrs.lt/cgi-bin/preps2?a=60133&amp;b="/>
  <Relationship Id="rId185" Type="http://schemas.openxmlformats.org/officeDocument/2006/relationships/hyperlink" TargetMode="External" Target="http://www3.lrs.lt/cgi-bin/preps2?a=69958&amp;b="/>
  <Relationship Id="rId186" Type="http://schemas.openxmlformats.org/officeDocument/2006/relationships/hyperlink" TargetMode="External" Target="http://www3.lrs.lt/cgi-bin/preps2?a=88562&amp;b="/>
  <Relationship Id="rId187" Type="http://schemas.openxmlformats.org/officeDocument/2006/relationships/hyperlink" TargetMode="External" Target="http://www3.lrs.lt/cgi-bin/preps2?a=94199&amp;b="/>
  <Relationship Id="rId188" Type="http://schemas.openxmlformats.org/officeDocument/2006/relationships/hyperlink" TargetMode="External" Target="http://www3.lrs.lt/cgi-bin/preps2?a=104679&amp;b="/>
  <Relationship Id="rId189" Type="http://schemas.openxmlformats.org/officeDocument/2006/relationships/hyperlink" TargetMode="External" Target="http://www3.lrs.lt/cgi-bin/preps2?a=111843&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04679&amp;b="/>
  <Relationship Id="rId191" Type="http://schemas.openxmlformats.org/officeDocument/2006/relationships/hyperlink" TargetMode="External" Target="http://www3.lrs.lt/cgi-bin/preps2?a=111837&amp;b="/>
  <Relationship Id="rId192" Type="http://schemas.openxmlformats.org/officeDocument/2006/relationships/hyperlink" TargetMode="External" Target="http://www3.lrs.lt/cgi-bin/preps2?a=139415&amp;b="/>
  <Relationship Id="rId193" Type="http://schemas.openxmlformats.org/officeDocument/2006/relationships/hyperlink" TargetMode="External" Target="http://www3.lrs.lt/cgi-bin/preps2?a=159541&amp;b="/>
  <Relationship Id="rId194" Type="http://schemas.openxmlformats.org/officeDocument/2006/relationships/hyperlink" TargetMode="External" Target="http://www3.lrs.lt/cgi-bin/preps2?a=209640&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3504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29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53097&amp;b="/>
  <Relationship Id="rId202" Type="http://schemas.openxmlformats.org/officeDocument/2006/relationships/hyperlink" TargetMode="External" Target="http://www3.lrs.lt/cgi-bin/preps2?a=457912&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14120&amp;b="/>
  <Relationship Id="rId208" Type="http://schemas.openxmlformats.org/officeDocument/2006/relationships/hyperlink" TargetMode="External" Target="http://www3.lrs.lt/cgi-bin/preps2?a=429704&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76706&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76706&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3504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3504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14120&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288727&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76706&amp;b="/>
  <Relationship Id="rId235" Type="http://schemas.openxmlformats.org/officeDocument/2006/relationships/hyperlink" TargetMode="External" Target="http://www3.lrs.lt/cgi-bin/preps2?a=288727&amp;b="/>
  <Relationship Id="rId236" Type="http://schemas.openxmlformats.org/officeDocument/2006/relationships/hyperlink" TargetMode="External" Target="http://www3.lrs.lt/cgi-bin/preps2?a=350406&amp;b="/>
  <Relationship Id="rId237" Type="http://schemas.openxmlformats.org/officeDocument/2006/relationships/hyperlink" TargetMode="External" Target="http://www3.lrs.lt/cgi-bin/preps2?a=476706&amp;b="/>
  <Relationship Id="rId238" Type="http://schemas.openxmlformats.org/officeDocument/2006/relationships/hyperlink" TargetMode="External" Target="http://www3.lrs.lt/cgi-bin/preps2?a=288727&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29704&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76706&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f41f6738f3394ffcb67a26882659a9d1"/>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609fdc238a6944eaa217d1bdbcd14c57"/>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e49393dff0324d119b17f97df901cd33"/>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8d63d2c1126747629a496aa46a5e897e"/>
        <Part Type="strDalis" Nr="7" Abbr="5 str. 7 d." DocPartId="47651fd0f4264114aa1eec511990f5f1" PartId="89c3b1f1f6c74f599b4ea412666c177b"/>
        <Part Type="strDalis" Nr="8" Abbr="5 str. 8 d." DocPartId="e5b27bfc9f1a4745acbdf34dfcbef261" PartId="c6f1ba11ce8f4d6faaca5e200c34eb8a"/>
        <Part Type="strDalis" Nr="9" Abbr="5 str. 9 d." DocPartId="736f1b7b5c164be4a58fd365ea981d0d" PartId="fdc36049b1fc4a42bdbf2172aa0a4485"/>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c71fbee3c5504f289dcc088353e01a9f"/>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c5646ff7e6d646fdafd5524aa300e700"/>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453c12f5e4ff48cc87f07cb6a01aa006"/>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d5ed2d2fad445aa9ad4fce29a78d68a"/>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c5e7b513420f4399a62464ba8ab0741d"/>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dfcaeb108a294308a5f24d39ec09be75"/>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c4cbdc175d11405fbb54930a5b15a1eb"/>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3e6ee9e12ce841f5b3ab7af5ba4cc35a"/>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ceb794d9a1714eebaaac966b38a20eef"/>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1f3ea6488df9471fb8e44fcb27fe330d"/>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a3b47544c2cc4932bb56b525b05cc8ca">
      <Part Type="straipsnis" Nr="135-1" Abbr="135-1 str." Title="Skundo padavimas" DocPartId="348bd56dc10a4167a1be132537fdcd83" PartId="e90c0cb8919a465ab8b04687de02777c">
        <Part Type="strDalis" Nr="1" Abbr="135-1 str. 1 d." DocPartId="79afbd5e4e054d05b3887a0ea8a161a4" PartId="491beae069a449cf9c3e8de74ff28e44"/>
        <Part Type="strDalis" Nr="2" Abbr="135-1 str. 2 d." DocPartId="982bf2acd3ca469195d2f86f3db0f59e" PartId="852fc0a4b70c49a5b0c2173a19537dba"/>
        <Part Type="strDalis" Nr="3" Abbr="135-1 str. 3 d." DocPartId="82f6091d07374ac48e5bf9599fba0895" PartId="e2c9d3071d724ac9b9fef529d4c57156"/>
      </Part>
      <Part Type="straipsnis" Nr="135-2" Abbr="135-2 str." Title="Skundo nagrinėjimas ir sprendimo priėmimas" DocPartId="82a6c2bffea4466cb0d8cbd2c1a10c21" PartId="afa93728524044619859312bbdd98fab">
        <Part Type="strDalis" Nr="1" Abbr="135-2 str. 1 d." DocPartId="e0bfc029b5d846f5aee7edd2c87d0afb" PartId="1c8e058e07aa4f5a8d14a44339f6266f"/>
        <Part Type="strDalis" Nr="2" Abbr="135-2 str. 2 d." DocPartId="54b3d24c90c34f44b40e1be5e8034b44" PartId="0ed4a15e250443d3ac304e8df69d9275"/>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1b807e8b0d5549aaa26de7c6d3810188">
        <Part Type="strDalis" Nr="1" Abbr="136 str. 1 d." DocPartId="b64f2c1f47db467c95428ac90782abd4" PartId="8a540e7a0ae24dd493fca1b1d5911e0e"/>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745f120305574e51afac5c59c8e49c38"/>
      </Part>
      <Part Type="straipsnis" Nr="139" Abbr="139 str." Title="Apskųsto sprendimo vykdymo sustabdymas" DocPartId="973266b0ba9f42e3a9f48402bdc59b6b" PartId="3e2b864ef77344abbbbb0159dae9c133">
        <Part Type="strDalis" Nr="1" Abbr="139 str. 1 d." DocPartId="22740d61f99b48b6ae9e45523a533891" PartId="0ac9415f19ba46ae9ca5f94fce879556">
          <Part Type="strPunktas" Nr="1" Abbr="139 str. 1 d. 1 p." DocPartId="1c11ce9c33e349bda7f25d95d12b1767" PartId="357f26954d324a07951623eeaa5a2525"/>
          <Part Type="strPunktas" Nr="2" Abbr="139 str. 1 d. 2 p." DocPartId="85f4cb86bc7f41e4ba145d16c6ffd922" PartId="dab8370eed0a4ed694b36d1e344cdaed"/>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674bd87a3cc43239d9bf8cf85edb713"/>
        <Part Type="strDalis" Nr="4-1" Abbr="4-1 d." DocPartId="e2bb07793b9e41ec971c0deaaf7c27b4" PartId="119a8f44474540adbf2822a82a0cbc40"/>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1" Abbr="pr. 31 p." DocPartId="2e87e690575b4504a2959bb3fb9e5ea9" PartId="1f2837e76f564f3786459c5f104f74df"/>
    <Part Type="punktas" Nr="32" Abbr="32 p." DocPartId="9895b098d0434f90a56baa64fdfb32a6" PartId="d35c2c7c73984bb888f26d5ab37e0a1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C08E11-31AB-4928-B37A-F48B25416E09}">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