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2022-07-15 iki 2022-07-31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3e15cc1d1e64c3a91b94b825ee47787"/>
                    <w:lock w:val="sdtLocked"/>
                    <w:richText/>
                  </w:sdtPr>
                  <w:sdtContent>
                    <w:p>
                      <w:pPr>
                        <w:ind w:firstLine="720"/>
                        <w:jc w:val="both"/>
                        <w:rPr>
                          <w:sz w:val="22"/>
                        </w:rPr>
                      </w:pPr>
                      <w:sdt>
                        <w:sdtPr>
                          <w:alias w:val="Numeris"/>
                          <w:tag w:val="nr_23e15cc1d1e64c3a91b94b825ee47787"/>
                          <w:lock w:val="sdtLocked"/>
                          <w:richText/>
                        </w:sdtPr>
                        <w:sdtContent>
                          <w:r>
                            <w:rPr>
                              <w:sz w:val="22"/>
                              <w:szCs w:val="22"/>
                            </w:rPr>
                            <w:t>17</w:t>
                          </w:r>
                          <w:r>
                            <w:rPr>
                              <w:sz w:val="22"/>
                              <w:szCs w:val="22"/>
                              <w:vertAlign w:val="superscript"/>
                            </w:rPr>
                            <w:t>1</w:t>
                          </w:r>
                        </w:sdtContent>
                      </w:sdt>
                      <w:r>
                        <w:rPr>
                          <w:sz w:val="22"/>
                          <w:szCs w:val="22"/>
                        </w:rPr>
                        <w:t xml:space="preserve">. </w:t>
                      </w:r>
                      <w:r>
                        <w:rPr>
                          <w:b/>
                          <w:bCs/>
                          <w:sz w:val="22"/>
                          <w:szCs w:val="22"/>
                        </w:rPr>
                        <w:t>Pabėgėlių priėmimo centras</w:t>
                      </w:r>
                      <w:r>
                        <w:rPr>
                          <w:sz w:val="22"/>
                          <w:szCs w:val="22"/>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 Lietuvos Respublikos Vyriausybės sprendimu. </w:t>
                      </w:r>
                      <w:r>
                        <w:rPr>
                          <w:bCs/>
                          <w:sz w:val="22"/>
                          <w:szCs w:val="22"/>
                        </w:rPr>
                        <w:t>Pabėgėlių priėmimo centro savininko teises ir pareigas įgyvendina Lietuvos Respublikos socialinės apsaugos ir darbo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0" w:history="1">
                        <w:r>
                          <w:rPr>
                            <w:rStyle w:val="Hipersaitas"/>
                            <w:i/>
                            <w:sz w:val="20"/>
                          </w:rPr>
                          <w:t>XI-392</w:t>
                        </w:r>
                      </w:hyperlink>
                      <w:r>
                        <w:rPr>
                          <w:i/>
                          <w:sz w:val="20"/>
                        </w:rPr>
                        <w:t>, 2009-07-22, Žin., 2009, Nr. 93-3984 (2009-08-04)</w:t>
                      </w:r>
                    </w:p>
                    <w:p>
                      <w:pPr>
                        <w:jc w:val="both"/>
                      </w:pPr>
                      <w:r>
                        <w:rPr>
                          <w:i/>
                          <w:sz w:val="20"/>
                        </w:rPr>
                        <w:t xml:space="preserve">Nr. </w:t>
                      </w:r>
                      <w:hyperlink r:id="rId221"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2"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3"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4" w:history="1">
                            <w:r>
                              <w:rPr>
                                <w:i/>
                                <w:color w:val="0000FF"/>
                                <w:sz w:val="20"/>
                                <w:u w:val="single"/>
                              </w:rPr>
                              <w:t>XI-1786</w:t>
                            </w:r>
                          </w:hyperlink>
                          <w:r>
                            <w:rPr>
                              <w:i/>
                              <w:sz w:val="20"/>
                            </w:rPr>
                            <w:t>, 2011-12-08, Žin., 2011, Nr. 156-7384 (2011-12-22)</w:t>
                          </w:r>
                        </w:p>
                        <w:p>
                          <w:pPr>
                            <w:jc w:val="both"/>
                          </w:pPr>
                          <w:r>
                            <w:rPr>
                              <w:i/>
                              <w:sz w:val="20"/>
                            </w:rPr>
                            <w:t xml:space="preserve">Nr. </w:t>
                          </w:r>
                          <w:hyperlink r:id="rId225"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28"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2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d757d326bccd4eefa2ce31c583f1a5a3"/>
                        <w:lock w:val="sdtLocked"/>
                        <w:richText/>
                      </w:sdtPr>
                      <w:sdtContent>
                        <w:p>
                          <w:pPr>
                            <w:ind w:firstLine="720"/>
                            <w:jc w:val="both"/>
                            <w:rPr>
                              <w:sz w:val="22"/>
                            </w:rPr>
                          </w:pPr>
                          <w:sdt>
                            <w:sdtPr>
                              <w:alias w:val="Numeris"/>
                              <w:tag w:val="nr_d757d326bccd4eefa2ce31c583f1a5a3"/>
                              <w:lock w:val="sdtLocked"/>
                              <w:richText/>
                            </w:sdtPr>
                            <w:sdtContent>
                              <w:r>
                                <w:rPr>
                                  <w:rFonts w:eastAsia="Calibri"/>
                                  <w:sz w:val="22"/>
                                  <w:szCs w:val="22"/>
                                </w:rPr>
                                <w:t>2</w:t>
                              </w:r>
                            </w:sdtContent>
                          </w:sdt>
                          <w:r>
                            <w:rPr>
                              <w:rFonts w:eastAsia="Calibri"/>
                              <w:sz w:val="22"/>
                              <w:szCs w:val="22"/>
                            </w:rPr>
                            <w:t>. Šio straipsnio 1 dalies 2–5 punktuose nustatytos sąlygos netaikomos užsieniečiui, kuriam Lietuvos Respublikos teisės aktų nustatyta tvarka yra paskirtas atstovas, taip pat užsieniečiui, kuris negali išvykti iš Lietuvos Respublikos ar negali grįžti į kilmės valstybę dėl šio Įstatymo 130</w:t>
                          </w:r>
                          <w:r>
                            <w:rPr>
                              <w:rFonts w:eastAsia="Calibri"/>
                              <w:sz w:val="22"/>
                              <w:szCs w:val="22"/>
                              <w:vertAlign w:val="superscript"/>
                            </w:rPr>
                            <w:t>1</w:t>
                          </w:r>
                          <w:r>
                            <w:rPr>
                              <w:rFonts w:eastAsia="Calibri"/>
                              <w:sz w:val="22"/>
                              <w:szCs w:val="22"/>
                            </w:rPr>
                            <w:t xml:space="preserve"> straipsnyje nurodytų aplinkybių,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12dfd0322a5a435981f38e98101a9fde"/>
                        <w:lock w:val="sdtLocked"/>
                        <w:richText/>
                      </w:sdtPr>
                      <w:sdtContent>
                        <w:p>
                          <w:pPr>
                            <w:ind w:firstLine="720"/>
                            <w:jc w:val="both"/>
                            <w:rPr>
                              <w:color w:val="000000"/>
                              <w:sz w:val="22"/>
                              <w:szCs w:val="22"/>
                              <w:shd w:val="clear" w:color="auto" w:fill="FFFFFF"/>
                            </w:rPr>
                          </w:pPr>
                          <w:sdt>
                            <w:sdtPr>
                              <w:alias w:val="Numeris"/>
                              <w:tag w:val="nr_12dfd0322a5a435981f38e98101a9fde"/>
                              <w:lock w:val="sdtLocked"/>
                              <w:richText/>
                            </w:sdtPr>
                            <w:sdtContent>
                              <w:r>
                                <w:rPr>
                                  <w:color w:val="000000"/>
                                  <w:sz w:val="22"/>
                                  <w:szCs w:val="22"/>
                                  <w:shd w:val="clear" w:color="auto" w:fill="FFFFFF"/>
                                </w:rPr>
                                <w:t>3</w:t>
                              </w:r>
                            </w:sdtContent>
                          </w:sdt>
                          <w:r>
                            <w:rPr>
                              <w:color w:val="000000"/>
                              <w:sz w:val="22"/>
                              <w:szCs w:val="22"/>
                              <w:shd w:val="clear" w:color="auto" w:fill="FFFFFF"/>
                            </w:rPr>
                            <w:t>. Jeigu nelydimo nepilnamečio užsieniečio atstovu paskiriamas juridinis asmuo, jis ne vėliau kaip kitą darbo dieną nuo savivaldybės administracijos direktoriaus įsakymo dėl vaiko laikinosios globos (rūpybos) nustatymo priėmimo dienos paskiria atsakingą darbuotoją, kuris vykdo nelydimo nepilnamečio užsieniečio atstovo pareigas.</w:t>
                          </w:r>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b47f64f1108640f89bba8558888f6a85"/>
                            <w:lock w:val="sdtLocked"/>
                            <w:richText/>
                          </w:sdtPr>
                          <w:sdtContent>
                            <w:p>
                              <w:pPr>
                                <w:ind w:firstLine="720"/>
                                <w:jc w:val="both"/>
                                <w:rPr>
                                  <w:color w:val="000000"/>
                                  <w:sz w:val="22"/>
                                  <w:szCs w:val="22"/>
                                  <w:shd w:val="clear" w:color="auto" w:fill="FFFFFF"/>
                                </w:rPr>
                              </w:pPr>
                              <w:sdt>
                                <w:sdtPr>
                                  <w:alias w:val="Numeris"/>
                                  <w:tag w:val="nr_b47f64f1108640f89bba8558888f6a85"/>
                                  <w:lock w:val="sdtLocked"/>
                                  <w:richText/>
                                </w:sdtPr>
                                <w:sdtContent>
                                  <w:r>
                                    <w:rPr>
                                      <w:color w:val="000000"/>
                                      <w:sz w:val="22"/>
                                      <w:szCs w:val="22"/>
                                      <w:shd w:val="clear" w:color="auto" w:fill="FFFFFF"/>
                                    </w:rPr>
                                    <w:t>2</w:t>
                                  </w:r>
                                </w:sdtContent>
                              </w:sdt>
                              <w:r>
                                <w:rPr>
                                  <w:color w:val="000000"/>
                                  <w:sz w:val="22"/>
                                  <w:szCs w:val="22"/>
                                  <w:shd w:val="clear" w:color="auto" w:fill="FFFFFF"/>
                                </w:rPr>
                                <w:t>) mokytis pagal ikimokyklinio, priešmokyklinio, bendrojo ugdymo arba profesinio mokymo programą (programas) švietimo, mokslo ir sporto ministro nustatyta tvarka. Teisė mokytis pagal ikimokyklinio, priešmokyklinio, bendrojo ugdymo arba profesinio mokymo programą (programas) užtikrinama ne vėliau kaip per 3 mėnesius nuo nelydimo nepilnamečio užsieniečio buvimo Lietuvos Respublikoje nustatymo dienos;</w:t>
                              </w:r>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0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0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2"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1737a9927112452cafbde30857910ecf"/>
                        <w:lock w:val="sdtLocked"/>
                        <w:richText/>
                      </w:sdtPr>
                      <w:sdtContent>
                        <w:p>
                          <w:pPr>
                            <w:ind w:firstLine="720"/>
                            <w:jc w:val="both"/>
                            <w:rPr>
                              <w:sz w:val="22"/>
                              <w:szCs w:val="22"/>
                            </w:rPr>
                          </w:pPr>
                          <w:sdt>
                            <w:sdtPr>
                              <w:alias w:val="Numeris"/>
                              <w:tag w:val="nr_1737a9927112452cafbde30857910ecf"/>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 ir 8</w:t>
                          </w:r>
                          <w:r>
                            <w:rPr>
                              <w:sz w:val="22"/>
                              <w:szCs w:val="22"/>
                              <w:vertAlign w:val="superscript"/>
                            </w:rPr>
                            <w:t>1</w:t>
                          </w:r>
                          <w:r>
                            <w:rPr>
                              <w:sz w:val="22"/>
                              <w:szCs w:val="22"/>
                            </w:rPr>
                            <w:t xml:space="preserve"> punktuose nustatytais pagrindais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f680be950728444d8888308c0ba12ded"/>
                        <w:lock w:val="sdtLocked"/>
                        <w:richText/>
                      </w:sdtPr>
                      <w:sdtContent>
                        <w:p>
                          <w:pPr>
                            <w:ind w:firstLine="720"/>
                            <w:jc w:val="both"/>
                            <w:rPr>
                              <w:sz w:val="22"/>
                            </w:rPr>
                          </w:pPr>
                          <w:sdt>
                            <w:sdtPr>
                              <w:alias w:val="Numeris"/>
                              <w:tag w:val="nr_f680be950728444d8888308c0ba12ded"/>
                              <w:lock w:val="sdtLocked"/>
                              <w:richText/>
                            </w:sdtPr>
                            <w:sdtContent>
                              <w:r>
                                <w:rPr>
                                  <w:sz w:val="22"/>
                                  <w:szCs w:val="22"/>
                                </w:rPr>
                                <w:t>1</w:t>
                              </w:r>
                              <w:r>
                                <w:rPr>
                                  <w:sz w:val="22"/>
                                  <w:szCs w:val="22"/>
                                  <w:vertAlign w:val="superscript"/>
                                </w:rPr>
                                <w:t>1</w:t>
                              </w:r>
                            </w:sdtContent>
                          </w:sdt>
                          <w:r>
                            <w:rPr>
                              <w:sz w:val="22"/>
                              <w:szCs w:val="22"/>
                            </w:rPr>
                            <w:t>. Šio Įstatymo 11 straipsnio 2–5 dalyse nurodytas užsienietis teisėto buvimo Lietuvos Respublikoje laikotarpiu gali dirbti Lietuvos Respublikoje, jeigu jam yra išduotas leidimas dirbti arba jis atitinka šio Įstatymo 58 straipsnio 6–13 ar 15 punktuose nustatytas atleidimo nuo pareigos įsigyti leidimą dirbti sąlygas.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0"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1"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dc7023d1ff484de4a6d1c6c1a88c62a9"/>
                            <w:lock w:val="sdtLocked"/>
                            <w:richText/>
                          </w:sdtPr>
                          <w:sdtContent>
                            <w:p>
                              <w:pPr>
                                <w:ind w:firstLine="720"/>
                                <w:jc w:val="both"/>
                                <w:rPr>
                                  <w:color w:val="000000"/>
                                  <w:sz w:val="22"/>
                                  <w:szCs w:val="22"/>
                                </w:rPr>
                              </w:pPr>
                              <w:sdt>
                                <w:sdtPr>
                                  <w:alias w:val="Numeris"/>
                                  <w:tag w:val="nr_dc7023d1ff484de4a6d1c6c1a88c62a9"/>
                                  <w:lock w:val="sdtLocked"/>
                                  <w:richText/>
                                </w:sdtPr>
                                <w:sdtContent>
                                  <w:r>
                                    <w:rPr>
                                      <w:color w:val="000000"/>
                                      <w:sz w:val="22"/>
                                      <w:szCs w:val="22"/>
                                    </w:rPr>
                                    <w:t>4</w:t>
                                  </w:r>
                                </w:sdtContent>
                              </w:sdt>
                              <w:r>
                                <w:rPr>
                                  <w:color w:val="000000"/>
                                  <w:sz w:val="22"/>
                                  <w:szCs w:val="22"/>
                                </w:rPr>
                                <w:t>) dirbti ir yra atleidžiami nuo pareigos įsigyti leidimą dirbti, taip pat verstis individualia veikla, kaip ji apibrėžiama Gyventojų pajamų mokesčio įstatyme (toliau – individuali veikla);</w:t>
                              </w:r>
                            </w:p>
                          </w:sdtContent>
                        </w:sdt>
                        <w:sdt>
                          <w:sdtPr>
                            <w:alias w:val="94 str. 1 d. 5 p."/>
                            <w:tag w:val="part_89feeb0d79e4494e92737b3ec2614f37"/>
                            <w:lock w:val="sdtLocked"/>
                            <w:richText/>
                          </w:sdtPr>
                          <w:sdtContent>
                            <w:p>
                              <w:pPr>
                                <w:ind w:firstLine="720"/>
                                <w:jc w:val="both"/>
                                <w:rPr>
                                  <w:color w:val="000000"/>
                                  <w:sz w:val="22"/>
                                  <w:szCs w:val="22"/>
                                </w:rPr>
                              </w:pPr>
                              <w:sdt>
                                <w:sdtPr>
                                  <w:alias w:val="Numeris"/>
                                  <w:tag w:val="nr_89feeb0d79e4494e92737b3ec2614f37"/>
                                  <w:lock w:val="sdtLocked"/>
                                  <w:richText/>
                                </w:sdtPr>
                                <w:sdtContent>
                                  <w:r>
                                    <w:rPr>
                                      <w:color w:val="000000"/>
                                      <w:sz w:val="22"/>
                                      <w:szCs w:val="22"/>
                                    </w:rPr>
                                    <w:t>5</w:t>
                                  </w:r>
                                </w:sdtContent>
                              </w:sdt>
                              <w:r>
                                <w:rPr>
                                  <w:color w:val="000000"/>
                                  <w:sz w:val="22"/>
                                  <w:szCs w:val="22"/>
                                </w:rPr>
                                <w:t>) pateikę prašymą išduoti arba pakeisti leidimą laikinai gyventi šio Įstatymo 40 straipsnio 1 dalies 4, 4</w:t>
                              </w:r>
                              <w:r>
                                <w:rPr>
                                  <w:color w:val="000000"/>
                                  <w:sz w:val="22"/>
                                  <w:szCs w:val="22"/>
                                  <w:vertAlign w:val="superscript"/>
                                </w:rPr>
                                <w:t>1</w:t>
                              </w:r>
                              <w:r>
                                <w:rPr>
                                  <w:color w:val="000000"/>
                                  <w:sz w:val="22"/>
                                  <w:szCs w:val="22"/>
                                </w:rPr>
                                <w:t xml:space="preserve"> ar 10 punkte nurodytu pagrindu, – dirbti (taip pat ir pagal laikinojo darbo sutartį) ir yra atleidžiami nuo pareigos </w:t>
                              </w:r>
                              <w:r>
                                <w:rPr>
                                  <w:bCs/>
                                  <w:color w:val="000000"/>
                                  <w:sz w:val="22"/>
                                  <w:szCs w:val="22"/>
                                </w:rPr>
                                <w:t xml:space="preserve">įsigyti leidimą dirbti, </w:t>
                              </w:r>
                              <w:r>
                                <w:rPr>
                                  <w:color w:val="000000"/>
                                  <w:sz w:val="22"/>
                                  <w:szCs w:val="22"/>
                                </w:rPr>
                                <w:t xml:space="preserve">gauti Užimtumo tarnybos sprendimą dėl užsieniečio darbo atitikties Lietuvos Respublikos darbo rinkos poreikiams, taip pat verstis individualia veikla; </w:t>
                              </w:r>
                            </w:p>
                          </w:sdtContent>
                        </w:sdt>
                        <w:sdt>
                          <w:sdtPr>
                            <w:alias w:val="94 str. 1 d. 6 p."/>
                            <w:tag w:val="part_0dc90241e9ea4f6095c0e5acc169a3bb"/>
                            <w:lock w:val="sdtLocked"/>
                            <w:richText/>
                          </w:sdtPr>
                          <w:sdtContent>
                            <w:p>
                              <w:pPr>
                                <w:ind w:firstLine="720"/>
                                <w:jc w:val="both"/>
                                <w:rPr>
                                  <w:color w:val="000000"/>
                                  <w:sz w:val="22"/>
                                  <w:szCs w:val="22"/>
                                </w:rPr>
                              </w:pPr>
                              <w:sdt>
                                <w:sdtPr>
                                  <w:alias w:val="Numeris"/>
                                  <w:tag w:val="nr_0dc90241e9ea4f6095c0e5acc169a3bb"/>
                                  <w:lock w:val="sdtLocked"/>
                                  <w:richText/>
                                </w:sdtPr>
                                <w:sdtContent>
                                  <w:r>
                                    <w:rPr>
                                      <w:color w:val="000000"/>
                                      <w:sz w:val="22"/>
                                      <w:szCs w:val="22"/>
                                    </w:rPr>
                                    <w:t>6</w:t>
                                  </w:r>
                                </w:sdtContent>
                              </w:sdt>
                              <w:r>
                                <w:rPr>
                                  <w:color w:val="000000"/>
                                  <w:sz w:val="22"/>
                                  <w:szCs w:val="22"/>
                                </w:rPr>
                                <w:t>) pateikę prašymą suteikti prieglobstį Lietuvos Respublikoje, – dirbti ar verstis individualia veikla nuo prašymo suteikti prieglobstį užregistravimo Lietuvos migracijos informacinėje sistemoje dienos;</w:t>
                              </w:r>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3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8"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4"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4"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7"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1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7"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2"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6"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7635e18e61ac404ea039d58d88b3e3c6"/>
                <w:lock w:val="sdtLocked"/>
                <w:richText/>
              </w:sdtPr>
              <w:sdtContent>
                <w:p>
                  <w:pPr>
                    <w:ind w:left="2410" w:hanging="1690"/>
                    <w:rPr>
                      <w:b/>
                      <w:color w:val="000000"/>
                      <w:sz w:val="22"/>
                      <w:szCs w:val="22"/>
                      <w:lang w:eastAsia="lt-LT"/>
                    </w:rPr>
                  </w:pPr>
                  <w:sdt>
                    <w:sdtPr>
                      <w:alias w:val="Numeris"/>
                      <w:tag w:val="nr_7635e18e61ac404ea039d58d88b3e3c6"/>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635e18e61ac404ea039d58d88b3e3c6"/>
                      <w:lock w:val="sdtLocked"/>
                      <w:richText/>
                    </w:sdtPr>
                    <w:sdtContent>
                      <w:r>
                        <w:rPr>
                          <w:b/>
                          <w:bCs/>
                          <w:color w:val="000000"/>
                          <w:sz w:val="22"/>
                          <w:szCs w:val="22"/>
                          <w:lang w:eastAsia="lt-LT"/>
                        </w:rPr>
                        <w:t>Leidimo laikinai gyventi išdavimas užsieniečiui, kuris negali išvykti iš Lietuvos Respublikos dėl humanitarinių priežasčių arba negali grįžti į kilmės valstybę</w:t>
                      </w:r>
                    </w:sdtContent>
                  </w:sdt>
                </w:p>
                <w:sdt>
                  <w:sdtPr>
                    <w:alias w:val="130-1 str. 1 d."/>
                    <w:tag w:val="part_5e6c036dcd4d4bbc87a6c14c2f383871"/>
                    <w:lock w:val="sdtLocked"/>
                    <w:richText/>
                  </w:sdtPr>
                  <w:sdtContent>
                    <w:p>
                      <w:pPr>
                        <w:ind w:firstLine="720"/>
                        <w:jc w:val="both"/>
                        <w:rPr>
                          <w:color w:val="000000"/>
                          <w:sz w:val="22"/>
                          <w:szCs w:val="22"/>
                          <w:lang w:eastAsia="lt-LT"/>
                        </w:rPr>
                      </w:pPr>
                      <w:sdt>
                        <w:sdtPr>
                          <w:alias w:val="Numeris"/>
                          <w:tag w:val="nr_5e6c036dcd4d4bbc87a6c14c2f383871"/>
                          <w:lock w:val="sdtLocked"/>
                          <w:richText/>
                        </w:sdtPr>
                        <w:sdtContent>
                          <w:r>
                            <w:rPr>
                              <w:bCs/>
                              <w:color w:val="000000"/>
                              <w:sz w:val="22"/>
                              <w:szCs w:val="22"/>
                              <w:lang w:eastAsia="lt-LT"/>
                            </w:rPr>
                            <w:t>1</w:t>
                          </w:r>
                        </w:sdtContent>
                      </w:sdt>
                      <w:r>
                        <w:rPr>
                          <w:bCs/>
                          <w:color w:val="000000"/>
                          <w:sz w:val="22"/>
                          <w:szCs w:val="22"/>
                          <w:lang w:eastAsia="lt-LT"/>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96d5e383b3aa49f29a677ceafaf225ef"/>
                    <w:lock w:val="sdtLocked"/>
                    <w:richText/>
                  </w:sdtPr>
                  <w:sdtContent>
                    <w:p>
                      <w:pPr>
                        <w:ind w:firstLine="720"/>
                        <w:jc w:val="both"/>
                        <w:rPr>
                          <w:bCs/>
                          <w:color w:val="000000"/>
                          <w:sz w:val="22"/>
                          <w:szCs w:val="22"/>
                          <w:lang w:eastAsia="lt-LT"/>
                        </w:rPr>
                      </w:pPr>
                      <w:sdt>
                        <w:sdtPr>
                          <w:alias w:val="Numeris"/>
                          <w:tag w:val="nr_96d5e383b3aa49f29a677ceafaf225ef"/>
                          <w:lock w:val="sdtLocked"/>
                          <w:richText/>
                        </w:sdtPr>
                        <w:sdtContent>
                          <w:r>
                            <w:rPr>
                              <w:bCs/>
                              <w:color w:val="000000"/>
                              <w:sz w:val="22"/>
                              <w:szCs w:val="22"/>
                              <w:lang w:eastAsia="lt-LT"/>
                            </w:rPr>
                            <w:t>2</w:t>
                          </w:r>
                        </w:sdtContent>
                      </w:sdt>
                      <w:r>
                        <w:rPr>
                          <w:bCs/>
                          <w:color w:val="000000"/>
                          <w:sz w:val="22"/>
                          <w:szCs w:val="22"/>
                          <w:lang w:eastAsia="lt-LT"/>
                        </w:rPr>
                        <w:t xml:space="preserve">.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 </w:t>
                      </w:r>
                    </w:p>
                  </w:sdtContent>
                </w:sdt>
                <w:sdt>
                  <w:sdtPr>
                    <w:alias w:val="130-1 str. 3 d."/>
                    <w:tag w:val="part_3aac664d3fa24674abeb54f42150e44a"/>
                    <w:lock w:val="sdtLocked"/>
                    <w:richText/>
                  </w:sdtPr>
                  <w:sdtContent>
                    <w:p>
                      <w:pPr>
                        <w:ind w:firstLine="720"/>
                        <w:jc w:val="both"/>
                        <w:rPr>
                          <w:sz w:val="22"/>
                        </w:rPr>
                      </w:pPr>
                      <w:sdt>
                        <w:sdtPr>
                          <w:alias w:val="Numeris"/>
                          <w:tag w:val="nr_3aac664d3fa24674abeb54f42150e44a"/>
                          <w:lock w:val="sdtLocked"/>
                          <w:richText/>
                        </w:sdtPr>
                        <w:sdtContent>
                          <w:r>
                            <w:rPr>
                              <w:bCs/>
                              <w:color w:val="000000"/>
                              <w:sz w:val="22"/>
                              <w:szCs w:val="22"/>
                              <w:lang w:eastAsia="lt-LT"/>
                            </w:rPr>
                            <w:t>3</w:t>
                          </w:r>
                        </w:sdtContent>
                      </w:sdt>
                      <w:r>
                        <w:rPr>
                          <w:bCs/>
                          <w:color w:val="000000"/>
                          <w:sz w:val="22"/>
                          <w:szCs w:val="22"/>
                          <w:lang w:eastAsia="lt-LT"/>
                        </w:rPr>
                        <w:t>. Šio straipsnio 1 ir 2 dalyse nurodytais atvejais išduodamas ne ilgiau kaip vienerius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42"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43"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2"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3"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3"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5"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45"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6"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6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6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6dc869b55995488896bc64c189071b8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dc869b55995488896bc64c189071b8c"/>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xml:space="preserve">. Užsieniečių buvimas tranzito zonose nelaikomas atvykimu į Lietuvos Respublikos teritoriją. Užsieniečių, pateikusių prašymą suteikti prieglobstį pasienio kontrolės punktuose, tranzito zonose </w:t>
                          </w:r>
                          <w:r>
                            <w:rPr>
                              <w:rFonts w:eastAsia="Arial Unicode MS"/>
                              <w:bCs/>
                              <w:sz w:val="22"/>
                              <w:szCs w:val="22"/>
                            </w:rPr>
                            <w:t xml:space="preserve">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Arial Unicode MS"/>
                              <w:sz w:val="22"/>
                              <w:szCs w:val="22"/>
                              <w:bdr w:val="nil"/>
                              <w:lang w:eastAsia="lt-LT"/>
                            </w:rPr>
                            <w:t xml:space="preserve">, iki priimamas sprendimas įleisti prieglobsčio prašytoją į Lietuvos Respubliką, o užsieniečių, kurie neteisėtai kirto Lietuvos Respublikos valstybės sieną ir kurie nėra prieglobsčio prašytojai, 6 mėnesius nuo tokio užsieniečio užregistravimo Lietuvos migracijos informacinėje sistemoje dienos, buvimas šio straipsnio 3 dalyje nurodytose laikino apgyvendinimo vietose nelaikomas atvykimu į Lietuvos Respublikos teritoriją. </w:t>
                          </w:r>
                        </w:p>
                      </w:sdtContent>
                    </w:sdt>
                    <w:sdt>
                      <w:sdtPr>
                        <w:alias w:val="140-8 str. 2 d."/>
                        <w:tag w:val="part_6b7052a6dafb4bb9a53b98832e58b01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b7052a6dafb4bb9a53b98832e58b015"/>
                              <w:lock w:val="sdtLocked"/>
                              <w:richText/>
                            </w:sdtPr>
                            <w:sdtContent>
                              <w:r>
                                <w:rPr>
                                  <w:rFonts w:eastAsia="Arial Unicode MS"/>
                                  <w:sz w:val="22"/>
                                  <w:szCs w:val="22"/>
                                  <w:bdr w:val="nil"/>
                                </w:rPr>
                                <w:t>2</w:t>
                              </w:r>
                            </w:sdtContent>
                          </w:sdt>
                          <w:r>
                            <w:rPr>
                              <w:rFonts w:eastAsia="Arial Unicode MS"/>
                              <w:sz w:val="22"/>
                              <w:szCs w:val="22"/>
                              <w:bdr w:val="nil"/>
                            </w:rPr>
                            <w:t xml:space="preserve">. Jeigu užsienietis, būdamas pasienio kontrolės punkte, tranzito zonoje ar šio Įstatymo </w:t>
                          </w:r>
                          <w:r>
                            <w:rPr>
                              <w:rFonts w:eastAsia="Calibri"/>
                              <w:sz w:val="22"/>
                              <w:szCs w:val="22"/>
                            </w:rPr>
                            <w:t>140</w:t>
                          </w:r>
                          <w:r>
                            <w:rPr>
                              <w:rFonts w:eastAsia="Calibri"/>
                              <w:sz w:val="22"/>
                              <w:szCs w:val="22"/>
                              <w:vertAlign w:val="superscript"/>
                            </w:rPr>
                            <w:t>12</w:t>
                          </w:r>
                          <w:r>
                            <w:rPr>
                              <w:rFonts w:eastAsia="Calibri"/>
                              <w:sz w:val="22"/>
                              <w:szCs w:val="22"/>
                            </w:rPr>
                            <w:t xml:space="preserve"> straipsnio 2 dalyje nurodytu atveju</w:t>
                          </w:r>
                          <w:r>
                            <w:rPr>
                              <w:rFonts w:eastAsia="Arial Unicode MS"/>
                              <w:sz w:val="22"/>
                              <w:szCs w:val="22"/>
                              <w:bdr w:val="nil"/>
                            </w:rPr>
                            <w:t>, pateikia prašymą suteikti prieglobstį, Migracijos departamentas per 48 valandas nuo tokio prašymo pateikimo momento priima sprendimą įleisti prieglobsčio prašytoją į Lietuvos Respubliką, išskyrus prieglobsčio prašytojus, kuriems taikytinos šio Įstatymo 76 straipsnio 4 dalies arba 77 straipsnio 1 dalies nuostatos.</w:t>
                          </w:r>
                          <w:r>
                            <w:rPr>
                              <w:rFonts w:eastAsia="Arial Unicode MS"/>
                              <w:strike/>
                              <w:sz w:val="22"/>
                              <w:szCs w:val="22"/>
                              <w:bdr w:val="nil"/>
                            </w:rPr>
                            <w:t xml:space="preserve"> </w:t>
                          </w:r>
                        </w:p>
                      </w:sdtContent>
                    </w:sdt>
                    <w:sdt>
                      <w:sdtPr>
                        <w:alias w:val="140-8 str. 3 d."/>
                        <w:tag w:val="part_2df53699b49246a5bfbb9f0313d8d716"/>
                        <w:lock w:val="sdtLocked"/>
                        <w:richText/>
                      </w:sdtPr>
                      <w:sdtContent>
                        <w:p>
                          <w:pPr>
                            <w:pBdr>
                              <w:top w:val="nil"/>
                              <w:left w:val="nil"/>
                              <w:bottom w:val="nil"/>
                              <w:right w:val="nil"/>
                              <w:between w:val="nil"/>
                              <w:bar w:val="nil"/>
                            </w:pBdr>
                            <w:ind w:firstLine="720"/>
                            <w:jc w:val="both"/>
                            <w:rPr>
                              <w:rFonts w:eastAsia="Arial Unicode MS"/>
                              <w:bCs/>
                              <w:sz w:val="22"/>
                              <w:szCs w:val="22"/>
                            </w:rPr>
                          </w:pPr>
                          <w:sdt>
                            <w:sdtPr>
                              <w:alias w:val="Numeris"/>
                              <w:tag w:val="nr_2df53699b49246a5bfbb9f0313d8d716"/>
                              <w:lock w:val="sdtLocked"/>
                              <w:richText/>
                            </w:sdtPr>
                            <w:sdtContent>
                              <w:r>
                                <w:rPr>
                                  <w:rFonts w:eastAsia="Arial Unicode MS"/>
                                  <w:bCs/>
                                  <w:sz w:val="22"/>
                                  <w:szCs w:val="22"/>
                                </w:rPr>
                                <w:t>3</w:t>
                              </w:r>
                            </w:sdtContent>
                          </w:sdt>
                          <w:r>
                            <w:rPr>
                              <w:rFonts w:eastAsia="Arial Unicode MS"/>
                              <w:bCs/>
                              <w:sz w:val="22"/>
                              <w:szCs w:val="22"/>
                              <w:bdr w:val="nil"/>
                            </w:rPr>
                            <w:t>. Prieglobsčio prašytojus, pateikusius prašymus suteikti prieglobstį pasienio kontrolės punktuose</w:t>
                          </w:r>
                          <w:r>
                            <w:rPr>
                              <w:rFonts w:eastAsia="Arial Unicode MS"/>
                              <w:bCs/>
                              <w:sz w:val="22"/>
                              <w:szCs w:val="22"/>
                            </w:rPr>
                            <w:t>,</w:t>
                          </w:r>
                          <w:r>
                            <w:rPr>
                              <w:rFonts w:eastAsia="Arial Unicode MS"/>
                              <w:bCs/>
                              <w:sz w:val="22"/>
                              <w:szCs w:val="22"/>
                              <w:bdr w:val="nil"/>
                            </w:rPr>
                            <w:t xml:space="preserve"> tranzito zonose</w:t>
                          </w:r>
                          <w:r>
                            <w:rPr>
                              <w:rFonts w:eastAsia="Arial Unicode MS"/>
                              <w:bCs/>
                              <w:sz w:val="22"/>
                              <w:szCs w:val="22"/>
                            </w:rPr>
                            <w:t xml:space="preserve"> 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MS Mincho"/>
                              <w:bCs/>
                              <w:sz w:val="22"/>
                              <w:szCs w:val="22"/>
                              <w:bdr w:val="nil"/>
                            </w:rPr>
                            <w:t xml:space="preserve">, iki </w:t>
                          </w:r>
                          <w:r>
                            <w:rPr>
                              <w:rFonts w:eastAsia="Arial Unicode MS"/>
                              <w:bCs/>
                              <w:sz w:val="22"/>
                              <w:szCs w:val="22"/>
                              <w:bdr w:val="nil"/>
                            </w:rPr>
                            <w:t xml:space="preserve">priimamas sprendimas įleisti juos į Lietuvos Respubliką,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w:t>
                          </w:r>
                          <w:r>
                            <w:rPr>
                              <w:rFonts w:eastAsia="Arial Unicode MS"/>
                              <w:bCs/>
                              <w:sz w:val="22"/>
                              <w:szCs w:val="22"/>
                            </w:rPr>
                            <w:t xml:space="preserve">kurie </w:t>
                          </w:r>
                          <w:r>
                            <w:rPr>
                              <w:rFonts w:eastAsia="Arial Unicode MS"/>
                              <w:bCs/>
                              <w:sz w:val="22"/>
                              <w:szCs w:val="22"/>
                              <w:bdr w:val="nil"/>
                            </w:rPr>
                            <w:t>neteisėtai kirt</w:t>
                          </w:r>
                          <w:r>
                            <w:rPr>
                              <w:rFonts w:eastAsia="Arial Unicode MS"/>
                              <w:bCs/>
                              <w:sz w:val="22"/>
                              <w:szCs w:val="22"/>
                            </w:rPr>
                            <w:t>o</w:t>
                          </w:r>
                          <w:r>
                            <w:rPr>
                              <w:rFonts w:eastAsia="Arial Unicode MS"/>
                              <w:bCs/>
                              <w:sz w:val="22"/>
                              <w:szCs w:val="22"/>
                              <w:bdr w:val="nil"/>
                            </w:rPr>
                            <w:t xml:space="preserve"> Lietuvos Respublikos valstybės sieną</w:t>
                          </w:r>
                          <w:r>
                            <w:rPr>
                              <w:rFonts w:eastAsia="Arial Unicode MS"/>
                              <w:bCs/>
                              <w:sz w:val="22"/>
                              <w:szCs w:val="22"/>
                            </w:rPr>
                            <w:t xml:space="preserve"> ir kurie nėra prieglobsčio prašytojai</w:t>
                          </w:r>
                          <w:r>
                            <w:rPr>
                              <w:rFonts w:eastAsia="Arial Unicode MS"/>
                              <w:bCs/>
                              <w:sz w:val="22"/>
                              <w:szCs w:val="22"/>
                              <w:bdr w:val="nil"/>
                            </w:rPr>
                            <w:t>,</w:t>
                          </w:r>
                          <w:r>
                            <w:rPr>
                              <w:rFonts w:eastAsia="Arial Unicode MS"/>
                              <w:bCs/>
                              <w:sz w:val="22"/>
                              <w:szCs w:val="22"/>
                            </w:rPr>
                            <w:t xml:space="preserve"> ir užsieniečius, </w:t>
                          </w:r>
                          <w:r>
                            <w:rPr>
                              <w:rFonts w:eastAsia="Calibri"/>
                              <w:sz w:val="22"/>
                              <w:szCs w:val="22"/>
                            </w:rPr>
                            <w:t>dėl kurių priimtas sprendimas nesuteikti prieglobsčio</w:t>
                          </w:r>
                          <w:r>
                            <w:rPr>
                              <w:rFonts w:eastAsia="Arial Unicode MS"/>
                              <w:bCs/>
                              <w:sz w:val="22"/>
                              <w:szCs w:val="22"/>
                            </w:rPr>
                            <w:t>,</w:t>
                          </w:r>
                          <w:r>
                            <w:rPr>
                              <w:rFonts w:eastAsia="Arial Unicode MS"/>
                              <w:bCs/>
                              <w:sz w:val="22"/>
                              <w:szCs w:val="22"/>
                              <w:bdr w:val="nil"/>
                            </w:rPr>
                            <w:t xml:space="preserve"> iki bus</w:t>
                          </w:r>
                          <w:r>
                            <w:rPr>
                              <w:rFonts w:eastAsia="Arial Unicode MS"/>
                              <w:bCs/>
                              <w:sz w:val="22"/>
                              <w:szCs w:val="22"/>
                            </w:rPr>
                            <w:t xml:space="preserve"> </w:t>
                          </w:r>
                          <w:r>
                            <w:rPr>
                              <w:rFonts w:eastAsia="Arial Unicode MS"/>
                              <w:bCs/>
                              <w:sz w:val="22"/>
                              <w:szCs w:val="22"/>
                              <w:bdr w:val="nil"/>
                            </w:rPr>
                            <w:t>įvykdytas galutinis sprendimas dėl užsieniečio grąžinimo ar išsiuntimo arba</w:t>
                          </w:r>
                          <w:r>
                            <w:rPr>
                              <w:rFonts w:eastAsia="Arial Unicode MS"/>
                              <w:bCs/>
                              <w:sz w:val="22"/>
                              <w:szCs w:val="22"/>
                            </w:rPr>
                            <w:t xml:space="preserve"> išduotas užsieniečio registracijos pažymėjimas</w:t>
                          </w:r>
                          <w:r>
                            <w:rPr>
                              <w:rFonts w:eastAsia="Arial Unicode MS"/>
                              <w:bCs/>
                              <w:sz w:val="22"/>
                              <w:szCs w:val="22"/>
                              <w:bdr w:val="nil"/>
                            </w:rPr>
                            <w:t xml:space="preserve">, Valstybės sienos apsaugos tarnyba laikinai apgyvendina </w:t>
                          </w:r>
                          <w:r>
                            <w:rPr>
                              <w:rFonts w:eastAsia="Arial Unicode MS"/>
                              <w:bCs/>
                              <w:sz w:val="22"/>
                              <w:szCs w:val="22"/>
                            </w:rPr>
                            <w:t xml:space="preserve">šioje dalyje nurodytose apgyvendinimo vietose, </w:t>
                          </w:r>
                          <w:r>
                            <w:rPr>
                              <w:rFonts w:eastAsia="Arial Unicode MS"/>
                              <w:bCs/>
                              <w:sz w:val="22"/>
                              <w:szCs w:val="22"/>
                              <w:bdr w:val="nil"/>
                            </w:rPr>
                            <w:t>nesuteikiant jiems teisės laisvai judėti Lietuvos Respublikos teritorijoje.</w:t>
                          </w:r>
                          <w:r>
                            <w:rPr>
                              <w:rFonts w:eastAsia="Arial Unicode MS"/>
                              <w:bCs/>
                              <w:sz w:val="22"/>
                              <w:szCs w:val="22"/>
                            </w:rPr>
                            <w:t xml:space="preserve"> Pabėgėlių priėmimo centre pirmiausia apgyvendinami šioje dalyje nurodyti prieglobsčio prašytojai ir užsieniečiai, kurie yra pažeidžiami asmenys. </w:t>
                          </w:r>
                          <w:r>
                            <w:rPr>
                              <w:rFonts w:eastAsia="Arial Unicode MS"/>
                              <w:bCs/>
                              <w:sz w:val="22"/>
                              <w:szCs w:val="22"/>
                              <w:bdr w:val="nil"/>
                            </w:rPr>
                            <w:t xml:space="preserve">Jeigu šioje dalyje nurodytiems </w:t>
                          </w:r>
                          <w:r>
                            <w:rPr>
                              <w:rFonts w:eastAsia="Arial Unicode MS"/>
                              <w:bCs/>
                              <w:sz w:val="22"/>
                              <w:szCs w:val="22"/>
                            </w:rPr>
                            <w:t xml:space="preserve">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leista laikinai išvykti iš laikino apgyvendinimo vietų minėtoms paslaugoms gauti ar maisto produktams įsigyti, kai yra valdoma pasišalinimo iš laikino apgyvendinimo vietų rizika. Teikiant nurodytas paslaugas nepilnamečiams, prioritetas teikiamas jų suteikimui už laikino apgyvendinimo vietos ribų, kai yra valdoma pasišalinimo iš laikino apgyvendinimo vietos rizika. </w:t>
                          </w:r>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a37a222cc7a14f1fb141dbe13d03cb5e"/>
                        <w:lock w:val="sdtLocked"/>
                        <w:richText/>
                      </w:sdtPr>
                      <w:sdtContent>
                        <w:p>
                          <w:pPr>
                            <w:pBdr>
                              <w:top w:val="nil"/>
                              <w:left w:val="nil"/>
                              <w:bottom w:val="nil"/>
                              <w:right w:val="nil"/>
                              <w:between w:val="nil"/>
                              <w:bar w:val="nil"/>
                            </w:pBdr>
                            <w:ind w:firstLine="720"/>
                            <w:jc w:val="both"/>
                            <w:rPr>
                              <w:sz w:val="22"/>
                              <w:szCs w:val="22"/>
                            </w:rPr>
                          </w:pPr>
                          <w:sdt>
                            <w:sdtPr>
                              <w:alias w:val="Numeris"/>
                              <w:tag w:val="nr_a37a222cc7a14f1fb141dbe13d03cb5e"/>
                              <w:lock w:val="sdtLocked"/>
                              <w:richText/>
                            </w:sdtPr>
                            <w:sdtContent>
                              <w:r>
                                <w:rPr>
                                  <w:sz w:val="22"/>
                                  <w:szCs w:val="22"/>
                                </w:rPr>
                                <w:t>9</w:t>
                              </w:r>
                            </w:sdtContent>
                          </w:sdt>
                          <w:r>
                            <w:rPr>
                              <w:sz w:val="22"/>
                              <w:szCs w:val="22"/>
                            </w:rPr>
                            <w:t>. Skundas dėl šio straipsnio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fa1bf1d61bff4aee92b70d89304d07f3"/>
                    <w:lock w:val="sdtLocked"/>
                    <w:richText/>
                  </w:sdtPr>
                  <w:sdtContent>
                    <w:p>
                      <w:pPr>
                        <w:pBdr>
                          <w:top w:val="nil"/>
                          <w:left w:val="nil"/>
                          <w:bottom w:val="nil"/>
                          <w:right w:val="nil"/>
                          <w:between w:val="nil"/>
                          <w:bar w:val="nil"/>
                        </w:pBdr>
                        <w:ind w:firstLine="720"/>
                        <w:jc w:val="both"/>
                        <w:rPr>
                          <w:rFonts w:eastAsia="Calibri"/>
                          <w:b/>
                          <w:sz w:val="22"/>
                          <w:szCs w:val="22"/>
                        </w:rPr>
                      </w:pPr>
                      <w:sdt>
                        <w:sdtPr>
                          <w:alias w:val="Numeris"/>
                          <w:tag w:val="nr_fa1bf1d61bff4aee92b70d89304d07f3"/>
                          <w:lock w:val="sdtLocked"/>
                          <w:richText/>
                        </w:sdtPr>
                        <w:sdtContent>
                          <w:r>
                            <w:rPr>
                              <w:rFonts w:eastAsia="Calibri"/>
                              <w:b/>
                              <w:sz w:val="22"/>
                              <w:szCs w:val="22"/>
                            </w:rPr>
                            <w:t>140</w:t>
                          </w:r>
                          <w:r>
                            <w:rPr>
                              <w:rFonts w:eastAsia="Calibri"/>
                              <w:b/>
                              <w:sz w:val="22"/>
                              <w:szCs w:val="22"/>
                              <w:vertAlign w:val="superscript"/>
                            </w:rPr>
                            <w:t>11</w:t>
                          </w:r>
                        </w:sdtContent>
                      </w:sdt>
                      <w:r>
                        <w:rPr>
                          <w:rFonts w:eastAsia="Calibri"/>
                          <w:b/>
                          <w:sz w:val="22"/>
                          <w:szCs w:val="22"/>
                        </w:rPr>
                        <w:t xml:space="preserve"> straipsnis. </w:t>
                      </w:r>
                      <w:sdt>
                        <w:sdtPr>
                          <w:alias w:val="Pavadinimas"/>
                          <w:tag w:val="title_fa1bf1d61bff4aee92b70d89304d07f3"/>
                          <w:lock w:val="sdtLocked"/>
                          <w:richText/>
                        </w:sdtPr>
                        <w:sdtContent>
                          <w:r>
                            <w:rPr>
                              <w:rFonts w:eastAsia="Calibri"/>
                              <w:b/>
                              <w:sz w:val="22"/>
                              <w:szCs w:val="22"/>
                            </w:rPr>
                            <w:t>Užsieniečio teisė kreiptis ir gauti prieglobstį Lietuvos Respublikoje</w:t>
                          </w:r>
                        </w:sdtContent>
                      </w:sdt>
                    </w:p>
                    <w:sdt>
                      <w:sdtPr>
                        <w:alias w:val="140-11 str. 1 d."/>
                        <w:tag w:val="part_51e12791df194173b2f23774c88434cb"/>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51e12791df194173b2f23774c88434cb"/>
                              <w:lock w:val="sdtLocked"/>
                              <w:richText/>
                            </w:sdtPr>
                            <w:sdtContent>
                              <w:r>
                                <w:rPr>
                                  <w:rFonts w:eastAsia="Calibri"/>
                                  <w:sz w:val="22"/>
                                  <w:szCs w:val="22"/>
                                </w:rPr>
                                <w:t>1</w:t>
                              </w:r>
                            </w:sdtContent>
                          </w:sdt>
                          <w:r>
                            <w:rPr>
                              <w:rFonts w:eastAsia="Calibri"/>
                              <w:sz w:val="22"/>
                              <w:szCs w:val="22"/>
                            </w:rPr>
                            <w:t>. Užsienietis turi teisę kreiptis ir gauti prieglobstį Lietuvos Respublikoje šio Įstatymo nustatyta tvarka. Jeigu yra požymių, kad pasienio kontrolės punkte ar tranzito zonoje esantis užsienietis gali pageidauti kreiptis dėl prieglobsčio suteikimo, tokiam užsieniečiui jam suprantama kalba pateikiama informacija apie šią teisę ir taikytinas procedūras.</w:t>
                          </w:r>
                        </w:p>
                      </w:sdtContent>
                    </w:sdt>
                    <w:sdt>
                      <w:sdtPr>
                        <w:alias w:val="140-11 str. 2 d."/>
                        <w:tag w:val="part_7b0c18cd1c974f77acb4b17ebb9fe1af"/>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7b0c18cd1c974f77acb4b17ebb9fe1af"/>
                              <w:lock w:val="sdtLocked"/>
                              <w:richText/>
                            </w:sdtPr>
                            <w:sdtContent>
                              <w:r>
                                <w:rPr>
                                  <w:rFonts w:eastAsia="Calibri"/>
                                  <w:sz w:val="22"/>
                                  <w:szCs w:val="22"/>
                                </w:rPr>
                                <w:t>2</w:t>
                              </w:r>
                            </w:sdtContent>
                          </w:sdt>
                          <w:r>
                            <w:rPr>
                              <w:rFonts w:eastAsia="Calibri"/>
                              <w:sz w:val="22"/>
                              <w:szCs w:val="22"/>
                            </w:rPr>
                            <w:t xml:space="preserve">. Šio Įstatymo 65 straipsnio nuostatos </w:t>
                          </w:r>
                          <w:r>
                            <w:rPr>
                              <w:rFonts w:eastAsia="Calibri"/>
                              <w:color w:val="000000"/>
                              <w:sz w:val="22"/>
                              <w:szCs w:val="22"/>
                            </w:rPr>
                            <w:t>dėl</w:t>
                          </w:r>
                          <w:r>
                            <w:rPr>
                              <w:rFonts w:eastAsia="Calibri"/>
                              <w:sz w:val="22"/>
                              <w:szCs w:val="22"/>
                            </w:rPr>
                            <w:t xml:space="preserve"> užsieniečių tei</w:t>
                          </w:r>
                          <w:r>
                            <w:rPr>
                              <w:rFonts w:eastAsia="Calibri"/>
                              <w:color w:val="000000"/>
                              <w:sz w:val="22"/>
                              <w:szCs w:val="22"/>
                            </w:rPr>
                            <w:t xml:space="preserve">sės </w:t>
                          </w:r>
                          <w:r>
                            <w:rPr>
                              <w:rFonts w:eastAsia="Calibri"/>
                              <w:sz w:val="22"/>
                              <w:szCs w:val="22"/>
                            </w:rPr>
                            <w:t>kreiptis ir gauti prieglobstį Lietuvos Respublikoje netaikomos.</w:t>
                          </w:r>
                        </w:p>
                        <w:p>
                          <w:pPr>
                            <w:pBdr>
                              <w:top w:val="nil"/>
                              <w:left w:val="nil"/>
                              <w:bottom w:val="nil"/>
                              <w:right w:val="nil"/>
                              <w:between w:val="nil"/>
                              <w:bar w:val="nil"/>
                            </w:pBdr>
                            <w:ind w:firstLine="720"/>
                            <w:jc w:val="both"/>
                            <w:rPr>
                              <w:rFonts w:eastAsia="Calibri"/>
                              <w:sz w:val="22"/>
                              <w:szCs w:val="22"/>
                            </w:rPr>
                          </w:pPr>
                        </w:p>
                      </w:sdtContent>
                    </w:sdt>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e8a7668c6e844132a981e9da885b15a7"/>
                            <w:lock w:val="sdtLocked"/>
                            <w:richText/>
                          </w:sdtPr>
                          <w:sdtContent>
                            <w:p>
                              <w:pPr>
                                <w:pBdr>
                                  <w:top w:val="nil"/>
                                  <w:left w:val="nil"/>
                                  <w:bottom w:val="nil"/>
                                  <w:right w:val="nil"/>
                                  <w:between w:val="nil"/>
                                  <w:bar w:val="nil"/>
                                </w:pBdr>
                                <w:ind w:firstLine="720"/>
                                <w:jc w:val="both"/>
                                <w:rPr>
                                  <w:sz w:val="22"/>
                                  <w:szCs w:val="22"/>
                                </w:rPr>
                              </w:pPr>
                              <w:sdt>
                                <w:sdtPr>
                                  <w:alias w:val="Numeris"/>
                                  <w:tag w:val="nr_e8a7668c6e844132a981e9da885b15a7"/>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49942d9ef9e74563b7d3147c4a00848e"/>
                        <w:lock w:val="sdtLocked"/>
                        <w:richText/>
                      </w:sdtPr>
                      <w:sdtContent>
                        <w:p>
                          <w:pPr>
                            <w:pBdr>
                              <w:top w:val="nil"/>
                              <w:left w:val="nil"/>
                              <w:bottom w:val="nil"/>
                              <w:right w:val="nil"/>
                              <w:between w:val="nil"/>
                              <w:bar w:val="nil"/>
                            </w:pBdr>
                            <w:ind w:firstLine="720"/>
                            <w:jc w:val="both"/>
                            <w:rPr>
                              <w:sz w:val="22"/>
                              <w:szCs w:val="22"/>
                            </w:rPr>
                          </w:pPr>
                          <w:sdt>
                            <w:sdtPr>
                              <w:alias w:val="Numeris"/>
                              <w:tag w:val="nr_49942d9ef9e74563b7d3147c4a00848e"/>
                              <w:lock w:val="sdtLocked"/>
                              <w:richText/>
                            </w:sdtPr>
                            <w:sdtContent>
                              <w:r>
                                <w:rPr>
                                  <w:sz w:val="22"/>
                                  <w:szCs w:val="22"/>
                                </w:rPr>
                                <w:t>2</w:t>
                              </w:r>
                            </w:sdtContent>
                          </w:sdt>
                          <w:r>
                            <w:rPr>
                              <w:sz w:val="22"/>
                              <w:szCs w:val="22"/>
                            </w:rPr>
                            <w:t>. Užsieniečio prašymas suteikti prieglobstį, teikiamas nesilaikant šio straipsnio 1 dalyje nurodytos tvarkos, nepriimamas, paaiškinant prašymo suteikti prieglobstį pateikimo tvarką. Valstybės sienos apsaugos tarnyba, atsižvelgusi į užsieniečio pažeidžiamumą ar kitas individualias aplinkybes, gali priimti užsieniečio, neteisėtai kirtusio Lietuvos Respublikos valstybės sieną, prašymą suteikti prieglobstį.</w:t>
                          </w:r>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d1f33f25d7ab45ac9e9f2a031d59ca15"/>
                            <w:lock w:val="sdtLocked"/>
                            <w:richText/>
                          </w:sdtPr>
                          <w:sdtContent>
                            <w:p>
                              <w:pPr>
                                <w:ind w:firstLine="720"/>
                                <w:jc w:val="both"/>
                                <w:rPr>
                                  <w:bCs/>
                                  <w:color w:val="000000"/>
                                  <w:sz w:val="22"/>
                                  <w:szCs w:val="22"/>
                                </w:rPr>
                              </w:pPr>
                              <w:sdt>
                                <w:sdtPr>
                                  <w:alias w:val="Numeris"/>
                                  <w:tag w:val="nr_d1f33f25d7ab45ac9e9f2a031d59ca15"/>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 jeigu ji nebuvo įgyta šio Įstatymo 71 straipsnio 1 dalies 10 punkte nurodytu atveju.</w:t>
                              </w:r>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743c2c0caacd41c58a972cad26610c2f"/>
                        <w:lock w:val="sdtLocked"/>
                        <w:richText/>
                      </w:sdtPr>
                      <w:sdtContent>
                        <w:p>
                          <w:pPr>
                            <w:ind w:firstLine="720"/>
                            <w:jc w:val="both"/>
                            <w:rPr>
                              <w:color w:val="000000"/>
                              <w:sz w:val="22"/>
                              <w:szCs w:val="22"/>
                            </w:rPr>
                          </w:pPr>
                          <w:sdt>
                            <w:sdtPr>
                              <w:alias w:val="Numeris"/>
                              <w:tag w:val="nr_743c2c0caacd41c58a972cad26610c2f"/>
                              <w:lock w:val="sdtLocked"/>
                              <w:richText/>
                            </w:sdtPr>
                            <w:sdtContent>
                              <w:r>
                                <w:rPr>
                                  <w:color w:val="000000"/>
                                  <w:sz w:val="22"/>
                                  <w:szCs w:val="22"/>
                                </w:rPr>
                                <w:t>3</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užsieniečiai, kurie</w:t>
                          </w:r>
                          <w:r>
                            <w:rPr>
                              <w:color w:val="000000"/>
                              <w:sz w:val="22"/>
                              <w:szCs w:val="22"/>
                              <w:bdr w:val="none" w:sz="0" w:space="0" w:color="auto" w:frame="1"/>
                            </w:rPr>
                            <w:t xml:space="preserve"> neteisėtai kirto Lietuvos Respublikos valstybės sieną</w:t>
                          </w:r>
                          <w:r>
                            <w:rPr>
                              <w:color w:val="000000"/>
                              <w:sz w:val="22"/>
                              <w:szCs w:val="22"/>
                            </w:rPr>
                            <w:t xml:space="preserve"> ir nėra prieglobsčio prašytojai, turi:</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53f64128849e482f80db639ba18d5797"/>
                            <w:lock w:val="sdtLocked"/>
                            <w:richText/>
                          </w:sdtPr>
                          <w:sdtContent>
                            <w:p>
                              <w:pPr>
                                <w:ind w:firstLine="720"/>
                                <w:jc w:val="both"/>
                                <w:rPr>
                                  <w:bCs/>
                                  <w:color w:val="000000"/>
                                  <w:sz w:val="22"/>
                                  <w:szCs w:val="22"/>
                                </w:rPr>
                              </w:pPr>
                              <w:sdt>
                                <w:sdtPr>
                                  <w:alias w:val="Numeris"/>
                                  <w:tag w:val="nr_53f64128849e482f80db639ba18d5797"/>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w:t>
                              </w:r>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3356eb08e9f4b1ebb4a02c34d85fadd"/>
                        <w:lock w:val="sdtLocked"/>
                        <w:richText/>
                      </w:sdtPr>
                      <w:sdtContent>
                        <w:p>
                          <w:pPr>
                            <w:ind w:firstLine="720"/>
                            <w:jc w:val="both"/>
                            <w:rPr>
                              <w:bCs/>
                              <w:color w:val="000000"/>
                              <w:sz w:val="22"/>
                              <w:szCs w:val="22"/>
                            </w:rPr>
                          </w:pPr>
                          <w:sdt>
                            <w:sdtPr>
                              <w:alias w:val="Numeris"/>
                              <w:tag w:val="nr_e3356eb08e9f4b1ebb4a02c34d85fadd"/>
                              <w:lock w:val="sdtLocked"/>
                              <w:richText/>
                            </w:sdtPr>
                            <w:sdtContent>
                              <w:r>
                                <w:rPr>
                                  <w:bCs/>
                                  <w:color w:val="000000"/>
                                  <w:sz w:val="22"/>
                                  <w:szCs w:val="22"/>
                                </w:rPr>
                                <w:t>4</w:t>
                              </w:r>
                            </w:sdtContent>
                          </w:sdt>
                          <w:r>
                            <w:rPr>
                              <w:bCs/>
                              <w:color w:val="000000"/>
                              <w:sz w:val="22"/>
                              <w:szCs w:val="22"/>
                            </w:rPr>
                            <w:t xml:space="preserve">. Teisę dirbti </w:t>
                          </w:r>
                          <w:r>
                            <w:rPr>
                              <w:rFonts w:ascii="TimesLT" w:hAnsi="TimesLT"/>
                              <w:color w:val="000000"/>
                              <w:sz w:val="22"/>
                              <w:szCs w:val="22"/>
                            </w:rPr>
                            <w:t>arba imtis savarankiško užimtumo veiklos</w:t>
                          </w:r>
                          <w:r>
                            <w:rPr>
                              <w:rFonts w:ascii="TimesLT" w:hAnsi="TimesLT"/>
                              <w:bCs/>
                              <w:color w:val="000000"/>
                              <w:sz w:val="22"/>
                              <w:szCs w:val="22"/>
                            </w:rPr>
                            <w:t xml:space="preserve"> </w:t>
                          </w:r>
                          <w:r>
                            <w:rPr>
                              <w:bCs/>
                              <w:color w:val="000000"/>
                              <w:sz w:val="22"/>
                              <w:szCs w:val="22"/>
                            </w:rPr>
                            <w:t>įgijęs prieglobsčio prašytojas ar užsienietis, ketinantis dirbti</w:t>
                          </w:r>
                          <w:r>
                            <w:rPr>
                              <w:rFonts w:ascii="TimesLT" w:hAnsi="TimesLT"/>
                              <w:color w:val="000000"/>
                              <w:sz w:val="22"/>
                              <w:szCs w:val="22"/>
                            </w:rPr>
                            <w:t xml:space="preserve"> arba imtis savarankiško užimtumo veiklos</w:t>
                          </w:r>
                          <w:r>
                            <w:rPr>
                              <w:bCs/>
                              <w:color w:val="000000"/>
                              <w:sz w:val="22"/>
                              <w:szCs w:val="22"/>
                            </w:rPr>
                            <w:t xml:space="preserve">, privalo turėti užsieniečio registracijos pažymėjimą, patvirtinantį jo teisę dirbti </w:t>
                          </w:r>
                          <w:r>
                            <w:rPr>
                              <w:rFonts w:ascii="TimesLT" w:hAnsi="TimesLT"/>
                              <w:color w:val="000000"/>
                              <w:sz w:val="22"/>
                              <w:szCs w:val="22"/>
                            </w:rPr>
                            <w:t>arba imtis savarankiško užimtumo veiklos</w:t>
                          </w:r>
                          <w:r>
                            <w:rPr>
                              <w:bCs/>
                              <w:color w:val="000000"/>
                              <w:sz w:val="22"/>
                              <w:szCs w:val="22"/>
                            </w:rPr>
                            <w:t>. Migracijos departamentas, gavęs prieglobsčio prašytojo ar užsieniečio prašymą nurodyti jo teisę dirbti</w:t>
                          </w:r>
                          <w:r>
                            <w:rPr>
                              <w:rFonts w:ascii="TimesLT" w:hAnsi="TimesLT"/>
                              <w:color w:val="000000"/>
                              <w:sz w:val="22"/>
                              <w:szCs w:val="22"/>
                            </w:rPr>
                            <w:t xml:space="preserve"> arba imtis savarankiško užimtumo veiklos</w:t>
                          </w:r>
                          <w:r>
                            <w:rPr>
                              <w:bCs/>
                              <w:color w:val="000000"/>
                              <w:sz w:val="22"/>
                              <w:szCs w:val="22"/>
                            </w:rPr>
                            <w:t xml:space="preserve"> užsieniečio registracijos pažymėjime ir nustatęs, kad prieglobsčio prašytojas ar užsienietis tokią teisę įgijo, jam išduotame užsieniečio registracijos pažymėjime nurodo įgytą teisę dirbti</w:t>
                          </w:r>
                          <w:r>
                            <w:rPr>
                              <w:rFonts w:ascii="TimesLT" w:hAnsi="TimesLT"/>
                              <w:color w:val="000000"/>
                              <w:sz w:val="22"/>
                              <w:szCs w:val="22"/>
                            </w:rPr>
                            <w:t xml:space="preserve"> arba imtis savarankiško užimtumo veiklos</w:t>
                          </w:r>
                          <w:r>
                            <w:rPr>
                              <w:bCs/>
                              <w:color w:val="000000"/>
                              <w:sz w:val="22"/>
                              <w:szCs w:val="22"/>
                            </w:rPr>
                            <w:t>.</w:t>
                          </w:r>
                        </w:p>
                      </w:sdtContent>
                    </w:sdt>
                    <w:sdt>
                      <w:sdtPr>
                        <w:alias w:val="140-13 str. 5 d."/>
                        <w:tag w:val="part_f17fac1f20c44a0e8902c975cd78c51a"/>
                        <w:lock w:val="sdtLocked"/>
                        <w:richText/>
                      </w:sdtPr>
                      <w:sdtContent>
                        <w:p>
                          <w:pPr>
                            <w:ind w:firstLine="720"/>
                            <w:jc w:val="both"/>
                            <w:rPr>
                              <w:bCs/>
                              <w:color w:val="000000"/>
                              <w:sz w:val="22"/>
                              <w:szCs w:val="22"/>
                            </w:rPr>
                          </w:pPr>
                          <w:sdt>
                            <w:sdtPr>
                              <w:alias w:val="Numeris"/>
                              <w:tag w:val="nr_f17fac1f20c44a0e8902c975cd78c51a"/>
                              <w:lock w:val="sdtLocked"/>
                              <w:richText/>
                            </w:sdtPr>
                            <w:sdtContent>
                              <w:r>
                                <w:rPr>
                                  <w:bCs/>
                                  <w:color w:val="000000"/>
                                  <w:sz w:val="22"/>
                                  <w:szCs w:val="22"/>
                                </w:rPr>
                                <w:t>5</w:t>
                              </w:r>
                            </w:sdtContent>
                          </w:sdt>
                          <w:r>
                            <w:rPr>
                              <w:bCs/>
                              <w:color w:val="000000"/>
                              <w:sz w:val="22"/>
                              <w:szCs w:val="22"/>
                            </w:rPr>
                            <w:t>. Jeigu</w:t>
                          </w:r>
                          <w:r>
                            <w:rPr>
                              <w:color w:val="000000"/>
                              <w:sz w:val="22"/>
                              <w:szCs w:val="22"/>
                            </w:rPr>
                            <w:t xml:space="preserve"> šio Įstatymo</w:t>
                          </w:r>
                          <w:r>
                            <w:rPr>
                              <w:bCs/>
                              <w:color w:val="000000"/>
                              <w:sz w:val="22"/>
                              <w:szCs w:val="22"/>
                            </w:rPr>
                            <w:t xml:space="preserve"> 140</w:t>
                          </w:r>
                          <w:r>
                            <w:rPr>
                              <w:bCs/>
                              <w:color w:val="000000"/>
                              <w:sz w:val="22"/>
                              <w:szCs w:val="22"/>
                              <w:vertAlign w:val="superscript"/>
                            </w:rPr>
                            <w:t>8</w:t>
                          </w:r>
                          <w:r>
                            <w:rPr>
                              <w:bCs/>
                              <w:color w:val="000000"/>
                              <w:sz w:val="22"/>
                              <w:szCs w:val="22"/>
                            </w:rPr>
                            <w:t xml:space="preserve"> straipsnio 3 dalyje nurodyti prieglobsčio prašytojai ir užsieniečiai, įgiję teisę dirbti, dėl objektyvių priežasčių neturi mokėjimo sąskaitos, darbo užmokestis ir kitos su darbo santykiais susijusios išmokos, </w:t>
                          </w:r>
                          <w:r>
                            <w:rPr>
                              <w:color w:val="000000"/>
                              <w:sz w:val="22"/>
                              <w:szCs w:val="22"/>
                            </w:rPr>
                            <w:t xml:space="preserve">taip pat dienpinigiai ir komandiruotės išlaidų kompensacijos gali būti mokami </w:t>
                          </w:r>
                          <w:r>
                            <w:rPr>
                              <w:bCs/>
                              <w:color w:val="000000"/>
                              <w:sz w:val="22"/>
                              <w:szCs w:val="22"/>
                            </w:rPr>
                            <w:t>grynaisiais pinigais.</w:t>
                          </w:r>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e5743f9d3f23493e8293c3a9080b9093"/>
                    <w:lock w:val="sdtLocked"/>
                    <w:richText/>
                  </w:sdtPr>
                  <w:sdtContent>
                    <w:p>
                      <w:pPr>
                        <w:ind w:firstLine="720"/>
                        <w:jc w:val="both"/>
                        <w:rPr>
                          <w:rFonts w:eastAsia="Calibri"/>
                          <w:b/>
                          <w:sz w:val="22"/>
                          <w:szCs w:val="22"/>
                        </w:rPr>
                      </w:pPr>
                      <w:sdt>
                        <w:sdtPr>
                          <w:alias w:val="Numeris"/>
                          <w:tag w:val="nr_e5743f9d3f23493e8293c3a9080b9093"/>
                          <w:lock w:val="sdtLocked"/>
                          <w:richText/>
                        </w:sdtPr>
                        <w:sdtContent>
                          <w:r>
                            <w:rPr>
                              <w:rFonts w:eastAsia="Calibri"/>
                              <w:b/>
                              <w:sz w:val="22"/>
                              <w:szCs w:val="22"/>
                            </w:rPr>
                            <w:t>140</w:t>
                          </w:r>
                          <w:r>
                            <w:rPr>
                              <w:rFonts w:eastAsia="Calibri"/>
                              <w:b/>
                              <w:sz w:val="22"/>
                              <w:szCs w:val="22"/>
                              <w:vertAlign w:val="superscript"/>
                            </w:rPr>
                            <w:t>17</w:t>
                          </w:r>
                        </w:sdtContent>
                      </w:sdt>
                      <w:r>
                        <w:rPr>
                          <w:rFonts w:eastAsia="Calibri"/>
                          <w:b/>
                          <w:sz w:val="22"/>
                          <w:szCs w:val="22"/>
                        </w:rPr>
                        <w:t xml:space="preserve"> straipsnis. </w:t>
                      </w:r>
                      <w:sdt>
                        <w:sdtPr>
                          <w:alias w:val="Pavadinimas"/>
                          <w:tag w:val="title_e5743f9d3f23493e8293c3a9080b9093"/>
                          <w:lock w:val="sdtLocked"/>
                          <w:richText/>
                        </w:sdtPr>
                        <w:sdtContent>
                          <w:r>
                            <w:rPr>
                              <w:rFonts w:eastAsia="Calibri"/>
                              <w:b/>
                              <w:sz w:val="22"/>
                              <w:szCs w:val="22"/>
                            </w:rPr>
                            <w:t>Prieglobsčio prašytojo sulaikymo pagrindai</w:t>
                          </w:r>
                        </w:sdtContent>
                      </w:sdt>
                    </w:p>
                    <w:sdt>
                      <w:sdtPr>
                        <w:alias w:val="140-17 str. 1 d."/>
                        <w:tag w:val="part_800db851b44a4ac09e4cc80c407a88b7"/>
                        <w:lock w:val="sdtLocked"/>
                        <w:richText/>
                      </w:sdtPr>
                      <w:sdtContent>
                        <w:p>
                          <w:pPr>
                            <w:ind w:firstLine="720"/>
                            <w:jc w:val="both"/>
                            <w:rPr>
                              <w:rFonts w:eastAsia="Calibri"/>
                              <w:sz w:val="22"/>
                              <w:szCs w:val="22"/>
                            </w:rPr>
                          </w:pPr>
                          <w:r>
                            <w:rPr>
                              <w:rFonts w:eastAsia="Calibri"/>
                              <w:sz w:val="22"/>
                              <w:szCs w:val="22"/>
                            </w:rPr>
                            <w:t>Prieglobsčio prašytojas gali būti sulaikytas:</w:t>
                          </w:r>
                        </w:p>
                        <w:sdt>
                          <w:sdtPr>
                            <w:alias w:val="140-17 str. 1 d. 1 p."/>
                            <w:tag w:val="part_16122deed62f446990553b6b34eafd3c"/>
                            <w:lock w:val="sdtLocked"/>
                            <w:richText/>
                          </w:sdtPr>
                          <w:sdtContent>
                            <w:p>
                              <w:pPr>
                                <w:ind w:firstLine="720"/>
                                <w:jc w:val="both"/>
                                <w:rPr>
                                  <w:rFonts w:eastAsia="Calibri"/>
                                  <w:sz w:val="22"/>
                                  <w:szCs w:val="22"/>
                                </w:rPr>
                              </w:pPr>
                              <w:sdt>
                                <w:sdtPr>
                                  <w:alias w:val="Numeris"/>
                                  <w:tag w:val="nr_16122deed62f446990553b6b34eafd3c"/>
                                  <w:lock w:val="sdtLocked"/>
                                  <w:richText/>
                                </w:sdtPr>
                                <w:sdtContent>
                                  <w:r>
                                    <w:rPr>
                                      <w:rFonts w:eastAsia="Calibri"/>
                                      <w:sz w:val="22"/>
                                      <w:szCs w:val="22"/>
                                    </w:rPr>
                                    <w:t>1</w:t>
                                  </w:r>
                                </w:sdtContent>
                              </w:sdt>
                              <w:r>
                                <w:rPr>
                                  <w:rFonts w:eastAsia="Calibri"/>
                                  <w:sz w:val="22"/>
                                  <w:szCs w:val="22"/>
                                </w:rPr>
                                <w:t>) šio Įstatymo 113 straipsnio 4 dalyje nurodytais atvejais;</w:t>
                              </w:r>
                            </w:p>
                          </w:sdtContent>
                        </w:sdt>
                        <w:sdt>
                          <w:sdtPr>
                            <w:alias w:val="140-17 str. 1 d. 2 p."/>
                            <w:tag w:val="part_08d3dbbba3a74a138b5ed5a6e3376883"/>
                            <w:lock w:val="sdtLocked"/>
                            <w:richText/>
                          </w:sdtPr>
                          <w:sdtContent>
                            <w:p>
                              <w:pPr>
                                <w:ind w:firstLine="720"/>
                                <w:jc w:val="both"/>
                                <w:rPr>
                                  <w:rFonts w:eastAsia="Calibri"/>
                                  <w:sz w:val="22"/>
                                  <w:szCs w:val="22"/>
                                </w:rPr>
                              </w:pPr>
                              <w:sdt>
                                <w:sdtPr>
                                  <w:alias w:val="Numeris"/>
                                  <w:tag w:val="nr_08d3dbbba3a74a138b5ed5a6e3376883"/>
                                  <w:lock w:val="sdtLocked"/>
                                  <w:richText/>
                                </w:sdtPr>
                                <w:sdtContent>
                                  <w:r>
                                    <w:rPr>
                                      <w:rFonts w:eastAsia="Calibri"/>
                                      <w:sz w:val="22"/>
                                      <w:szCs w:val="22"/>
                                    </w:rPr>
                                    <w:t>2</w:t>
                                  </w:r>
                                </w:sdtContent>
                              </w:sdt>
                              <w:r>
                                <w:rPr>
                                  <w:rFonts w:eastAsia="Calibri"/>
                                  <w:sz w:val="22"/>
                                  <w:szCs w:val="22"/>
                                </w:rPr>
                                <w:t>) kai jis į Lietuvos Respublikos teritoriją atvyko neteisėtai kirsdamas Lietuvos Respublikos valstybės sieną.</w:t>
                              </w:r>
                            </w:p>
                            <w:p>
                              <w:pPr>
                                <w:ind w:firstLine="720"/>
                                <w:jc w:val="both"/>
                                <w:rPr>
                                  <w:rFonts w:eastAsia="Calibri"/>
                                  <w:sz w:val="22"/>
                                  <w:szCs w:val="22"/>
                                </w:rPr>
                              </w:pPr>
                            </w:p>
                          </w:sdtContent>
                        </w:sdt>
                      </w:sdtContent>
                    </w:sdt>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9faca1e9e924609b96892a9fb264781"/>
                    <w:lock w:val="sdtLocked"/>
                    <w:richText/>
                  </w:sdtPr>
                  <w:sdtContent>
                    <w:p>
                      <w:pPr>
                        <w:ind w:firstLine="720"/>
                        <w:rPr>
                          <w:sz w:val="22"/>
                          <w:szCs w:val="22"/>
                        </w:rPr>
                      </w:pPr>
                      <w:sdt>
                        <w:sdtPr>
                          <w:alias w:val="Numeris"/>
                          <w:tag w:val="nr_59faca1e9e924609b96892a9fb264781"/>
                          <w:lock w:val="sdtLocked"/>
                          <w:richText/>
                        </w:sdtPr>
                        <w:sdtContent>
                          <w:r>
                            <w:rPr>
                              <w:rFonts w:eastAsia="Calibri"/>
                              <w:b/>
                              <w:sz w:val="22"/>
                              <w:szCs w:val="22"/>
                            </w:rPr>
                            <w:t>140</w:t>
                          </w:r>
                          <w:r>
                            <w:rPr>
                              <w:rFonts w:eastAsia="Calibri"/>
                              <w:b/>
                              <w:sz w:val="22"/>
                              <w:szCs w:val="22"/>
                              <w:vertAlign w:val="superscript"/>
                            </w:rPr>
                            <w:t>24</w:t>
                          </w:r>
                        </w:sdtContent>
                      </w:sdt>
                      <w:r>
                        <w:rPr>
                          <w:rFonts w:eastAsia="Calibri"/>
                          <w:b/>
                          <w:sz w:val="22"/>
                          <w:szCs w:val="22"/>
                        </w:rPr>
                        <w:t xml:space="preserve"> straipsnis. </w:t>
                      </w:r>
                      <w:sdt>
                        <w:sdtPr>
                          <w:alias w:val="Pavadinimas"/>
                          <w:tag w:val="title_59faca1e9e924609b96892a9fb264781"/>
                          <w:lock w:val="sdtLocked"/>
                          <w:richText/>
                        </w:sdtPr>
                        <w:sdtContent>
                          <w:r>
                            <w:rPr>
                              <w:b/>
                              <w:sz w:val="22"/>
                              <w:szCs w:val="22"/>
                            </w:rPr>
                            <w:t>Skundo padavimas ir skundo padavimo terminas</w:t>
                          </w:r>
                          <w:r>
                            <w:rPr>
                              <w:sz w:val="22"/>
                              <w:szCs w:val="22"/>
                            </w:rPr>
                            <w:t xml:space="preserve"> </w:t>
                          </w:r>
                        </w:sdtContent>
                      </w:sdt>
                    </w:p>
                    <w:sdt>
                      <w:sdtPr>
                        <w:alias w:val="140-24 str. 1 d."/>
                        <w:tag w:val="part_e1e67ad567e94ae4a193401af7b2416d"/>
                        <w:lock w:val="sdtLocked"/>
                        <w:richText/>
                      </w:sdtPr>
                      <w:sdtContent>
                        <w:p>
                          <w:pPr>
                            <w:ind w:firstLine="720"/>
                            <w:jc w:val="both"/>
                            <w:rPr>
                              <w:rFonts w:eastAsia="Calibri"/>
                              <w:sz w:val="22"/>
                              <w:szCs w:val="22"/>
                            </w:rPr>
                          </w:pPr>
                          <w:sdt>
                            <w:sdtPr>
                              <w:alias w:val="Numeris"/>
                              <w:tag w:val="nr_e1e67ad567e94ae4a193401af7b2416d"/>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4 str. 2 d."/>
                        <w:tag w:val="part_2bbb66506c2a4b8bb3129094efb8a150"/>
                        <w:lock w:val="sdtLocked"/>
                        <w:richText/>
                      </w:sdtPr>
                      <w:sdtContent>
                        <w:p>
                          <w:pPr>
                            <w:ind w:firstLine="720"/>
                            <w:jc w:val="both"/>
                            <w:rPr>
                              <w:rFonts w:eastAsia="Calibri"/>
                              <w:bCs/>
                              <w:sz w:val="22"/>
                              <w:szCs w:val="22"/>
                            </w:rPr>
                          </w:pPr>
                          <w:sdt>
                            <w:sdtPr>
                              <w:alias w:val="Numeris"/>
                              <w:tag w:val="nr_2bbb66506c2a4b8bb3129094efb8a150"/>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2e3baf967feb4e23bc4fb554d454d69c"/>
                    <w:lock w:val="sdtLocked"/>
                    <w:richText/>
                  </w:sdtPr>
                  <w:sdtContent>
                    <w:p>
                      <w:pPr>
                        <w:ind w:firstLine="720"/>
                        <w:jc w:val="both"/>
                        <w:rPr>
                          <w:rFonts w:eastAsia="Calibri"/>
                          <w:b/>
                          <w:sz w:val="22"/>
                          <w:szCs w:val="22"/>
                        </w:rPr>
                      </w:pPr>
                      <w:sdt>
                        <w:sdtPr>
                          <w:alias w:val="Numeris"/>
                          <w:tag w:val="nr_2e3baf967feb4e23bc4fb554d454d69c"/>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2e3baf967feb4e23bc4fb554d454d69c"/>
                          <w:lock w:val="sdtLocked"/>
                          <w:richText/>
                        </w:sdtPr>
                        <w:sdtContent>
                          <w:r>
                            <w:rPr>
                              <w:rFonts w:eastAsia="Calibri"/>
                              <w:b/>
                              <w:sz w:val="22"/>
                              <w:szCs w:val="22"/>
                            </w:rPr>
                            <w:t>Apskųsto sprendimo vykdymo sustabdymas</w:t>
                          </w:r>
                        </w:sdtContent>
                      </w:sdt>
                    </w:p>
                    <w:sdt>
                      <w:sdtPr>
                        <w:alias w:val="140-25 str. 1 d."/>
                        <w:tag w:val="part_8694f2deb9044052a9db1c82e76edf1f"/>
                        <w:lock w:val="sdtLocked"/>
                        <w:richText/>
                      </w:sdtPr>
                      <w:sdtContent>
                        <w:p>
                          <w:pPr>
                            <w:ind w:firstLine="720"/>
                            <w:jc w:val="both"/>
                            <w:rPr>
                              <w:rFonts w:eastAsia="Calibri"/>
                              <w:bCs/>
                              <w:sz w:val="22"/>
                              <w:szCs w:val="22"/>
                            </w:rPr>
                          </w:pPr>
                          <w:sdt>
                            <w:sdtPr>
                              <w:alias w:val="Numeris"/>
                              <w:tag w:val="nr_8694f2deb9044052a9db1c82e76edf1f"/>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5 str. 2 d."/>
                        <w:tag w:val="part_c5653d345ef14beb85f13749c625075c"/>
                        <w:lock w:val="sdtLocked"/>
                        <w:richText/>
                      </w:sdtPr>
                      <w:sdtContent>
                        <w:p>
                          <w:pPr>
                            <w:ind w:firstLine="720"/>
                            <w:jc w:val="both"/>
                            <w:rPr>
                              <w:rFonts w:eastAsia="Calibri"/>
                              <w:bCs/>
                              <w:sz w:val="22"/>
                              <w:szCs w:val="22"/>
                            </w:rPr>
                          </w:pPr>
                          <w:sdt>
                            <w:sdtPr>
                              <w:alias w:val="Numeris"/>
                              <w:tag w:val="nr_c5653d345ef14beb85f13749c625075c"/>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55bd78eb53664ba7b378ea8fb36e318e"/>
                    <w:lock w:val="sdtLocked"/>
                    <w:richText/>
                  </w:sdtPr>
                  <w:sdtContent>
                    <w:p>
                      <w:pPr>
                        <w:ind w:firstLine="720"/>
                        <w:jc w:val="both"/>
                        <w:rPr>
                          <w:rFonts w:eastAsia="Calibri"/>
                          <w:b/>
                          <w:sz w:val="22"/>
                          <w:szCs w:val="22"/>
                        </w:rPr>
                      </w:pPr>
                      <w:sdt>
                        <w:sdtPr>
                          <w:alias w:val="Numeris"/>
                          <w:tag w:val="nr_55bd78eb53664ba7b378ea8fb36e318e"/>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55bd78eb53664ba7b378ea8fb36e318e"/>
                          <w:lock w:val="sdtLocked"/>
                          <w:richText/>
                        </w:sdtPr>
                        <w:sdtContent>
                          <w:r>
                            <w:rPr>
                              <w:rFonts w:eastAsia="Calibri"/>
                              <w:b/>
                              <w:sz w:val="22"/>
                              <w:szCs w:val="22"/>
                            </w:rPr>
                            <w:t>Skundų nagrinėjimas</w:t>
                          </w:r>
                        </w:sdtContent>
                      </w:sdt>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c9bbbaa81b99496084887941820c22ad"/>
                    <w:lock w:val="sdtLocked"/>
                    <w:richText/>
                  </w:sdtPr>
                  <w:sdtContent>
                    <w:p>
                      <w:pPr>
                        <w:ind w:firstLine="720"/>
                        <w:jc w:val="both"/>
                        <w:rPr>
                          <w:b/>
                          <w:bCs/>
                          <w:color w:val="000000"/>
                          <w:sz w:val="22"/>
                          <w:szCs w:val="22"/>
                          <w:shd w:val="clear" w:color="auto" w:fill="FFFFFF"/>
                        </w:rPr>
                      </w:pPr>
                      <w:sdt>
                        <w:sdtPr>
                          <w:alias w:val="Numeris"/>
                          <w:tag w:val="nr_c9bbbaa81b99496084887941820c22ad"/>
                          <w:lock w:val="sdtLocked"/>
                          <w:richText/>
                        </w:sdtPr>
                        <w:sdtContent>
                          <w:r>
                            <w:rPr>
                              <w:b/>
                              <w:bCs/>
                              <w:color w:val="000000"/>
                              <w:sz w:val="22"/>
                              <w:szCs w:val="22"/>
                              <w:shd w:val="clear" w:color="auto" w:fill="FFFFFF"/>
                            </w:rPr>
                            <w:t>140</w:t>
                          </w:r>
                          <w:r>
                            <w:rPr>
                              <w:b/>
                              <w:bCs/>
                              <w:color w:val="000000"/>
                              <w:sz w:val="22"/>
                              <w:szCs w:val="22"/>
                              <w:shd w:val="clear" w:color="auto" w:fill="FFFFFF"/>
                              <w:vertAlign w:val="superscript"/>
                            </w:rPr>
                            <w:t>27</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c9bbbaa81b99496084887941820c22ad"/>
                          <w:lock w:val="sdtLocked"/>
                          <w:richText/>
                        </w:sdtPr>
                        <w:sdtContent>
                          <w:r>
                            <w:rPr>
                              <w:b/>
                              <w:bCs/>
                              <w:color w:val="000000"/>
                              <w:sz w:val="22"/>
                              <w:szCs w:val="22"/>
                              <w:shd w:val="clear" w:color="auto" w:fill="FFFFFF"/>
                            </w:rPr>
                            <w:t>Nelydimų nepilnamečių užsieniečių atstovų skyrimas</w:t>
                          </w:r>
                        </w:sdtContent>
                      </w:sdt>
                    </w:p>
                    <w:sdt>
                      <w:sdtPr>
                        <w:alias w:val="140-27 str. 1 d."/>
                        <w:tag w:val="part_2b0874990d6a4a109d41593524bccc9c"/>
                        <w:lock w:val="sdtLocked"/>
                        <w:richText/>
                      </w:sdtPr>
                      <w:sdtContent>
                        <w:p>
                          <w:pPr>
                            <w:ind w:firstLine="720"/>
                            <w:jc w:val="both"/>
                            <w:rPr>
                              <w:color w:val="000000"/>
                              <w:sz w:val="22"/>
                              <w:szCs w:val="22"/>
                              <w:shd w:val="clear" w:color="auto" w:fill="FFFFFF"/>
                            </w:rPr>
                          </w:pPr>
                          <w:sdt>
                            <w:sdtPr>
                              <w:alias w:val="Numeris"/>
                              <w:tag w:val="nr_2b0874990d6a4a109d41593524bccc9c"/>
                              <w:lock w:val="sdtLocked"/>
                              <w:richText/>
                            </w:sdtPr>
                            <w:sdtContent>
                              <w:r>
                                <w:rPr>
                                  <w:color w:val="000000"/>
                                  <w:sz w:val="22"/>
                                  <w:szCs w:val="22"/>
                                  <w:shd w:val="clear" w:color="auto" w:fill="FFFFFF"/>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7 str. 1 d. 1 p."/>
                            <w:tag w:val="part_a8e97b67138842c6a7f0736ba201a9e2"/>
                            <w:lock w:val="sdtLocked"/>
                            <w:richText/>
                          </w:sdtPr>
                          <w:sdtContent>
                            <w:p>
                              <w:pPr>
                                <w:ind w:firstLine="720"/>
                                <w:jc w:val="both"/>
                                <w:rPr>
                                  <w:color w:val="000000"/>
                                  <w:sz w:val="22"/>
                                  <w:szCs w:val="22"/>
                                  <w:shd w:val="clear" w:color="auto" w:fill="FFFFFF"/>
                                </w:rPr>
                              </w:pPr>
                              <w:sdt>
                                <w:sdtPr>
                                  <w:alias w:val="Numeris"/>
                                  <w:tag w:val="nr_a8e97b67138842c6a7f0736ba201a9e2"/>
                                  <w:lock w:val="sdtLocked"/>
                                  <w:richText/>
                                </w:sdtPr>
                                <w:sdtContent>
                                  <w:r>
                                    <w:rPr>
                                      <w:color w:val="000000"/>
                                      <w:sz w:val="22"/>
                                      <w:szCs w:val="22"/>
                                      <w:shd w:val="clear" w:color="auto" w:fill="FFFFFF"/>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7 str. 1 d. 2 p."/>
                            <w:tag w:val="part_01bfc177fd554dab8f6e5e669284e320"/>
                            <w:lock w:val="sdtLocked"/>
                            <w:richText/>
                          </w:sdtPr>
                          <w:sdtContent>
                            <w:p>
                              <w:pPr>
                                <w:ind w:firstLine="720"/>
                                <w:jc w:val="both"/>
                                <w:rPr>
                                  <w:sz w:val="22"/>
                                  <w:szCs w:val="22"/>
                                </w:rPr>
                              </w:pPr>
                              <w:sdt>
                                <w:sdtPr>
                                  <w:alias w:val="Numeris"/>
                                  <w:tag w:val="nr_01bfc177fd554dab8f6e5e669284e320"/>
                                  <w:lock w:val="sdtLocked"/>
                                  <w:richText/>
                                </w:sdtPr>
                                <w:sdtContent>
                                  <w:r>
                                    <w:rPr>
                                      <w:color w:val="000000"/>
                                      <w:sz w:val="22"/>
                                      <w:szCs w:val="22"/>
                                      <w:shd w:val="clear" w:color="auto" w:fill="FFFFFF"/>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7 str. 2 d."/>
                        <w:tag w:val="part_032de6ff452049e1b9d6535069b8f2a6"/>
                        <w:lock w:val="sdtLocked"/>
                        <w:richText/>
                      </w:sdtPr>
                      <w:sdtContent>
                        <w:p>
                          <w:pPr>
                            <w:ind w:firstLine="720"/>
                            <w:jc w:val="both"/>
                            <w:rPr>
                              <w:sz w:val="22"/>
                              <w:szCs w:val="24"/>
                            </w:rPr>
                          </w:pPr>
                          <w:sdt>
                            <w:sdtPr>
                              <w:alias w:val="Numeris"/>
                              <w:tag w:val="nr_032de6ff452049e1b9d6535069b8f2a6"/>
                              <w:lock w:val="sdtLocked"/>
                              <w:richText/>
                            </w:sdtPr>
                            <w:sdtContent>
                              <w:r>
                                <w:rPr>
                                  <w:color w:val="000000"/>
                                  <w:sz w:val="22"/>
                                  <w:szCs w:val="22"/>
                                  <w:shd w:val="clear" w:color="auto" w:fill="FFFFFF"/>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4"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3"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5"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77"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78"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79"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0"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1"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2"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3"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4"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5"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6"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87"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88"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89"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0"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1"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2"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6"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97"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98"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350406&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453097&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288727&amp;b="/>
  <Relationship Id="rId131" Type="http://schemas.openxmlformats.org/officeDocument/2006/relationships/hyperlink" TargetMode="External" Target="http://www3.lrs.lt/cgi-bin/preps2?a=288727&amp;b="/>
  <Relationship Id="rId132" Type="http://schemas.openxmlformats.org/officeDocument/2006/relationships/hyperlink" TargetMode="External" Target="http://www3.lrs.lt/cgi-bin/preps2?a=314800&amp;b="/>
  <Relationship Id="rId133" Type="http://schemas.openxmlformats.org/officeDocument/2006/relationships/hyperlink" TargetMode="External" Target="http://www3.lrs.lt/cgi-bin/preps2?a=429704&amp;b="/>
  <Relationship Id="rId134" Type="http://schemas.openxmlformats.org/officeDocument/2006/relationships/hyperlink" TargetMode="External" Target="http://www3.lrs.lt/cgi-bin/preps2?a=457912&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288727&amp;b="/>
  <Relationship Id="rId137" Type="http://schemas.openxmlformats.org/officeDocument/2006/relationships/hyperlink" TargetMode="External" Target="http://www3.lrs.lt/cgi-bin/preps2?a=429704&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350406&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57912&amp;b="/>
  <Relationship Id="rId142" Type="http://schemas.openxmlformats.org/officeDocument/2006/relationships/hyperlink" TargetMode="External" Target="http://www3.lrs.lt/cgi-bin/preps2?a=288727&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414120&amp;b="/>
  <Relationship Id="rId145" Type="http://schemas.openxmlformats.org/officeDocument/2006/relationships/hyperlink" TargetMode="External" Target="http://www3.lrs.lt/cgi-bin/preps2?a=429704&amp;b="/>
  <Relationship Id="rId146" Type="http://schemas.openxmlformats.org/officeDocument/2006/relationships/hyperlink" TargetMode="External" Target="http://www3.lrs.lt/cgi-bin/preps2?a=457912&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314800&amp;b="/>
  <Relationship Id="rId15" Type="http://schemas.openxmlformats.org/officeDocument/2006/relationships/theme" Target="theme/theme1.xml"/>
  <Relationship Id="rId150" Type="http://schemas.openxmlformats.org/officeDocument/2006/relationships/hyperlink" TargetMode="External" Target="http://www3.lrs.lt/cgi-bin/preps2?a=350406&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57912&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288727&amp;b="/>
  <Relationship Id="rId156" Type="http://schemas.openxmlformats.org/officeDocument/2006/relationships/hyperlink" TargetMode="External" Target="http://www3.lrs.lt/cgi-bin/preps2?a=41412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429704&amp;b="/>
  <Relationship Id="rId159" Type="http://schemas.openxmlformats.org/officeDocument/2006/relationships/hyperlink" TargetMode="External" Target="http://www3.lrs.lt/cgi-bin/preps2?a=476706&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288727&amp;b="/>
  <Relationship Id="rId162" Type="http://schemas.openxmlformats.org/officeDocument/2006/relationships/hyperlink" TargetMode="External" Target="http://www3.lrs.lt/cgi-bin/preps2?a=288727&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314800&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288727&amp;b="/>
  <Relationship Id="rId167" Type="http://schemas.openxmlformats.org/officeDocument/2006/relationships/hyperlink" TargetMode="External" Target="http://www3.lrs.lt/cgi-bin/preps2?a=414120&amp;b="/>
  <Relationship Id="rId168" Type="http://schemas.openxmlformats.org/officeDocument/2006/relationships/hyperlink" TargetMode="External" Target="http://www3.lrs.lt/cgi-bin/preps2?a=429704&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288727&amp;b="/>
  <Relationship Id="rId171" Type="http://schemas.openxmlformats.org/officeDocument/2006/relationships/hyperlink" TargetMode="External" Target="http://www3.lrs.lt/cgi-bin/preps2?a=350406&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350406&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767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19873&amp;b="/>
  <Relationship Id="rId178" Type="http://schemas.openxmlformats.org/officeDocument/2006/relationships/hyperlink" TargetMode="External" Target="http://www3.lrs.lt/cgi-bin/preps2?a=25838&amp;b="/>
  <Relationship Id="rId179" Type="http://schemas.openxmlformats.org/officeDocument/2006/relationships/hyperlink" TargetMode="External" Target="http://www3.lrs.lt/cgi-bin/preps2?a=46543&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60133&amp;b="/>
  <Relationship Id="rId181" Type="http://schemas.openxmlformats.org/officeDocument/2006/relationships/hyperlink" TargetMode="External" Target="http://www3.lrs.lt/cgi-bin/preps2?a=69958&amp;b="/>
  <Relationship Id="rId182" Type="http://schemas.openxmlformats.org/officeDocument/2006/relationships/hyperlink" TargetMode="External" Target="http://www3.lrs.lt/cgi-bin/preps2?a=88562&amp;b="/>
  <Relationship Id="rId183" Type="http://schemas.openxmlformats.org/officeDocument/2006/relationships/hyperlink" TargetMode="External" Target="http://www3.lrs.lt/cgi-bin/preps2?a=94199&amp;b="/>
  <Relationship Id="rId184" Type="http://schemas.openxmlformats.org/officeDocument/2006/relationships/hyperlink" TargetMode="External" Target="http://www3.lrs.lt/cgi-bin/preps2?a=104679&amp;b="/>
  <Relationship Id="rId185" Type="http://schemas.openxmlformats.org/officeDocument/2006/relationships/hyperlink" TargetMode="External" Target="http://www3.lrs.lt/cgi-bin/preps2?a=111843&amp;b="/>
  <Relationship Id="rId186" Type="http://schemas.openxmlformats.org/officeDocument/2006/relationships/hyperlink" TargetMode="External" Target="http://www3.lrs.lt/cgi-bin/preps2?a=104679&amp;b="/>
  <Relationship Id="rId187" Type="http://schemas.openxmlformats.org/officeDocument/2006/relationships/hyperlink" TargetMode="External" Target="http://www3.lrs.lt/cgi-bin/preps2?a=111837&amp;b="/>
  <Relationship Id="rId188" Type="http://schemas.openxmlformats.org/officeDocument/2006/relationships/hyperlink" TargetMode="External" Target="http://www3.lrs.lt/cgi-bin/preps2?a=139415&amp;b="/>
  <Relationship Id="rId189" Type="http://schemas.openxmlformats.org/officeDocument/2006/relationships/hyperlink" TargetMode="External" Target="http://www3.lrs.lt/cgi-bin/preps2?a=159541&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09640&amp;b="/>
  <Relationship Id="rId191" Type="http://schemas.openxmlformats.org/officeDocument/2006/relationships/hyperlink" TargetMode="External" Target="http://www3.lrs.lt/cgi-bin/preps2?a=288727&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29294&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453097&amp;b="/>
  <Relationship Id="rId198" Type="http://schemas.openxmlformats.org/officeDocument/2006/relationships/hyperlink" TargetMode="External" Target="http://www3.lrs.lt/cgi-bin/preps2?a=457912&amp;b="/>
  <Relationship Id="rId199" Type="http://schemas.openxmlformats.org/officeDocument/2006/relationships/hyperlink" TargetMode="External" Target="http://www3.lrs.lt/cgi-bin/preps2?a=476706&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314800&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76706&amp;b="/>
  <Relationship Id="rId208" Type="http://schemas.openxmlformats.org/officeDocument/2006/relationships/hyperlink" TargetMode="External" Target="http://www3.lrs.lt/cgi-bin/preps2?a=314800&amp;b="/>
  <Relationship Id="rId209" Type="http://schemas.openxmlformats.org/officeDocument/2006/relationships/hyperlink" TargetMode="External" Target="http://www3.lrs.lt/cgi-bin/preps2?a=4767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288727&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350406&amp;b="/>
  <Relationship Id="rId215" Type="http://schemas.openxmlformats.org/officeDocument/2006/relationships/hyperlink" TargetMode="External" Target="http://www3.lrs.lt/cgi-bin/preps2?a=429704&amp;b="/>
  <Relationship Id="rId216" Type="http://schemas.openxmlformats.org/officeDocument/2006/relationships/hyperlink" TargetMode="External" Target="http://www3.lrs.lt/cgi-bin/preps2?a=429704&amp;b="/>
  <Relationship Id="rId217" Type="http://schemas.openxmlformats.org/officeDocument/2006/relationships/hyperlink" TargetMode="External" Target="http://www3.lrs.lt/cgi-bin/preps2?a=429704&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350406&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350406&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414120&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76706&amp;b="/>
  <Relationship Id="rId227" Type="http://schemas.openxmlformats.org/officeDocument/2006/relationships/hyperlink" TargetMode="External" Target="http://www3.lrs.lt/cgi-bin/preps2?a=288727&amp;b="/>
  <Relationship Id="rId228" Type="http://schemas.openxmlformats.org/officeDocument/2006/relationships/hyperlink" TargetMode="External" Target="http://www3.lrs.lt/cgi-bin/preps2?a=350406&amp;b="/>
  <Relationship Id="rId229"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288727&amp;b="/>
  <Relationship Id="rId232" Type="http://schemas.openxmlformats.org/officeDocument/2006/relationships/hyperlink" TargetMode="External" Target="http://www3.lrs.lt/cgi-bin/preps2?a=350406&amp;b="/>
  <Relationship Id="rId233" Type="http://schemas.openxmlformats.org/officeDocument/2006/relationships/hyperlink" TargetMode="External" Target="http://www3.lrs.lt/cgi-bin/preps2?a=476706&amp;b="/>
  <Relationship Id="rId234" Type="http://schemas.openxmlformats.org/officeDocument/2006/relationships/hyperlink" TargetMode="External" Target="http://www3.lrs.lt/cgi-bin/preps2?a=288727&amp;b="/>
  <Relationship Id="rId235" Type="http://schemas.openxmlformats.org/officeDocument/2006/relationships/hyperlink" TargetMode="External" Target="http://www3.lrs.lt/cgi-bin/preps2?a=429704&amp;b="/>
  <Relationship Id="rId236" Type="http://schemas.openxmlformats.org/officeDocument/2006/relationships/hyperlink" TargetMode="External" Target="http://www3.lrs.lt/cgi-bin/preps2?a=429704&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29704&amp;b="/>
  <Relationship Id="rId241" Type="http://schemas.openxmlformats.org/officeDocument/2006/relationships/hyperlink" TargetMode="External" Target="http://www3.lrs.lt/cgi-bin/preps2?a=288727&amp;b="/>
  <Relationship Id="rId242" Type="http://schemas.openxmlformats.org/officeDocument/2006/relationships/hyperlink" TargetMode="External" Target="http://www3.lrs.lt/cgi-bin/preps2?a=314800&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476706&amp;b="/>
  <Relationship Id="rId245" Type="http://schemas.openxmlformats.org/officeDocument/2006/relationships/hyperlink" TargetMode="External" Target="http://www3.lrs.lt/cgi-bin/preps2?a=288727&amp;b="/>
  <Relationship Id="rId246"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3e15cc1d1e64c3a91b94b825ee47787"/>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d757d326bccd4eefa2ce31c583f1a5a3"/>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12dfd0322a5a435981f38e98101a9fde"/>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b47f64f1108640f89bba8558888f6a85"/>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1737a9927112452cafbde30857910ec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f680be950728444d8888308c0ba12ded"/>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dc7023d1ff484de4a6d1c6c1a88c62a9"/>
            <Part Type="strPunktas" Nr="5" Abbr="94 str. 1 d. 5 p." DocPartId="2ae19abd4c164a7ea904487e6c4d6f98" PartId="89feeb0d79e4494e92737b3ec2614f37"/>
            <Part Type="strPunktas" Nr="6" Abbr="94 str. 1 d. 6 p." DocPartId="00a25fa370fe4109b36e04ee4d6f493f" PartId="0dc90241e9ea4f6095c0e5acc169a3bb"/>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7635e18e61ac404ea039d58d88b3e3c6">
        <Part Type="strDalis" Nr="1" Abbr="130-1 str. 1 d." DocPartId="25e8fcd8e88f45b6b8b45ae4b8e6b0df" PartId="5e6c036dcd4d4bbc87a6c14c2f383871"/>
        <Part Type="strDalis" Nr="2" Abbr="130-1 str. 2 d." DocPartId="e89c0efdb07c40e2b27f992fe2dc1157" PartId="96d5e383b3aa49f29a677ceafaf225ef"/>
        <Part Type="strDalis" Nr="3" Abbr="130-1 str. 3 d." DocPartId="98233eac558c4303bd0601450b358a19" PartId="3aac664d3fa24674abeb54f42150e44a"/>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6dc869b55995488896bc64c189071b8c"/>
          <Part Type="strDalis" Nr="2" Abbr="140-8 str. 2 d." DocPartId="dde4b915a75a46d5a1caec265b3cc1fe" PartId="6b7052a6dafb4bb9a53b98832e58b015"/>
          <Part Type="strDalis" Nr="3" Abbr="140-8 str. 3 d." DocPartId="675e3b4c47a24c6582939ddb291b0d46" PartId="2df53699b49246a5bfbb9f0313d8d716"/>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a37a222cc7a14f1fb141dbe13d03cb5e"/>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fa1bf1d61bff4aee92b70d89304d07f3">
          <Part Type="strDalis" Nr="1" Abbr="140-11 str. 1 d." DocPartId="b83656f3d1ff451e941229a1678fa2df" PartId="51e12791df194173b2f23774c88434cb"/>
          <Part Type="strDalis" Nr="2" Abbr="140-11 str. 2 d." DocPartId="d8578f2fc9cc4a45a3081f744f6a0337" PartId="7b0c18cd1c974f77acb4b17ebb9fe1af"/>
        </Part>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e8a7668c6e844132a981e9da885b15a7"/>
            <Part Type="strPunktas" Nr="3" Abbr="140-12 str. 1 d. 3 p." DocPartId="f8b188cf61a2469da432764b1798ac60" PartId="2b5b6999bbac4285a1539061bbdb00c3"/>
          </Part>
          <Part Type="strDalis" Nr="2" Abbr="140-12 str. 2 d." DocPartId="26f50a2003f34ebe8163a619abd0a41d" PartId="49942d9ef9e74563b7d3147c4a00848e"/>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d1f33f25d7ab45ac9e9f2a031d59ca15"/>
          </Part>
          <Part Type="strDalis" Nr="2" Abbr="140-13 str. 2 d." DocPartId="63ca4898345745a091c21256e02840f1" PartId="f6bb586ee733452197ca428829759d26"/>
          <Part Type="strDalis" Nr="3" Abbr="140-13 str. 3 d." DocPartId="7731bd7a709f471095194706bd1c7f80" PartId="743c2c0caacd41c58a972cad26610c2f">
            <Part Type="strPunktas" Nr="1" Abbr="140-13 str. 3 d. 1 p." DocPartId="45efa67f703645829bc0e1277845e833" PartId="ec476de0fef149b5926966ef0fca1ffb"/>
            <Part Type="strPunktas" Nr="2" Abbr="140-13 str. 3 d. 2 p." DocPartId="cd5c83bc2a5d4e48ac63cb5254eac751" PartId="53f64128849e482f80db639ba18d5797"/>
            <Part Type="strPunktas" Nr="3" Abbr="140-13 str. 3 d. 3 p." DocPartId="659ef915212b431fa8505757e911ff79" PartId="608c6d5b6de54193971e90e1e31aa899"/>
          </Part>
          <Part Type="strDalis" Nr="4" Abbr="140-13 str. 4 d." DocPartId="afa68df30c17447fbc5c05171eebb653" PartId="e3356eb08e9f4b1ebb4a02c34d85fadd"/>
          <Part Type="strDalis" Nr="5" Abbr="140-13 str. 5 d." DocPartId="164ea78f8fa74f5d8ceb6695eb9c8d64" PartId="f17fac1f20c44a0e8902c975cd78c51a"/>
          <Part Type="strDalis" Nr="6" Abbr="140-13 str. 6 d." DocPartId="e6253795334a4a33ac15cd0d78b97d38" PartId="cb92bff29ee749ee84627bbe2223fce2"/>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e5743f9d3f23493e8293c3a9080b9093">
          <Part Type="strDalis" Nr="1" Abbr="140-17 str. 1 d." DocPartId="a866dc55f04449bda2bb1678fe5673df" PartId="800db851b44a4ac09e4cc80c407a88b7">
            <Part Type="strPunktas" Nr="1" Abbr="140-17 str. 1 d. 1 p." DocPartId="0cb55f5f347a424c98ac2d2050c5e0e3" PartId="16122deed62f446990553b6b34eafd3c"/>
            <Part Type="strPunktas" Nr="2" Abbr="140-17 str. 1 d. 2 p." DocPartId="641461b01ee54d62bd46934132568d00" PartId="08d3dbbba3a74a138b5ed5a6e3376883"/>
          </Part>
        </Part>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9faca1e9e924609b96892a9fb264781">
          <Part Type="strDalis" Nr="1" Abbr="140-24 str. 1 d." DocPartId="3d37d757045a4d8a9a7706c26326f0a2" PartId="e1e67ad567e94ae4a193401af7b2416d"/>
          <Part Type="strDalis" Nr="2" Abbr="140-24 str. 2 d." DocPartId="801f4b2d72064346bd40c132e3d41479" PartId="2bbb66506c2a4b8bb3129094efb8a150"/>
        </Part>
        <Part Type="straipsnis" Nr="140-26" Abbr="140-26 str." Title="Apskųsto sprendimo vykdymo sustabdymas" DocPartId="ddcc5ad6f92f4137af724277d269a0d4" PartId="2e3baf967feb4e23bc4fb554d454d69c">
          <Part Type="strDalis" Nr="1" Abbr="140-25 str. 1 d." DocPartId="03937724279a4acb94c843d79573c514" PartId="8694f2deb9044052a9db1c82e76edf1f"/>
          <Part Type="strDalis" Nr="2" Abbr="140-25 str. 2 d." DocPartId="3e93e31dba834ba2980f8acc4c5f7633" PartId="c5653d345ef14beb85f13749c625075c"/>
        </Part>
        <Part Type="straipsnis" Nr="140-27" Abbr="140-27 str." Title="Skundų nagrinėjimas" DocPartId="1ba0a3d59a6f4e3183f9120f5e46784d" PartId="55bd78eb53664ba7b378ea8fb36e318e">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c9bbbaa81b99496084887941820c22ad">
          <Part Type="strDalis" Nr="1" Abbr="140-27 str. 1 d." DocPartId="dccd064981584b3bb62db9f2f01630bf" PartId="2b0874990d6a4a109d41593524bccc9c">
            <Part Type="strPunktas" Nr="1" Abbr="140-27 str. 1 d. 1 p." DocPartId="ef9e774c58144aa98804ec2b015ab9c2" PartId="a8e97b67138842c6a7f0736ba201a9e2"/>
            <Part Type="strPunktas" Nr="2" Abbr="140-27 str. 1 d. 2 p." DocPartId="fcad3f1a50ce4b0eb4622e3c8bc7767a" PartId="01bfc177fd554dab8f6e5e669284e320"/>
          </Part>
          <Part Type="strDalis" Nr="2" Abbr="140-27 str. 2 d." DocPartId="2ca551f6b3ba4205a5771aebfceef160" PartId="032de6ff452049e1b9d6535069b8f2a6"/>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84E17ED-DBAD-445D-9413-F9429DE8C8C8}">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