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2021-03-01 iki 2021-06-01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9aee0912e3c443cd8bc9168506bfe38b"/>
                    <w:lock w:val="sdtLocked"/>
                    <w:richText/>
                  </w:sdtPr>
                  <w:sdtContent>
                    <w:p>
                      <w:pPr>
                        <w:ind w:firstLine="720"/>
                        <w:jc w:val="both"/>
                        <w:rPr>
                          <w:sz w:val="22"/>
                        </w:rPr>
                      </w:pPr>
                      <w:sdt>
                        <w:sdtPr>
                          <w:alias w:val="Numeris"/>
                          <w:tag w:val="nr_9aee0912e3c443cd8bc9168506bfe38b"/>
                          <w:lock w:val="sdtLocked"/>
                          <w:richText/>
                        </w:sdtPr>
                        <w:sdtContent>
                          <w:r>
                            <w:rPr>
                              <w:color w:val="000000"/>
                              <w:sz w:val="22"/>
                              <w:szCs w:val="22"/>
                              <w:lang w:eastAsia="lt-LT"/>
                            </w:rPr>
                            <w:t>7</w:t>
                          </w:r>
                        </w:sdtContent>
                      </w:sdt>
                      <w:r>
                        <w:rPr>
                          <w:color w:val="000000"/>
                          <w:sz w:val="22"/>
                          <w:szCs w:val="22"/>
                          <w:lang w:eastAsia="lt-LT"/>
                        </w:rPr>
                        <w:t>. Šio Įstatymo normos, reglamentuojančios leidimus dirbti ir leidimus gyventi Lietuvos Respublikoje, teisiniams santykiams, susijusiems su stambaus projekto investicijų sutarties įgyvendinimu, taikomos tiek, kiek jų nereglamentuoja Lietuvos Respublikos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f41f6738f3394ffcb67a26882659a9d1"/>
                    <w:lock w:val="sdtLocked"/>
                    <w:richText/>
                  </w:sdtPr>
                  <w:sdtContent>
                    <w:p>
                      <w:pPr>
                        <w:pBdr>
                          <w:top w:val="nil"/>
                          <w:left w:val="nil"/>
                          <w:bottom w:val="nil"/>
                          <w:right w:val="nil"/>
                          <w:between w:val="nil"/>
                          <w:bar w:val="nil"/>
                        </w:pBdr>
                        <w:ind w:firstLine="720"/>
                        <w:jc w:val="both"/>
                        <w:rPr>
                          <w:sz w:val="22"/>
                        </w:rPr>
                      </w:pPr>
                      <w:sdt>
                        <w:sdtPr>
                          <w:alias w:val="Numeris"/>
                          <w:tag w:val="nr_f41f6738f3394ffcb67a26882659a9d1"/>
                          <w:lock w:val="sdtLocked"/>
                          <w:richText/>
                        </w:sdtPr>
                        <w:sdtContent>
                          <w:r>
                            <w:rPr>
                              <w:rFonts w:eastAsia="Arial Unicode MS"/>
                              <w:sz w:val="22"/>
                              <w:szCs w:val="22"/>
                              <w:bdr w:val="nil"/>
                            </w:rPr>
                            <w:t>17</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sz w:val="22"/>
                          <w:szCs w:val="22"/>
                          <w:bdr w:val="nil"/>
                        </w:rPr>
                        <w:t>Pabėgėlių priėmimo centras</w:t>
                      </w:r>
                      <w:r>
                        <w:rPr>
                          <w:rFonts w:eastAsia="Arial Unicode MS"/>
                          <w:sz w:val="22"/>
                          <w:szCs w:val="22"/>
                          <w:bdr w:val="nil"/>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w:t>
                      </w:r>
                      <w:r>
                        <w:rPr>
                          <w:rFonts w:eastAsia="Arial Unicode MS"/>
                          <w:bCs/>
                          <w:sz w:val="22"/>
                          <w:szCs w:val="22"/>
                          <w:bdr w:val="nil"/>
                        </w:rPr>
                        <w:t xml:space="preserve"> Lietuvos Respublikos Vyriausybės sprendimu</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609fdc238a6944eaa217d1bdbcd14c57"/>
                    <w:lock w:val="sdtLocked"/>
                    <w:richText/>
                  </w:sdtPr>
                  <w:sdtContent>
                    <w:p>
                      <w:pPr>
                        <w:pBdr>
                          <w:top w:val="nil"/>
                          <w:left w:val="nil"/>
                          <w:bottom w:val="nil"/>
                          <w:right w:val="nil"/>
                          <w:between w:val="nil"/>
                          <w:bar w:val="nil"/>
                        </w:pBdr>
                        <w:ind w:firstLine="720"/>
                        <w:jc w:val="both"/>
                        <w:rPr>
                          <w:bCs/>
                          <w:sz w:val="22"/>
                        </w:rPr>
                      </w:pPr>
                      <w:sdt>
                        <w:sdtPr>
                          <w:alias w:val="Numeris"/>
                          <w:tag w:val="nr_609fdc238a6944eaa217d1bdbcd14c57"/>
                          <w:lock w:val="sdtLocked"/>
                          <w:richText/>
                        </w:sdtPr>
                        <w:sdtContent>
                          <w:r>
                            <w:rPr>
                              <w:rFonts w:eastAsia="Arial Unicode MS"/>
                              <w:sz w:val="22"/>
                              <w:szCs w:val="22"/>
                              <w:bdr w:val="nil"/>
                            </w:rPr>
                            <w:t>34</w:t>
                          </w:r>
                        </w:sdtContent>
                      </w:sdt>
                      <w:r>
                        <w:rPr>
                          <w:rFonts w:eastAsia="Arial Unicode MS"/>
                          <w:sz w:val="22"/>
                          <w:szCs w:val="22"/>
                          <w:bdr w:val="nil"/>
                        </w:rPr>
                        <w:t xml:space="preserve">. Kitos šiame Įstatyme vartojamos sąvokos suprantamos taip, kaip jos apibrėžtos </w:t>
                      </w:r>
                      <w:r>
                        <w:rPr>
                          <w:sz w:val="22"/>
                          <w:szCs w:val="22"/>
                          <w:bdr w:val="nil"/>
                          <w:lang w:eastAsia="lt-LT"/>
                        </w:rPr>
                        <w:t xml:space="preserve">Vizų kodekse ir </w:t>
                      </w:r>
                      <w:r>
                        <w:rPr>
                          <w:rFonts w:eastAsia="Arial Unicode MS"/>
                          <w:sz w:val="22"/>
                          <w:szCs w:val="22"/>
                          <w:bdr w:val="nil"/>
                        </w:rPr>
                        <w:t>2014 m. liepos 23 d. Europos Parlamento ir Tarybos reglamente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4" w:history="1">
                        <w:r>
                          <w:rPr>
                            <w:rStyle w:val="Hipersaitas"/>
                            <w:i/>
                            <w:sz w:val="20"/>
                          </w:rPr>
                          <w:t>XI-392</w:t>
                        </w:r>
                      </w:hyperlink>
                      <w:r>
                        <w:rPr>
                          <w:i/>
                          <w:sz w:val="20"/>
                        </w:rPr>
                        <w:t>, 2009-07-22, Žin., 2009, Nr. 93-3984 (2009-08-04)</w:t>
                      </w:r>
                    </w:p>
                    <w:p>
                      <w:pPr>
                        <w:jc w:val="both"/>
                      </w:pPr>
                      <w:r>
                        <w:rPr>
                          <w:i/>
                          <w:sz w:val="20"/>
                        </w:rPr>
                        <w:t xml:space="preserve">Nr. </w:t>
                      </w:r>
                      <w:hyperlink r:id="rId225"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c71fbee3c5504f289dcc088353e01a9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c71fbee3c5504f289dcc088353e01a9f"/>
                              <w:lock w:val="sdtLocked"/>
                              <w:richText/>
                            </w:sdtPr>
                            <w:sdtContent>
                              <w:r>
                                <w:rPr>
                                  <w:sz w:val="22"/>
                                  <w:szCs w:val="22"/>
                                  <w:bdr w:val="nil"/>
                                </w:rPr>
                                <w:t>2</w:t>
                              </w:r>
                            </w:sdtContent>
                          </w:sdt>
                          <w:r>
                            <w:rPr>
                              <w:sz w:val="22"/>
                              <w:szCs w:val="22"/>
                              <w:bdr w:val="nil"/>
                            </w:rPr>
                            <w:t xml:space="preserve">. Užsienietis, kuriam taikomas bevizis režimas,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c5646ff7e6d646fdafd5524aa300e700"/>
                        <w:lock w:val="sdtLocked"/>
                        <w:richText/>
                      </w:sdtPr>
                      <w:sdtContent>
                        <w:p>
                          <w:pPr>
                            <w:pBdr>
                              <w:top w:val="nil"/>
                              <w:left w:val="nil"/>
                              <w:bottom w:val="nil"/>
                              <w:right w:val="nil"/>
                              <w:between w:val="nil"/>
                              <w:bar w:val="nil"/>
                            </w:pBdr>
                            <w:ind w:firstLine="720"/>
                            <w:jc w:val="both"/>
                            <w:rPr>
                              <w:bCs/>
                              <w:sz w:val="22"/>
                              <w:szCs w:val="22"/>
                              <w:bdr w:val="nil"/>
                            </w:rPr>
                          </w:pPr>
                          <w:sdt>
                            <w:sdtPr>
                              <w:alias w:val="Numeris"/>
                              <w:tag w:val="nr_c5646ff7e6d646fdafd5524aa300e700"/>
                              <w:lock w:val="sdtLocked"/>
                              <w:richText/>
                            </w:sdtPr>
                            <w:sdtContent>
                              <w:r>
                                <w:rPr>
                                  <w:bCs/>
                                  <w:sz w:val="22"/>
                                  <w:szCs w:val="22"/>
                                  <w:bdr w:val="nil"/>
                                </w:rPr>
                                <w:t>10</w:t>
                              </w:r>
                            </w:sdtContent>
                          </w:sdt>
                          <w:r>
                            <w:rPr>
                              <w:bCs/>
                              <w:sz w:val="22"/>
                              <w:szCs w:val="22"/>
                              <w:bdr w:val="nil"/>
                            </w:rPr>
                            <w:t>. Vizos turėjimas automatiškai nesuteikia teisės atvykti į Lietuvos Respubliką.</w:t>
                          </w:r>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8" w:history="1">
                            <w:r>
                              <w:rPr>
                                <w:i/>
                                <w:color w:val="0000FF"/>
                                <w:sz w:val="20"/>
                                <w:u w:val="single"/>
                              </w:rPr>
                              <w:t>XI-1786</w:t>
                            </w:r>
                          </w:hyperlink>
                          <w:r>
                            <w:rPr>
                              <w:i/>
                              <w:sz w:val="20"/>
                            </w:rPr>
                            <w:t>, 2011-12-08, Žin., 2011, Nr. 156-7384 (2011-12-22)</w:t>
                          </w:r>
                        </w:p>
                        <w:p>
                          <w:pPr>
                            <w:jc w:val="both"/>
                          </w:pPr>
                          <w:r>
                            <w:rPr>
                              <w:i/>
                              <w:sz w:val="20"/>
                            </w:rPr>
                            <w:t xml:space="preserve">Nr. </w:t>
                          </w:r>
                          <w:hyperlink r:id="rId22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3"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453c12f5e4ff48cc87f07cb6a01aa006"/>
                            <w:lock w:val="sdtLocked"/>
                            <w:richText/>
                          </w:sdtPr>
                          <w:sdtContent>
                            <w:p>
                              <w:pPr>
                                <w:ind w:firstLine="720"/>
                                <w:jc w:val="both"/>
                                <w:rPr>
                                  <w:sz w:val="22"/>
                                  <w:szCs w:val="22"/>
                                </w:rPr>
                              </w:pPr>
                              <w:sdt>
                                <w:sdtPr>
                                  <w:alias w:val="Numeris"/>
                                  <w:tag w:val="nr_453c12f5e4ff48cc87f07cb6a01aa006"/>
                                  <w:lock w:val="sdtLocked"/>
                                  <w:richText/>
                                </w:sdtPr>
                                <w:sdtContent>
                                  <w:r>
                                    <w:rPr>
                                      <w:sz w:val="22"/>
                                      <w:szCs w:val="22"/>
                                    </w:rPr>
                                    <w:t>2</w:t>
                                  </w:r>
                                </w:sdtContent>
                              </w:sdt>
                              <w:r>
                                <w:rPr>
                                  <w:sz w:val="22"/>
                                  <w:szCs w:val="22"/>
                                </w:rPr>
                                <w:t>) mokytis pagal bendrojo ugdymo arba profesinio mokymo programą (programas)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c5e7b513420f4399a62464ba8ab074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5e7b513420f4399a62464ba8ab0741d"/>
                                  <w:lock w:val="sdtLocked"/>
                                  <w:richText/>
                                </w:sdtPr>
                                <w:sdtContent>
                                  <w:r>
                                    <w:rPr>
                                      <w:rFonts w:eastAsia="Arial Unicode MS"/>
                                      <w:sz w:val="22"/>
                                      <w:szCs w:val="22"/>
                                      <w:bdr w:val="nil"/>
                                    </w:rPr>
                                    <w:t>7</w:t>
                                  </w:r>
                                </w:sdtContent>
                              </w:sdt>
                              <w:r>
                                <w:rPr>
                                  <w:rFonts w:eastAsia="Arial Unicode MS"/>
                                  <w:sz w:val="22"/>
                                  <w:szCs w:val="22"/>
                                  <w:bdr w:val="nil"/>
                                </w:rPr>
                                <w:t>) nemokamai gauti būtinąją medicinos pagalbą, psichologinę pagalbą ir socialines paslaugas Valstybės sienos apsaugos tarnyboje, Pabėgėlių priėmimo centre</w:t>
                              </w:r>
                              <w:r>
                                <w:rPr>
                                  <w:rFonts w:eastAsia="Arial Unicode MS"/>
                                  <w:bCs/>
                                  <w:sz w:val="22"/>
                                  <w:szCs w:val="22"/>
                                  <w:bdr w:val="nil"/>
                                </w:rPr>
                                <w:t xml:space="preserve"> </w:t>
                              </w:r>
                              <w:r>
                                <w:rPr>
                                  <w:rFonts w:eastAsia="Arial Unicode MS"/>
                                  <w:sz w:val="22"/>
                                  <w:szCs w:val="22"/>
                                  <w:bdr w:val="nil"/>
                                </w:rPr>
                                <w:t>ar kitoje apgyvendinimo vietoje;</w:t>
                              </w:r>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sdt>
                      <w:sdtPr>
                        <w:alias w:val="71 str. 3 d."/>
                        <w:tag w:val="part_c4cbdc175d11405fbb54930a5b15a1e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4cbdc175d11405fbb54930a5b15a1eb"/>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xml:space="preserve">. Teisę likti Lietuvos Respublikos teritorijoje turintiems prieglobsčio prašytojams, gyvenantiems </w:t>
                          </w:r>
                          <w:r>
                            <w:rPr>
                              <w:rFonts w:eastAsia="Arial Unicode MS"/>
                              <w:sz w:val="22"/>
                              <w:szCs w:val="22"/>
                              <w:bdr w:val="nil"/>
                            </w:rPr>
                            <w:t xml:space="preserve">Lietuvos Respublikos institucijų paskirtose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sdtContent>
                    </w:sdt>
                    <w:sdt>
                      <w:sdtPr>
                        <w:alias w:val="76 str. 6 d."/>
                        <w:tag w:val="part_085342514e5f45989900d83fddb5d9fe"/>
                        <w:lock w:val="sdtLocked"/>
                        <w:richText/>
                      </w:sdtPr>
                      <w:sdtContent>
                        <w:p>
                          <w:pPr>
                            <w:pBdr>
                              <w:top w:val="nil"/>
                              <w:left w:val="nil"/>
                              <w:bottom w:val="nil"/>
                              <w:right w:val="nil"/>
                              <w:between w:val="nil"/>
                              <w:bar w:val="nil"/>
                            </w:pBdr>
                            <w:ind w:firstLine="720"/>
                            <w:jc w:val="both"/>
                            <w:rPr>
                              <w:sz w:val="22"/>
                            </w:rPr>
                          </w:pPr>
                          <w:sdt>
                            <w:sdtPr>
                              <w:alias w:val="Numeris"/>
                              <w:tag w:val="nr_085342514e5f45989900d83fddb5d9f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fa3d63aa12944d04b2728deae4688847"/>
                        <w:lock w:val="sdtLocked"/>
                        <w:richText/>
                      </w:sdtPr>
                      <w:sdtContent>
                        <w:p>
                          <w:pPr>
                            <w:pBdr>
                              <w:top w:val="nil"/>
                              <w:left w:val="nil"/>
                              <w:bottom w:val="nil"/>
                              <w:right w:val="nil"/>
                              <w:between w:val="nil"/>
                              <w:bar w:val="nil"/>
                            </w:pBdr>
                            <w:ind w:firstLine="720"/>
                            <w:jc w:val="both"/>
                          </w:pPr>
                          <w:sdt>
                            <w:sdtPr>
                              <w:alias w:val="Numeris"/>
                              <w:tag w:val="nr_fa3d63aa12944d04b2728deae4688847"/>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46"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8bad94caf8354145b8cd0b1b576034b2"/>
                    <w:lock w:val="sdtLocked"/>
                    <w:richText/>
                  </w:sdtPr>
                  <w:sdtContent>
                    <w:p>
                      <w:pPr>
                        <w:pBdr>
                          <w:top w:val="nil"/>
                          <w:left w:val="nil"/>
                          <w:bottom w:val="nil"/>
                          <w:right w:val="nil"/>
                          <w:between w:val="nil"/>
                          <w:bar w:val="nil"/>
                        </w:pBdr>
                        <w:tabs>
                          <w:tab w:val="left" w:pos="567"/>
                          <w:tab w:val="left" w:pos="851"/>
                        </w:tabs>
                        <w:ind w:firstLine="720"/>
                        <w:jc w:val="both"/>
                      </w:pPr>
                      <w:sdt>
                        <w:sdtPr>
                          <w:alias w:val="Numeris"/>
                          <w:tag w:val="nr_8bad94caf8354145b8cd0b1b576034b2"/>
                          <w:lock w:val="sdtLocked"/>
                          <w:richText/>
                        </w:sdtPr>
                        <w:sdtContent>
                          <w:r>
                            <w:rPr>
                              <w:rFonts w:eastAsia="Arial Unicode MS"/>
                              <w:sz w:val="22"/>
                              <w:szCs w:val="22"/>
                              <w:bdr w:val="nil"/>
                            </w:rPr>
                            <w:t>2</w:t>
                          </w:r>
                        </w:sdtContent>
                      </w:sdt>
                      <w:r>
                        <w:rPr>
                          <w:rFonts w:eastAsia="Arial Unicode MS"/>
                          <w:sz w:val="22"/>
                          <w:szCs w:val="22"/>
                          <w:bdr w:val="nil"/>
                        </w:rPr>
                        <w:t>. Skundą dėl sprendimo nesuteikti prieglobsčio, priimto išnagrinėjus prašymą suteikti prieglobstį iš esmės skubos tvarka, ir dėl sprendimo, priimto pagal šio Įstatymo 77 straipsnio 2 dalį, prieglobsčio prašytojas gali paduoti atitinkamam apygardos administraciniam teismui per 7 dienas nuo sprendimo įteikimo dienos.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pr. 31 p."/>
            <w:tag w:val="part_1f2837e76f564f3786459c5f104f74df"/>
            <w:lock w:val="sdtLocked"/>
            <w:richText/>
          </w:sdtPr>
          <w:sdtContent>
            <w:p>
              <w:pPr>
                <w:pBdr>
                  <w:top w:val="nil"/>
                  <w:left w:val="nil"/>
                  <w:bottom w:val="nil"/>
                  <w:right w:val="nil"/>
                  <w:between w:val="nil"/>
                  <w:bar w:val="nil"/>
                </w:pBdr>
                <w:ind w:firstLine="720"/>
                <w:jc w:val="both"/>
                <w:rPr>
                  <w:rFonts w:eastAsia="MS Mincho"/>
                  <w:b/>
                  <w:bCs/>
                  <w:sz w:val="20"/>
                </w:rPr>
              </w:pPr>
              <w:sdt>
                <w:sdtPr>
                  <w:alias w:val="Numeris"/>
                  <w:tag w:val="nr_1f2837e76f564f3786459c5f104f74df"/>
                  <w:lock w:val="sdtLocked"/>
                  <w:richText/>
                </w:sdtPr>
                <w:sdtContent>
                  <w:r>
                    <w:rPr>
                      <w:rFonts w:eastAsia="Arial Unicode MS"/>
                      <w:sz w:val="22"/>
                      <w:szCs w:val="22"/>
                      <w:bdr w:val="nil"/>
                    </w:rPr>
                    <w:t>30</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3504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29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53097&amp;b="/>
  <Relationship Id="rId202" Type="http://schemas.openxmlformats.org/officeDocument/2006/relationships/hyperlink" TargetMode="External" Target="http://www3.lrs.lt/cgi-bin/preps2?a=457912&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14120&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76706&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76706&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3504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3504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14120&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288727&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76706&amp;b="/>
  <Relationship Id="rId235" Type="http://schemas.openxmlformats.org/officeDocument/2006/relationships/hyperlink" TargetMode="External" Target="http://www3.lrs.lt/cgi-bin/preps2?a=288727&amp;b="/>
  <Relationship Id="rId236" Type="http://schemas.openxmlformats.org/officeDocument/2006/relationships/hyperlink" TargetMode="External" Target="http://www3.lrs.lt/cgi-bin/preps2?a=350406&amp;b="/>
  <Relationship Id="rId237" Type="http://schemas.openxmlformats.org/officeDocument/2006/relationships/hyperlink" TargetMode="External" Target="http://www3.lrs.lt/cgi-bin/preps2?a=476706&amp;b="/>
  <Relationship Id="rId238" Type="http://schemas.openxmlformats.org/officeDocument/2006/relationships/hyperlink" TargetMode="External" Target="http://www3.lrs.lt/cgi-bin/preps2?a=288727&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29704&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76706&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9aee0912e3c443cd8bc9168506bfe38b"/>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f41f6738f3394ffcb67a26882659a9d1"/>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609fdc238a6944eaa217d1bdbcd14c57"/>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c71fbee3c5504f289dcc088353e01a9f"/>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c5646ff7e6d646fdafd5524aa300e700"/>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453c12f5e4ff48cc87f07cb6a01aa006"/>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c5e7b513420f4399a62464ba8ab0741d"/>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c4cbdc175d11405fbb54930a5b15a1eb"/>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085342514e5f45989900d83fddb5d9f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fa3d63aa12944d04b2728deae4688847"/>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8bad94caf8354145b8cd0b1b576034b2"/>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1" Abbr="pr. 31 p." DocPartId="2e87e690575b4504a2959bb3fb9e5ea9" PartId="1f2837e76f564f3786459c5f104f74df"/>
    <Part Type="punktas" Nr="32" Abbr="32 p." DocPartId="9895b098d0434f90a56baa64fdfb32a6" PartId="d35c2c7c73984bb888f26d5ab37e0a1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842CE72-78F7-4359-B649-08527D4A7B67}">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