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2021-06-02 iki 2021-06-14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9aee0912e3c443cd8bc9168506bfe38b"/>
                    <w:lock w:val="sdtLocked"/>
                    <w:richText/>
                  </w:sdtPr>
                  <w:sdtContent>
                    <w:p>
                      <w:pPr>
                        <w:ind w:firstLine="720"/>
                        <w:jc w:val="both"/>
                        <w:rPr>
                          <w:sz w:val="22"/>
                        </w:rPr>
                      </w:pPr>
                      <w:sdt>
                        <w:sdtPr>
                          <w:alias w:val="Numeris"/>
                          <w:tag w:val="nr_9aee0912e3c443cd8bc9168506bfe38b"/>
                          <w:lock w:val="sdtLocked"/>
                          <w:richText/>
                        </w:sdtPr>
                        <w:sdtContent>
                          <w:r>
                            <w:rPr>
                              <w:color w:val="000000"/>
                              <w:sz w:val="22"/>
                              <w:szCs w:val="22"/>
                              <w:lang w:eastAsia="lt-LT"/>
                            </w:rPr>
                            <w:t>7</w:t>
                          </w:r>
                        </w:sdtContent>
                      </w:sdt>
                      <w:r>
                        <w:rPr>
                          <w:color w:val="000000"/>
                          <w:sz w:val="22"/>
                          <w:szCs w:val="22"/>
                          <w:lang w:eastAsia="lt-LT"/>
                        </w:rPr>
                        <w:t>. Šio Įstatymo normos, reglamentuojančios leidimus dirbti ir leidimus gyventi Lietuvos Respublikoje, teisiniams santykiams, susijusiems su stambaus projekto investicijų sutarties įgyvendinimu, taikomos tiek, kiek jų nereglamentuoja Lietuvos Respublikos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f41f6738f3394ffcb67a26882659a9d1"/>
                    <w:lock w:val="sdtLocked"/>
                    <w:richText/>
                  </w:sdtPr>
                  <w:sdtContent>
                    <w:p>
                      <w:pPr>
                        <w:pBdr>
                          <w:top w:val="nil"/>
                          <w:left w:val="nil"/>
                          <w:bottom w:val="nil"/>
                          <w:right w:val="nil"/>
                          <w:between w:val="nil"/>
                          <w:bar w:val="nil"/>
                        </w:pBdr>
                        <w:ind w:firstLine="720"/>
                        <w:jc w:val="both"/>
                        <w:rPr>
                          <w:sz w:val="22"/>
                        </w:rPr>
                      </w:pPr>
                      <w:sdt>
                        <w:sdtPr>
                          <w:alias w:val="Numeris"/>
                          <w:tag w:val="nr_f41f6738f3394ffcb67a26882659a9d1"/>
                          <w:lock w:val="sdtLocked"/>
                          <w:richText/>
                        </w:sdtPr>
                        <w:sdtContent>
                          <w:r>
                            <w:rPr>
                              <w:rFonts w:eastAsia="Arial Unicode MS"/>
                              <w:sz w:val="22"/>
                              <w:szCs w:val="22"/>
                              <w:bdr w:val="nil"/>
                            </w:rPr>
                            <w:t>17</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sz w:val="22"/>
                          <w:szCs w:val="22"/>
                          <w:bdr w:val="nil"/>
                        </w:rPr>
                        <w:t>Pabėgėlių priėmimo centras</w:t>
                      </w:r>
                      <w:r>
                        <w:rPr>
                          <w:rFonts w:eastAsia="Arial Unicode MS"/>
                          <w:sz w:val="22"/>
                          <w:szCs w:val="22"/>
                          <w:bdr w:val="nil"/>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w:t>
                      </w:r>
                      <w:r>
                        <w:rPr>
                          <w:rFonts w:eastAsia="Arial Unicode MS"/>
                          <w:bCs/>
                          <w:sz w:val="22"/>
                          <w:szCs w:val="22"/>
                          <w:bdr w:val="nil"/>
                        </w:rPr>
                        <w:t xml:space="preserve"> Lietuvos Respublikos Vyriausybės sprendimu</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609fdc238a6944eaa217d1bdbcd14c57"/>
                    <w:lock w:val="sdtLocked"/>
                    <w:richText/>
                  </w:sdtPr>
                  <w:sdtContent>
                    <w:p>
                      <w:pPr>
                        <w:pBdr>
                          <w:top w:val="nil"/>
                          <w:left w:val="nil"/>
                          <w:bottom w:val="nil"/>
                          <w:right w:val="nil"/>
                          <w:between w:val="nil"/>
                          <w:bar w:val="nil"/>
                        </w:pBdr>
                        <w:ind w:firstLine="720"/>
                        <w:jc w:val="both"/>
                        <w:rPr>
                          <w:bCs/>
                          <w:sz w:val="22"/>
                        </w:rPr>
                      </w:pPr>
                      <w:sdt>
                        <w:sdtPr>
                          <w:alias w:val="Numeris"/>
                          <w:tag w:val="nr_609fdc238a6944eaa217d1bdbcd14c57"/>
                          <w:lock w:val="sdtLocked"/>
                          <w:richText/>
                        </w:sdtPr>
                        <w:sdtContent>
                          <w:r>
                            <w:rPr>
                              <w:rFonts w:eastAsia="Arial Unicode MS"/>
                              <w:sz w:val="22"/>
                              <w:szCs w:val="22"/>
                              <w:bdr w:val="nil"/>
                            </w:rPr>
                            <w:t>34</w:t>
                          </w:r>
                        </w:sdtContent>
                      </w:sdt>
                      <w:r>
                        <w:rPr>
                          <w:rFonts w:eastAsia="Arial Unicode MS"/>
                          <w:sz w:val="22"/>
                          <w:szCs w:val="22"/>
                          <w:bdr w:val="nil"/>
                        </w:rPr>
                        <w:t xml:space="preserve">. Kitos šiame Įstatyme vartojamos sąvokos suprantamos taip, kaip jos apibrėžtos </w:t>
                      </w:r>
                      <w:r>
                        <w:rPr>
                          <w:sz w:val="22"/>
                          <w:szCs w:val="22"/>
                          <w:bdr w:val="nil"/>
                          <w:lang w:eastAsia="lt-LT"/>
                        </w:rPr>
                        <w:t xml:space="preserve">Vizų kodekse ir </w:t>
                      </w:r>
                      <w:r>
                        <w:rPr>
                          <w:rFonts w:eastAsia="Arial Unicode MS"/>
                          <w:sz w:val="22"/>
                          <w:szCs w:val="22"/>
                          <w:bdr w:val="nil"/>
                        </w:rPr>
                        <w:t>2014 m. liepos 23 d. Europos Parlamento ir Tarybos reglamente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4" w:history="1">
                        <w:r>
                          <w:rPr>
                            <w:rStyle w:val="Hipersaitas"/>
                            <w:i/>
                            <w:sz w:val="20"/>
                          </w:rPr>
                          <w:t>XI-392</w:t>
                        </w:r>
                      </w:hyperlink>
                      <w:r>
                        <w:rPr>
                          <w:i/>
                          <w:sz w:val="20"/>
                        </w:rPr>
                        <w:t>, 2009-07-22, Žin., 2009, Nr. 93-3984 (2009-08-04)</w:t>
                      </w:r>
                    </w:p>
                    <w:p>
                      <w:pPr>
                        <w:jc w:val="both"/>
                      </w:pPr>
                      <w:r>
                        <w:rPr>
                          <w:i/>
                          <w:sz w:val="20"/>
                        </w:rPr>
                        <w:t xml:space="preserve">Nr. </w:t>
                      </w:r>
                      <w:hyperlink r:id="rId225"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c71fbee3c5504f289dcc088353e01a9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c71fbee3c5504f289dcc088353e01a9f"/>
                              <w:lock w:val="sdtLocked"/>
                              <w:richText/>
                            </w:sdtPr>
                            <w:sdtContent>
                              <w:r>
                                <w:rPr>
                                  <w:sz w:val="22"/>
                                  <w:szCs w:val="22"/>
                                  <w:bdr w:val="nil"/>
                                </w:rPr>
                                <w:t>2</w:t>
                              </w:r>
                            </w:sdtContent>
                          </w:sdt>
                          <w:r>
                            <w:rPr>
                              <w:sz w:val="22"/>
                              <w:szCs w:val="22"/>
                              <w:bdr w:val="nil"/>
                            </w:rPr>
                            <w:t xml:space="preserve">. Užsienietis, kuriam taikomas bevizis režimas,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c5646ff7e6d646fdafd5524aa300e700"/>
                        <w:lock w:val="sdtLocked"/>
                        <w:richText/>
                      </w:sdtPr>
                      <w:sdtContent>
                        <w:p>
                          <w:pPr>
                            <w:pBdr>
                              <w:top w:val="nil"/>
                              <w:left w:val="nil"/>
                              <w:bottom w:val="nil"/>
                              <w:right w:val="nil"/>
                              <w:between w:val="nil"/>
                              <w:bar w:val="nil"/>
                            </w:pBdr>
                            <w:ind w:firstLine="720"/>
                            <w:jc w:val="both"/>
                            <w:rPr>
                              <w:bCs/>
                              <w:sz w:val="22"/>
                              <w:szCs w:val="22"/>
                              <w:bdr w:val="nil"/>
                            </w:rPr>
                          </w:pPr>
                          <w:sdt>
                            <w:sdtPr>
                              <w:alias w:val="Numeris"/>
                              <w:tag w:val="nr_c5646ff7e6d646fdafd5524aa300e700"/>
                              <w:lock w:val="sdtLocked"/>
                              <w:richText/>
                            </w:sdtPr>
                            <w:sdtContent>
                              <w:r>
                                <w:rPr>
                                  <w:bCs/>
                                  <w:sz w:val="22"/>
                                  <w:szCs w:val="22"/>
                                  <w:bdr w:val="nil"/>
                                </w:rPr>
                                <w:t>10</w:t>
                              </w:r>
                            </w:sdtContent>
                          </w:sdt>
                          <w:r>
                            <w:rPr>
                              <w:bCs/>
                              <w:sz w:val="22"/>
                              <w:szCs w:val="22"/>
                              <w:bdr w:val="nil"/>
                            </w:rPr>
                            <w:t>. Vizos turėjimas automatiškai nesuteikia teisės atvykti į Lietuvos Respubliką.</w:t>
                          </w:r>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6215ce6f2507410bbff3c8aa8c03c87c"/>
                            <w:lock w:val="sdtLocked"/>
                            <w:richText/>
                          </w:sdtPr>
                          <w:sdtContent>
                            <w:p>
                              <w:pPr>
                                <w:ind w:firstLine="720"/>
                                <w:jc w:val="both"/>
                                <w:rPr>
                                  <w:sz w:val="22"/>
                                  <w:szCs w:val="22"/>
                                </w:rPr>
                              </w:pPr>
                              <w:sdt>
                                <w:sdtPr>
                                  <w:alias w:val="Numeris"/>
                                  <w:tag w:val="nr_6215ce6f2507410bbff3c8aa8c03c87c"/>
                                  <w:lock w:val="sdtLocked"/>
                                  <w:richText/>
                                </w:sdtPr>
                                <w:sdtContent>
                                  <w:r>
                                    <w:rPr>
                                      <w:sz w:val="22"/>
                                      <w:szCs w:val="22"/>
                                    </w:rPr>
                                    <w:t>12</w:t>
                                  </w:r>
                                </w:sdtContent>
                              </w:sdt>
                              <w:r>
                                <w:rPr>
                                  <w:sz w:val="22"/>
                                  <w:szCs w:val="22"/>
                                </w:rPr>
                                <w:t xml:space="preserve">) dėl jo kita Šengeno valstybė į centrinę antrosios kartos Šengeno informacinę sistemą yra įtraukusi įspėjimą dėl neįsileidimo pagal Reglamento (EB) Nr. 1987/2006 nuostatas arba jis yra įtrauktas į užsieniečių, kuriems draudžiama atvykti į Lietuvos Respubliką, nacionalinį sąrašą; </w:t>
                              </w:r>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8" w:history="1">
                            <w:r>
                              <w:rPr>
                                <w:i/>
                                <w:color w:val="0000FF"/>
                                <w:sz w:val="20"/>
                                <w:u w:val="single"/>
                              </w:rPr>
                              <w:t>XI-1786</w:t>
                            </w:r>
                          </w:hyperlink>
                          <w:r>
                            <w:rPr>
                              <w:i/>
                              <w:sz w:val="20"/>
                            </w:rPr>
                            <w:t>, 2011-12-08, Žin., 2011, Nr. 156-7384 (2011-12-22)</w:t>
                          </w:r>
                        </w:p>
                        <w:p>
                          <w:pPr>
                            <w:jc w:val="both"/>
                          </w:pPr>
                          <w:r>
                            <w:rPr>
                              <w:i/>
                              <w:sz w:val="20"/>
                            </w:rPr>
                            <w:t xml:space="preserve">Nr. </w:t>
                          </w:r>
                          <w:hyperlink r:id="rId22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2"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3"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e034da440d04ec39a33da17b3a2129d"/>
                            <w:lock w:val="sdtLocked"/>
                            <w:richText/>
                          </w:sdtPr>
                          <w:sdtContent>
                            <w:p>
                              <w:pPr>
                                <w:ind w:firstLine="720"/>
                                <w:jc w:val="both"/>
                                <w:rPr>
                                  <w:sz w:val="22"/>
                                </w:rPr>
                              </w:pPr>
                              <w:sdt>
                                <w:sdtPr>
                                  <w:alias w:val="Numeris"/>
                                  <w:tag w:val="nr_1e034da440d04ec39a33da17b3a2129d"/>
                                  <w:lock w:val="sdtLocked"/>
                                  <w:richText/>
                                </w:sdtPr>
                                <w:sdtContent>
                                  <w:r>
                                    <w:rPr>
                                      <w:sz w:val="22"/>
                                      <w:szCs w:val="22"/>
                                    </w:rPr>
                                    <w:t>3</w:t>
                                  </w:r>
                                </w:sdtContent>
                              </w:sdt>
                              <w:r>
                                <w:rPr>
                                  <w:sz w:val="22"/>
                                  <w:szCs w:val="22"/>
                                </w:rPr>
                                <w:t xml:space="preserve">) </w:t>
                              </w:r>
                              <w:r>
                                <w:rPr>
                                  <w:color w:val="000000"/>
                                  <w:sz w:val="22"/>
                                  <w:szCs w:val="22"/>
                                </w:rPr>
                                <w:t>yra Lietuvos Respublikoje turėdamas panaikintą arba atšauktą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4248a5e19a954e3897b89bdad1e417fb"/>
                        <w:lock w:val="sdtLocked"/>
                        <w:richText/>
                      </w:sdtPr>
                      <w:sdtContent>
                        <w:p>
                          <w:pPr>
                            <w:ind w:firstLine="720"/>
                            <w:jc w:val="both"/>
                            <w:rPr>
                              <w:sz w:val="22"/>
                            </w:rPr>
                          </w:pPr>
                          <w:sdt>
                            <w:sdtPr>
                              <w:alias w:val="Numeris"/>
                              <w:tag w:val="nr_4248a5e19a954e3897b89bdad1e417fb"/>
                              <w:lock w:val="sdtLocked"/>
                              <w:richText/>
                            </w:sdtPr>
                            <w:sdtContent>
                              <w:r>
                                <w:rPr>
                                  <w:sz w:val="22"/>
                                  <w:szCs w:val="22"/>
                                </w:rPr>
                                <w:t>7</w:t>
                              </w:r>
                            </w:sdtContent>
                          </w:sdt>
                          <w:r>
                            <w:rPr>
                              <w:sz w:val="22"/>
                              <w:szCs w:val="22"/>
                            </w:rPr>
                            <w:t>. Migracijos departamentas konsultuoja kitas Šengeno valstybes dėl leidimo gyventi išdavimo tokiam užsieniečiui, kai įspėjimą dėl jo neįsileidimo pagal Reglamento (EB) Nr. 1987/2006 nuostatas yra pateikusi Lietuvos Respublika. Jeigu kita Šengeno valstybė po konsultacijų su Lietuvos Respublika užsieniečiui išduoda leidimą gyventi arba jeigu šis jau turi vienos iš susitariančiųjų šalių išduotą galiojantį leidimą gyventi, įspėjimas dėl neįsileidimo pagal Reglamento (EB) Nr. 1987/2006 nuostatas centrinėje antrosios kartos Šengeno informacinėje sistemoje atšaukiamas, tačiau duomenys apie tokį užsienietį turi būti perkelti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453c12f5e4ff48cc87f07cb6a01aa006"/>
                            <w:lock w:val="sdtLocked"/>
                            <w:richText/>
                          </w:sdtPr>
                          <w:sdtContent>
                            <w:p>
                              <w:pPr>
                                <w:ind w:firstLine="720"/>
                                <w:jc w:val="both"/>
                                <w:rPr>
                                  <w:sz w:val="22"/>
                                  <w:szCs w:val="22"/>
                                </w:rPr>
                              </w:pPr>
                              <w:sdt>
                                <w:sdtPr>
                                  <w:alias w:val="Numeris"/>
                                  <w:tag w:val="nr_453c12f5e4ff48cc87f07cb6a01aa006"/>
                                  <w:lock w:val="sdtLocked"/>
                                  <w:richText/>
                                </w:sdtPr>
                                <w:sdtContent>
                                  <w:r>
                                    <w:rPr>
                                      <w:sz w:val="22"/>
                                      <w:szCs w:val="22"/>
                                    </w:rPr>
                                    <w:t>2</w:t>
                                  </w:r>
                                </w:sdtContent>
                              </w:sdt>
                              <w:r>
                                <w:rPr>
                                  <w:sz w:val="22"/>
                                  <w:szCs w:val="22"/>
                                </w:rPr>
                                <w:t>) mokytis pagal bendrojo ugdymo arba profesinio mokymo programą (programas) švietimo, mokslo ir sporto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ee9c7dba29dc4242949bdab4988878c2"/>
                        <w:lock w:val="sdtLocked"/>
                        <w:richText/>
                      </w:sdtPr>
                      <w:sdtContent>
                        <w:p>
                          <w:pPr>
                            <w:pBdr>
                              <w:top w:val="nil"/>
                              <w:left w:val="nil"/>
                              <w:bottom w:val="nil"/>
                              <w:right w:val="nil"/>
                              <w:between w:val="nil"/>
                              <w:bar w:val="nil"/>
                            </w:pBdr>
                            <w:ind w:firstLine="720"/>
                            <w:jc w:val="both"/>
                            <w:rPr>
                              <w:sz w:val="22"/>
                            </w:rPr>
                          </w:pPr>
                          <w:sdt>
                            <w:sdtPr>
                              <w:alias w:val="Numeris"/>
                              <w:tag w:val="nr_ee9c7dba29dc4242949bdab4988878c2"/>
                              <w:lock w:val="sdtLocked"/>
                              <w:richText/>
                            </w:sdtPr>
                            <w:sdtContent>
                              <w:r>
                                <w:rPr>
                                  <w:sz w:val="22"/>
                                  <w:szCs w:val="22"/>
                                  <w:bdr w:val="nil"/>
                                </w:rPr>
                                <w:t>3</w:t>
                              </w:r>
                            </w:sdtContent>
                          </w:sdt>
                          <w:r>
                            <w:rPr>
                              <w:sz w:val="22"/>
                              <w:szCs w:val="22"/>
                              <w:bdr w:val="nil"/>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379f15a0a345495b9c86cf7cae8916d2"/>
                            <w:lock w:val="sdtLocked"/>
                            <w:richText/>
                          </w:sdtPr>
                          <w:sdtContent>
                            <w:p>
                              <w:pPr>
                                <w:ind w:firstLine="720"/>
                                <w:jc w:val="both"/>
                                <w:rPr>
                                  <w:sz w:val="22"/>
                                </w:rPr>
                              </w:pPr>
                              <w:sdt>
                                <w:sdtPr>
                                  <w:alias w:val="Numeris"/>
                                  <w:tag w:val="nr_379f15a0a345495b9c86cf7cae8916d2"/>
                                  <w:lock w:val="sdtLocked"/>
                                  <w:richText/>
                                </w:sdtPr>
                                <w:sdtContent>
                                  <w:r>
                                    <w:rPr>
                                      <w:sz w:val="22"/>
                                      <w:szCs w:val="22"/>
                                    </w:rPr>
                                    <w:t>3</w:t>
                                  </w:r>
                                </w:sdtContent>
                              </w:sdt>
                              <w:r>
                                <w:rPr>
                                  <w:sz w:val="22"/>
                                  <w:szCs w:val="22"/>
                                </w:rPr>
                                <w:t>) dėl jo kita Šengeno valstybė į centrinę antrosios kartos Šengeno informacinę sistemą yra įtraukusi įspėjimą dėl neįsileidimo pagal Reglamento (EB) Nr. 1987/2006 nuostatas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10"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7"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8"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d5ed2d2fad445aa9ad4fce29a78d68a"/>
                        <w:lock w:val="sdtLocked"/>
                        <w:richText/>
                      </w:sdtPr>
                      <w:sdtContent>
                        <w:p>
                          <w:pPr>
                            <w:pBdr>
                              <w:top w:val="nil"/>
                              <w:left w:val="nil"/>
                              <w:bottom w:val="nil"/>
                              <w:right w:val="nil"/>
                              <w:between w:val="nil"/>
                              <w:bar w:val="nil"/>
                            </w:pBdr>
                            <w:ind w:firstLine="720"/>
                            <w:jc w:val="both"/>
                            <w:rPr>
                              <w:sz w:val="22"/>
                            </w:rPr>
                          </w:pPr>
                          <w:sdt>
                            <w:sdtPr>
                              <w:alias w:val="Numeris"/>
                              <w:tag w:val="nr_8d5ed2d2fad445aa9ad4fce29a78d68a"/>
                              <w:lock w:val="sdtLocked"/>
                              <w:richText/>
                            </w:sdtPr>
                            <w:sdtContent>
                              <w:r>
                                <w:rPr>
                                  <w:rFonts w:eastAsia="Arial Unicode MS"/>
                                  <w:sz w:val="22"/>
                                  <w:szCs w:val="22"/>
                                  <w:bdr w:val="nil"/>
                                </w:rPr>
                                <w:t>1</w:t>
                              </w:r>
                              <w:r>
                                <w:rPr>
                                  <w:rFonts w:eastAsia="Arial Unicode MS"/>
                                  <w:sz w:val="22"/>
                                  <w:szCs w:val="22"/>
                                  <w:bdr w:val="nil"/>
                                  <w:vertAlign w:val="superscript"/>
                                </w:rPr>
                                <w:t>1</w:t>
                              </w:r>
                            </w:sdtContent>
                          </w:sdt>
                          <w:r>
                            <w:rPr>
                              <w:rFonts w:eastAsia="Arial Unicode MS"/>
                              <w:sz w:val="22"/>
                              <w:szCs w:val="22"/>
                              <w:bdr w:val="nil"/>
                            </w:rPr>
                            <w:t>. Šio Įstatymo 11 straipsnio 2–5 dalyse nurodytas užsienietis teisėto buvimo Lietuvos Respublikoje laikotarpiu gali dirbti Lietuvos Respublikoje, jeigu jam yra išduotas leidimas dirbti arba jis atitinka šio Įstatymo 58 straipsnio 7–13 ar 15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e204be2cca504a2c9a0a51b8f6ee0ffe"/>
                    <w:lock w:val="sdtLocked"/>
                    <w:richText/>
                  </w:sdtPr>
                  <w:sdtContent>
                    <w:p>
                      <w:pPr>
                        <w:ind w:firstLine="720"/>
                        <w:jc w:val="both"/>
                        <w:rPr>
                          <w:sz w:val="22"/>
                          <w:szCs w:val="22"/>
                        </w:rPr>
                      </w:pPr>
                      <w:sdt>
                        <w:sdtPr>
                          <w:alias w:val="Numeris"/>
                          <w:tag w:val="nr_e204be2cca504a2c9a0a51b8f6ee0ffe"/>
                          <w:lock w:val="sdtLocked"/>
                          <w:richText/>
                        </w:sdtPr>
                        <w:sdtContent>
                          <w:r>
                            <w:rPr>
                              <w:b/>
                              <w:sz w:val="22"/>
                              <w:szCs w:val="22"/>
                            </w:rPr>
                            <w:t>69</w:t>
                          </w:r>
                        </w:sdtContent>
                      </w:sdt>
                      <w:r>
                        <w:rPr>
                          <w:b/>
                          <w:sz w:val="22"/>
                          <w:szCs w:val="22"/>
                        </w:rPr>
                        <w:t xml:space="preserve"> straipsnis. </w:t>
                      </w:r>
                      <w:sdt>
                        <w:sdtPr>
                          <w:alias w:val="Pavadinimas"/>
                          <w:tag w:val="title_e204be2cca504a2c9a0a51b8f6ee0ffe"/>
                          <w:lock w:val="sdtLocked"/>
                          <w:richText/>
                        </w:sdtPr>
                        <w:sdtContent>
                          <w:r>
                            <w:rPr>
                              <w:b/>
                              <w:sz w:val="22"/>
                              <w:szCs w:val="22"/>
                            </w:rPr>
                            <w:t>Prašymą suteikti prieglobstį gavusios institucijos veiksmai</w:t>
                          </w:r>
                        </w:sdtContent>
                      </w:sdt>
                    </w:p>
                    <w:sdt>
                      <w:sdtPr>
                        <w:alias w:val="69 str. 1 d."/>
                        <w:tag w:val="part_0af65f3eea4a4d3280f9c9171e6a1ab3"/>
                        <w:lock w:val="sdtLocked"/>
                        <w:richText/>
                      </w:sdtPr>
                      <w:sdtContent>
                        <w:p>
                          <w:pPr>
                            <w:ind w:firstLine="720"/>
                            <w:jc w:val="both"/>
                            <w:rPr>
                              <w:sz w:val="22"/>
                              <w:szCs w:val="22"/>
                            </w:rPr>
                          </w:pPr>
                          <w:sdt>
                            <w:sdtPr>
                              <w:alias w:val="Numeris"/>
                              <w:tag w:val="nr_0af65f3eea4a4d3280f9c9171e6a1ab3"/>
                              <w:lock w:val="sdtLocked"/>
                              <w:richText/>
                            </w:sdtPr>
                            <w:sdtContent>
                              <w:r>
                                <w:rPr>
                                  <w:sz w:val="22"/>
                                  <w:szCs w:val="22"/>
                                </w:rPr>
                                <w:t>1</w:t>
                              </w:r>
                            </w:sdtContent>
                          </w:sdt>
                          <w:r>
                            <w:rPr>
                              <w:sz w:val="22"/>
                              <w:szCs w:val="22"/>
                            </w:rPr>
                            <w:t>. Valstybės sienos apsaugos tarnybos ar Migracijos departamento, kuriems pateiktas užsieniečio prašymas suteikti prieglobstį, įgaliotas valstybės tarnautojas:</w:t>
                          </w:r>
                        </w:p>
                        <w:sdt>
                          <w:sdtPr>
                            <w:alias w:val="69 str. 1 d. 1 p."/>
                            <w:tag w:val="part_75ad5b5d4c404822ad01ed18bab67b9b"/>
                            <w:lock w:val="sdtLocked"/>
                            <w:richText/>
                          </w:sdtPr>
                          <w:sdtContent>
                            <w:p>
                              <w:pPr>
                                <w:ind w:firstLine="720"/>
                                <w:jc w:val="both"/>
                                <w:rPr>
                                  <w:sz w:val="22"/>
                                  <w:szCs w:val="22"/>
                                  <w:lang w:eastAsia="lt-LT"/>
                                </w:rPr>
                              </w:pPr>
                              <w:sdt>
                                <w:sdtPr>
                                  <w:alias w:val="Numeris"/>
                                  <w:tag w:val="nr_75ad5b5d4c404822ad01ed18bab67b9b"/>
                                  <w:lock w:val="sdtLocked"/>
                                  <w:richText/>
                                </w:sdtPr>
                                <w:sdtContent>
                                  <w:r>
                                    <w:rPr>
                                      <w:sz w:val="22"/>
                                      <w:szCs w:val="22"/>
                                      <w:lang w:eastAsia="lt-LT"/>
                                    </w:rPr>
                                    <w:t>1</w:t>
                                  </w:r>
                                </w:sdtContent>
                              </w:sdt>
                              <w:r>
                                <w:rPr>
                                  <w:sz w:val="22"/>
                                  <w:szCs w:val="22"/>
                                  <w:lang w:eastAsia="lt-LT"/>
                                </w:rPr>
                                <w:t>) nurodo prašyme suteikti prieglobstį arba šio prašymo protokole, jeigu prašymas nebuvo pateiktas raštu, jo pateikimo datą, laiką ir vietą;</w:t>
                              </w:r>
                            </w:p>
                          </w:sdtContent>
                        </w:sdt>
                        <w:sdt>
                          <w:sdtPr>
                            <w:alias w:val="69 str. 1 d. 2 p."/>
                            <w:tag w:val="part_07b6982c9e4c4a7d92e09cd93cfa1b08"/>
                            <w:lock w:val="sdtLocked"/>
                            <w:richText/>
                          </w:sdtPr>
                          <w:sdtContent>
                            <w:p>
                              <w:pPr>
                                <w:ind w:firstLine="720"/>
                                <w:jc w:val="both"/>
                                <w:rPr>
                                  <w:sz w:val="22"/>
                                  <w:szCs w:val="22"/>
                                  <w:lang w:eastAsia="lt-LT"/>
                                </w:rPr>
                              </w:pPr>
                              <w:sdt>
                                <w:sdtPr>
                                  <w:alias w:val="Numeris"/>
                                  <w:tag w:val="nr_07b6982c9e4c4a7d92e09cd93cfa1b08"/>
                                  <w:lock w:val="sdtLocked"/>
                                  <w:richText/>
                                </w:sdtPr>
                                <w:sdtContent>
                                  <w:r>
                                    <w:rPr>
                                      <w:sz w:val="22"/>
                                      <w:szCs w:val="22"/>
                                      <w:lang w:eastAsia="lt-LT"/>
                                    </w:rPr>
                                    <w:t>2</w:t>
                                  </w:r>
                                </w:sdtContent>
                              </w:sdt>
                              <w:r>
                                <w:rPr>
                                  <w:sz w:val="22"/>
                                  <w:szCs w:val="22"/>
                                  <w:lang w:eastAsia="lt-LT"/>
                                </w:rPr>
                                <w:t>) paima visus turimus prieglobsčio prašytojo dokumentus ir kelionės bilietus;</w:t>
                              </w:r>
                            </w:p>
                          </w:sdtContent>
                        </w:sdt>
                        <w:sdt>
                          <w:sdtPr>
                            <w:alias w:val="69 str. 1 d. 3 p."/>
                            <w:tag w:val="part_97e3850be0284be8847e6dea60e91170"/>
                            <w:lock w:val="sdtLocked"/>
                            <w:richText/>
                          </w:sdtPr>
                          <w:sdtContent>
                            <w:p>
                              <w:pPr>
                                <w:ind w:firstLine="720"/>
                                <w:jc w:val="both"/>
                                <w:rPr>
                                  <w:sz w:val="22"/>
                                  <w:szCs w:val="22"/>
                                  <w:lang w:eastAsia="lt-LT"/>
                                </w:rPr>
                              </w:pPr>
                              <w:sdt>
                                <w:sdtPr>
                                  <w:alias w:val="Numeris"/>
                                  <w:tag w:val="nr_97e3850be0284be8847e6dea60e91170"/>
                                  <w:lock w:val="sdtLocked"/>
                                  <w:richText/>
                                </w:sdtPr>
                                <w:sdtContent>
                                  <w:r>
                                    <w:rPr>
                                      <w:sz w:val="22"/>
                                      <w:szCs w:val="22"/>
                                      <w:lang w:eastAsia="lt-LT"/>
                                    </w:rPr>
                                    <w:t>3</w:t>
                                  </w:r>
                                </w:sdtContent>
                              </w:sdt>
                              <w:r>
                                <w:rPr>
                                  <w:sz w:val="22"/>
                                  <w:szCs w:val="22"/>
                                  <w:lang w:eastAsia="lt-LT"/>
                                </w:rPr>
                                <w:t>) gerbdamas žmogaus orumą atlieka prieglobsčio prašytojo asmens ir jo daiktų apžiūrą;</w:t>
                              </w:r>
                            </w:p>
                          </w:sdtContent>
                        </w:sdt>
                        <w:sdt>
                          <w:sdtPr>
                            <w:alias w:val="69 str. 1 d. 4 p."/>
                            <w:tag w:val="part_cc5afed330cd469787a6e35727461783"/>
                            <w:lock w:val="sdtLocked"/>
                            <w:richText/>
                          </w:sdtPr>
                          <w:sdtContent>
                            <w:p>
                              <w:pPr>
                                <w:ind w:firstLine="720"/>
                                <w:jc w:val="both"/>
                                <w:rPr>
                                  <w:sz w:val="22"/>
                                  <w:szCs w:val="22"/>
                                  <w:lang w:eastAsia="lt-LT"/>
                                </w:rPr>
                              </w:pPr>
                              <w:sdt>
                                <w:sdtPr>
                                  <w:alias w:val="Numeris"/>
                                  <w:tag w:val="nr_cc5afed330cd469787a6e35727461783"/>
                                  <w:lock w:val="sdtLocked"/>
                                  <w:richText/>
                                </w:sdtPr>
                                <w:sdtContent>
                                  <w:r>
                                    <w:rPr>
                                      <w:sz w:val="22"/>
                                      <w:szCs w:val="22"/>
                                      <w:lang w:eastAsia="lt-LT"/>
                                    </w:rPr>
                                    <w:t>4</w:t>
                                  </w:r>
                                </w:sdtContent>
                              </w:sdt>
                              <w:r>
                                <w:rPr>
                                  <w:sz w:val="22"/>
                                  <w:szCs w:val="22"/>
                                  <w:lang w:eastAsia="lt-LT"/>
                                </w:rPr>
                                <w:t>) apklausia prieglobsčio prašytoją ir, remdamasis pateiktais dokumentais ir surinkta informacija, įvertina, ar prieglobsčio prašytojas turi specialiųjų poreikių;</w:t>
                              </w:r>
                            </w:p>
                          </w:sdtContent>
                        </w:sdt>
                        <w:sdt>
                          <w:sdtPr>
                            <w:alias w:val="69 str. 1 d. 5 p."/>
                            <w:tag w:val="part_7a6f9a501e4a49b68529d8b8e6fd922d"/>
                            <w:lock w:val="sdtLocked"/>
                            <w:richText/>
                          </w:sdtPr>
                          <w:sdtContent>
                            <w:p>
                              <w:pPr>
                                <w:ind w:firstLine="720"/>
                                <w:jc w:val="both"/>
                                <w:rPr>
                                  <w:sz w:val="22"/>
                                  <w:szCs w:val="22"/>
                                  <w:lang w:eastAsia="lt-LT"/>
                                </w:rPr>
                              </w:pPr>
                              <w:sdt>
                                <w:sdtPr>
                                  <w:alias w:val="Numeris"/>
                                  <w:tag w:val="nr_7a6f9a501e4a49b68529d8b8e6fd922d"/>
                                  <w:lock w:val="sdtLocked"/>
                                  <w:richText/>
                                </w:sdtPr>
                                <w:sdtContent>
                                  <w:r>
                                    <w:rPr>
                                      <w:sz w:val="22"/>
                                      <w:szCs w:val="22"/>
                                      <w:lang w:eastAsia="lt-LT"/>
                                    </w:rPr>
                                    <w:t>5</w:t>
                                  </w:r>
                                </w:sdtContent>
                              </w:sdt>
                              <w:r>
                                <w:rPr>
                                  <w:sz w:val="22"/>
                                  <w:szCs w:val="22"/>
                                  <w:lang w:eastAsia="lt-LT"/>
                                </w:rPr>
                                <w:t>) paima prieglobsčio prašytojo pirštų atspaudus;</w:t>
                              </w:r>
                            </w:p>
                          </w:sdtContent>
                        </w:sdt>
                        <w:sdt>
                          <w:sdtPr>
                            <w:alias w:val="69 str. 1 d. 6 p."/>
                            <w:tag w:val="part_f562402040d8445193241769478e53c5"/>
                            <w:lock w:val="sdtLocked"/>
                            <w:richText/>
                          </w:sdtPr>
                          <w:sdtContent>
                            <w:p>
                              <w:pPr>
                                <w:ind w:firstLine="720"/>
                                <w:jc w:val="both"/>
                                <w:rPr>
                                  <w:sz w:val="22"/>
                                  <w:szCs w:val="22"/>
                                  <w:lang w:eastAsia="lt-LT"/>
                                </w:rPr>
                              </w:pPr>
                              <w:sdt>
                                <w:sdtPr>
                                  <w:alias w:val="Numeris"/>
                                  <w:tag w:val="nr_f562402040d8445193241769478e53c5"/>
                                  <w:lock w:val="sdtLocked"/>
                                  <w:richText/>
                                </w:sdtPr>
                                <w:sdtContent>
                                  <w:r>
                                    <w:rPr>
                                      <w:sz w:val="22"/>
                                      <w:szCs w:val="22"/>
                                      <w:lang w:eastAsia="lt-LT"/>
                                    </w:rPr>
                                    <w:t>6</w:t>
                                  </w:r>
                                </w:sdtContent>
                              </w:sdt>
                              <w:r>
                                <w:rPr>
                                  <w:sz w:val="22"/>
                                  <w:szCs w:val="22"/>
                                  <w:lang w:eastAsia="lt-LT"/>
                                </w:rPr>
                                <w:t>) nufotografuoja prieglobsčio prašytoją.</w:t>
                              </w:r>
                            </w:p>
                          </w:sdtContent>
                        </w:sdt>
                      </w:sdtContent>
                    </w:sdt>
                    <w:sdt>
                      <w:sdtPr>
                        <w:alias w:val="69 str. 2 d."/>
                        <w:tag w:val="part_62317a87b9814dc89c1b98d5753e548f"/>
                        <w:lock w:val="sdtLocked"/>
                        <w:richText/>
                      </w:sdtPr>
                      <w:sdtContent>
                        <w:p>
                          <w:pPr>
                            <w:ind w:firstLine="720"/>
                            <w:jc w:val="both"/>
                            <w:rPr>
                              <w:sz w:val="22"/>
                              <w:szCs w:val="22"/>
                              <w:lang w:eastAsia="lt-LT"/>
                            </w:rPr>
                          </w:pPr>
                          <w:sdt>
                            <w:sdtPr>
                              <w:alias w:val="Numeris"/>
                              <w:tag w:val="nr_62317a87b9814dc89c1b98d5753e548f"/>
                              <w:lock w:val="sdtLocked"/>
                              <w:richText/>
                            </w:sdtPr>
                            <w:sdtContent>
                              <w:r>
                                <w:rPr>
                                  <w:sz w:val="22"/>
                                  <w:szCs w:val="22"/>
                                  <w:lang w:eastAsia="lt-LT"/>
                                </w:rPr>
                                <w:t>2</w:t>
                              </w:r>
                            </w:sdtContent>
                          </w:sdt>
                          <w:r>
                            <w:rPr>
                              <w:sz w:val="22"/>
                              <w:szCs w:val="22"/>
                              <w:lang w:eastAsia="lt-LT"/>
                            </w:rPr>
                            <w:t>. Prieglobsčio prašytojo asmens tapatybę patvirtinantys dokumentai lieka jo asmens byloje tol, kol nagrinėjamas jo prašymas suteikti prieglobstį.</w:t>
                          </w:r>
                        </w:p>
                      </w:sdtContent>
                    </w:sdt>
                    <w:sdt>
                      <w:sdtPr>
                        <w:alias w:val="69 str. 3 d."/>
                        <w:tag w:val="part_39025b66d1f04dac90406f4b07e9e6f0"/>
                        <w:lock w:val="sdtLocked"/>
                        <w:richText/>
                      </w:sdtPr>
                      <w:sdtContent>
                        <w:p>
                          <w:pPr>
                            <w:ind w:firstLine="720"/>
                            <w:jc w:val="both"/>
                            <w:rPr>
                              <w:sz w:val="22"/>
                              <w:szCs w:val="22"/>
                            </w:rPr>
                          </w:pPr>
                          <w:sdt>
                            <w:sdtPr>
                              <w:alias w:val="Numeris"/>
                              <w:tag w:val="nr_39025b66d1f04dac90406f4b07e9e6f0"/>
                              <w:lock w:val="sdtLocked"/>
                              <w:richText/>
                            </w:sdtPr>
                            <w:sdtContent>
                              <w:r>
                                <w:rPr>
                                  <w:sz w:val="22"/>
                                  <w:szCs w:val="22"/>
                                </w:rPr>
                                <w:t>3</w:t>
                              </w:r>
                            </w:sdtContent>
                          </w:sdt>
                          <w:r>
                            <w:rPr>
                              <w:sz w:val="22"/>
                              <w:szCs w:val="22"/>
                            </w:rPr>
                            <w:t>. Valstybės sienos apsaugos tarnybos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Valstybės sienos apsaugos tarnybos arba Migracijos departamento įgaliotas valstybės tarnautojas, atlikęs šio straipsnio 1 dalyje nurodytus veiksmus, paimtus pirštų atspaudus perduoda vidaus reikalų ministro įgaliotai institucijai.</w:t>
                          </w:r>
                        </w:p>
                      </w:sdtContent>
                    </w:sdt>
                    <w:sdt>
                      <w:sdtPr>
                        <w:alias w:val="69 str. 4 d."/>
                        <w:tag w:val="part_69497d3596be477181c0de163fe05683"/>
                        <w:lock w:val="sdtLocked"/>
                        <w:richText/>
                      </w:sdtPr>
                      <w:sdtContent>
                        <w:p>
                          <w:pPr>
                            <w:ind w:firstLine="720"/>
                            <w:jc w:val="both"/>
                            <w:rPr>
                              <w:sz w:val="22"/>
                              <w:szCs w:val="22"/>
                              <w:lang w:eastAsia="lt-LT"/>
                            </w:rPr>
                          </w:pPr>
                          <w:sdt>
                            <w:sdtPr>
                              <w:alias w:val="Numeris"/>
                              <w:tag w:val="nr_69497d3596be477181c0de163fe05683"/>
                              <w:lock w:val="sdtLocked"/>
                              <w:richText/>
                            </w:sdtPr>
                            <w:sdtContent>
                              <w:r>
                                <w:rPr>
                                  <w:sz w:val="22"/>
                                  <w:szCs w:val="22"/>
                                  <w:lang w:eastAsia="lt-LT"/>
                                </w:rPr>
                                <w:t>4</w:t>
                              </w:r>
                            </w:sdtContent>
                          </w:sdt>
                          <w:r>
                            <w:rPr>
                              <w:sz w:val="22"/>
                              <w:szCs w:val="22"/>
                              <w:lang w:eastAsia="lt-LT"/>
                            </w:rPr>
                            <w:t>. Vidaus reikalų ministro įgaliota institucija užtikrina duomenų apie prieglobsčio prašytojų</w:t>
                          </w:r>
                          <w:r>
                            <w:rPr>
                              <w:bCs/>
                              <w:sz w:val="22"/>
                              <w:szCs w:val="22"/>
                              <w:lang w:eastAsia="lt-LT"/>
                            </w:rPr>
                            <w:t xml:space="preserve"> </w:t>
                          </w:r>
                          <w:r>
                            <w:rPr>
                              <w:sz w:val="22"/>
                              <w:szCs w:val="22"/>
                              <w:lang w:eastAsia="lt-LT"/>
                            </w:rPr>
                            <w:t>pirštų atspaudus apsaugą.</w:t>
                          </w:r>
                        </w:p>
                      </w:sdtContent>
                    </w:sdt>
                    <w:sdt>
                      <w:sdtPr>
                        <w:alias w:val="69 str. 5 d."/>
                        <w:tag w:val="part_d2b22fc487e74cb5bcd5f1fe97d6800e"/>
                        <w:lock w:val="sdtLocked"/>
                        <w:richText/>
                      </w:sdtPr>
                      <w:sdtContent>
                        <w:p>
                          <w:pPr>
                            <w:ind w:firstLine="720"/>
                            <w:jc w:val="both"/>
                            <w:rPr>
                              <w:b/>
                              <w:sz w:val="22"/>
                            </w:rPr>
                          </w:pPr>
                          <w:sdt>
                            <w:sdtPr>
                              <w:alias w:val="Numeris"/>
                              <w:tag w:val="nr_d2b22fc487e74cb5bcd5f1fe97d6800e"/>
                              <w:lock w:val="sdtLocked"/>
                              <w:richText/>
                            </w:sdtPr>
                            <w:sdtContent>
                              <w:r>
                                <w:rPr>
                                  <w:sz w:val="22"/>
                                  <w:szCs w:val="22"/>
                                  <w:lang w:eastAsia="lt-LT"/>
                                </w:rPr>
                                <w:t>5</w:t>
                              </w:r>
                            </w:sdtContent>
                          </w:sdt>
                          <w:r>
                            <w:rPr>
                              <w:sz w:val="22"/>
                              <w:szCs w:val="22"/>
                              <w:lang w:eastAsia="lt-LT"/>
                            </w:rPr>
                            <w:t>. Veiksmai, išvardyti šio straipsnio 1 ir 3 dalyse, atliekami per 24 valandas nuo prašymo suteikti prieglobstį pateikimo momento.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c5e7b513420f4399a62464ba8ab074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5e7b513420f4399a62464ba8ab0741d"/>
                                  <w:lock w:val="sdtLocked"/>
                                  <w:richText/>
                                </w:sdtPr>
                                <w:sdtContent>
                                  <w:r>
                                    <w:rPr>
                                      <w:rFonts w:eastAsia="Arial Unicode MS"/>
                                      <w:sz w:val="22"/>
                                      <w:szCs w:val="22"/>
                                      <w:bdr w:val="nil"/>
                                    </w:rPr>
                                    <w:t>7</w:t>
                                  </w:r>
                                </w:sdtContent>
                              </w:sdt>
                              <w:r>
                                <w:rPr>
                                  <w:rFonts w:eastAsia="Arial Unicode MS"/>
                                  <w:sz w:val="22"/>
                                  <w:szCs w:val="22"/>
                                  <w:bdr w:val="nil"/>
                                </w:rPr>
                                <w:t>) nemokamai gauti būtinąją medicinos pagalbą, psichologinę pagalbą ir socialines paslaugas Valstybės sienos apsaugos tarnyboje, Pabėgėlių priėmimo centre</w:t>
                              </w:r>
                              <w:r>
                                <w:rPr>
                                  <w:rFonts w:eastAsia="Arial Unicode MS"/>
                                  <w:bCs/>
                                  <w:sz w:val="22"/>
                                  <w:szCs w:val="22"/>
                                  <w:bdr w:val="nil"/>
                                </w:rPr>
                                <w:t xml:space="preserve"> </w:t>
                              </w:r>
                              <w:r>
                                <w:rPr>
                                  <w:rFonts w:eastAsia="Arial Unicode MS"/>
                                  <w:sz w:val="22"/>
                                  <w:szCs w:val="22"/>
                                  <w:bdr w:val="nil"/>
                                </w:rPr>
                                <w:t>ar kitoje apgyvendinimo vietoje;</w:t>
                              </w:r>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sdt>
                      <w:sdtPr>
                        <w:alias w:val="71 str. 3 d."/>
                        <w:tag w:val="part_c4cbdc175d11405fbb54930a5b15a1e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4cbdc175d11405fbb54930a5b15a1eb"/>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xml:space="preserve">. Teisę likti Lietuvos Respublikos teritorijoje turintiems prieglobsčio prašytojams, gyvenantiems </w:t>
                          </w:r>
                          <w:r>
                            <w:rPr>
                              <w:rFonts w:eastAsia="Arial Unicode MS"/>
                              <w:sz w:val="22"/>
                              <w:szCs w:val="22"/>
                              <w:bdr w:val="nil"/>
                            </w:rPr>
                            <w:t xml:space="preserve">Lietuvos Respublikos institucijų paskirtose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sdtContent>
                    </w:sdt>
                    <w:sdt>
                      <w:sdtPr>
                        <w:alias w:val="76 str. 6 d."/>
                        <w:tag w:val="part_085342514e5f45989900d83fddb5d9fe"/>
                        <w:lock w:val="sdtLocked"/>
                        <w:richText/>
                      </w:sdtPr>
                      <w:sdtContent>
                        <w:p>
                          <w:pPr>
                            <w:pBdr>
                              <w:top w:val="nil"/>
                              <w:left w:val="nil"/>
                              <w:bottom w:val="nil"/>
                              <w:right w:val="nil"/>
                              <w:between w:val="nil"/>
                              <w:bar w:val="nil"/>
                            </w:pBdr>
                            <w:ind w:firstLine="720"/>
                            <w:jc w:val="both"/>
                            <w:rPr>
                              <w:sz w:val="22"/>
                            </w:rPr>
                          </w:pPr>
                          <w:sdt>
                            <w:sdtPr>
                              <w:alias w:val="Numeris"/>
                              <w:tag w:val="nr_085342514e5f45989900d83fddb5d9f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fa3d63aa12944d04b2728deae4688847"/>
                        <w:lock w:val="sdtLocked"/>
                        <w:richText/>
                      </w:sdtPr>
                      <w:sdtContent>
                        <w:p>
                          <w:pPr>
                            <w:pBdr>
                              <w:top w:val="nil"/>
                              <w:left w:val="nil"/>
                              <w:bottom w:val="nil"/>
                              <w:right w:val="nil"/>
                              <w:between w:val="nil"/>
                              <w:bar w:val="nil"/>
                            </w:pBdr>
                            <w:ind w:firstLine="720"/>
                            <w:jc w:val="both"/>
                          </w:pPr>
                          <w:sdt>
                            <w:sdtPr>
                              <w:alias w:val="Numeris"/>
                              <w:tag w:val="nr_fa3d63aa12944d04b2728deae4688847"/>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4"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5"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5"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6"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4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8"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b34f5d5298f04fb687566c135048f6ca"/>
                    <w:lock w:val="sdtLocked"/>
                    <w:richText/>
                  </w:sdtPr>
                  <w:sdtContent>
                    <w:p>
                      <w:pPr>
                        <w:ind w:firstLine="720"/>
                        <w:jc w:val="both"/>
                      </w:pPr>
                      <w:sdt>
                        <w:sdtPr>
                          <w:alias w:val="Numeris"/>
                          <w:tag w:val="nr_b34f5d5298f04fb687566c135048f6ca"/>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Lietuvos Respublikos valstybės, Europos Sąjungos fondų, tarptautinių organizacijų, Lietuvos Respublikos fizinių ir juridinių asmenų įsteigtų humanitarinės pagalbos fondų, nevyriausybinių organizacijų lėšomis.</w:t>
                      </w:r>
                      <w:r>
                        <w:t xml:space="preserve"> </w:t>
                      </w:r>
                    </w:p>
                    <w:p>
                      <w:pPr>
                        <w:jc w:val="both"/>
                      </w:pPr>
                      <w:r>
                        <w:rPr>
                          <w:rFonts w:eastAsia="MS Mincho"/>
                          <w:i/>
                          <w:iCs/>
                          <w:sz w:val="20"/>
                        </w:rPr>
                        <w:t>Straipsnio pakeitimai:</w:t>
                      </w:r>
                    </w:p>
                    <w:p>
                      <w:pPr>
                        <w:jc w:val="both"/>
                      </w:pPr>
                      <w:r>
                        <w:rPr>
                          <w:rFonts w:eastAsia="MS Mincho"/>
                          <w:i/>
                          <w:iCs/>
                          <w:sz w:val="20"/>
                        </w:rPr>
                        <w:t xml:space="preserve">Nr. </w:t>
                      </w:r>
                      <w:hyperlink r:id="rId245"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46"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4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df04da062aeb48bd958351e138ac075b"/>
                    <w:lock w:val="sdtLocked"/>
                    <w:richText/>
                  </w:sdtPr>
                  <w:sdtContent>
                    <w:p>
                      <w:pPr>
                        <w:ind w:firstLine="720"/>
                        <w:jc w:val="both"/>
                        <w:rPr>
                          <w:color w:val="000000"/>
                          <w:sz w:val="22"/>
                          <w:szCs w:val="22"/>
                          <w:lang w:eastAsia="lt-LT"/>
                        </w:rPr>
                      </w:pPr>
                      <w:sdt>
                        <w:sdtPr>
                          <w:alias w:val="Numeris"/>
                          <w:tag w:val="nr_df04da062aeb48bd958351e138ac075b"/>
                          <w:lock w:val="sdtLocked"/>
                          <w:richText/>
                        </w:sdtPr>
                        <w:sdtContent>
                          <w:r>
                            <w:rPr>
                              <w:sz w:val="22"/>
                              <w:szCs w:val="22"/>
                            </w:rPr>
                            <w:t>1</w:t>
                          </w:r>
                        </w:sdtContent>
                      </w:sdt>
                      <w:r>
                        <w:rPr>
                          <w:sz w:val="22"/>
                          <w:szCs w:val="22"/>
                        </w:rPr>
                        <w:t>. Užsieniečiui,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8bad94caf8354145b8cd0b1b576034b2"/>
                    <w:lock w:val="sdtLocked"/>
                    <w:richText/>
                  </w:sdtPr>
                  <w:sdtContent>
                    <w:p>
                      <w:pPr>
                        <w:pBdr>
                          <w:top w:val="nil"/>
                          <w:left w:val="nil"/>
                          <w:bottom w:val="nil"/>
                          <w:right w:val="nil"/>
                          <w:between w:val="nil"/>
                          <w:bar w:val="nil"/>
                        </w:pBdr>
                        <w:tabs>
                          <w:tab w:val="left" w:pos="567"/>
                          <w:tab w:val="left" w:pos="851"/>
                        </w:tabs>
                        <w:ind w:firstLine="720"/>
                        <w:jc w:val="both"/>
                      </w:pPr>
                      <w:sdt>
                        <w:sdtPr>
                          <w:alias w:val="Numeris"/>
                          <w:tag w:val="nr_8bad94caf8354145b8cd0b1b576034b2"/>
                          <w:lock w:val="sdtLocked"/>
                          <w:richText/>
                        </w:sdtPr>
                        <w:sdtContent>
                          <w:r>
                            <w:rPr>
                              <w:rFonts w:eastAsia="Arial Unicode MS"/>
                              <w:sz w:val="22"/>
                              <w:szCs w:val="22"/>
                              <w:bdr w:val="nil"/>
                            </w:rPr>
                            <w:t>2</w:t>
                          </w:r>
                        </w:sdtContent>
                      </w:sdt>
                      <w:r>
                        <w:rPr>
                          <w:rFonts w:eastAsia="Arial Unicode MS"/>
                          <w:sz w:val="22"/>
                          <w:szCs w:val="22"/>
                          <w:bdr w:val="nil"/>
                        </w:rPr>
                        <w:t>. Skundą dėl sprendimo nesuteikti prieglobsčio, priimto išnagrinėjus prašymą suteikti prieglobstį iš esmės skubos tvarka, ir dėl sprendimo, priimto pagal šio Įstatymo 77 straipsnio 2 dalį, prieglobsčio prašytojas gali paduoti atitinkamam apygardos administraciniam teismui per 7 dienas nuo sprendimo įteikimo dienos.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70"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e2494f2a5fa1444d803f621f791411fe"/>
                        <w:lock w:val="sdtLocked"/>
                        <w:richText/>
                      </w:sdtPr>
                      <w:sdtContent>
                        <w:p>
                          <w:pPr>
                            <w:ind w:firstLine="720"/>
                            <w:jc w:val="both"/>
                            <w:rPr>
                              <w:sz w:val="22"/>
                              <w:szCs w:val="22"/>
                              <w:lang w:eastAsia="lt-LT"/>
                            </w:rPr>
                          </w:pPr>
                          <w:sdt>
                            <w:sdtPr>
                              <w:alias w:val="Numeris"/>
                              <w:tag w:val="nr_e2494f2a5fa1444d803f621f791411fe"/>
                              <w:lock w:val="sdtLocked"/>
                              <w:richText/>
                            </w:sdtPr>
                            <w:sdtContent>
                              <w:r>
                                <w:rPr>
                                  <w:sz w:val="22"/>
                                  <w:szCs w:val="22"/>
                                </w:rPr>
                                <w:t>1</w:t>
                              </w:r>
                            </w:sdtContent>
                          </w:sdt>
                          <w:r>
                            <w:rPr>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sz w:val="22"/>
                              <w:szCs w:val="22"/>
                              <w:vertAlign w:val="superscript"/>
                            </w:rPr>
                            <w:t>1</w:t>
                          </w:r>
                          <w:r>
                            <w:rPr>
                              <w:sz w:val="22"/>
                              <w:szCs w:val="22"/>
                            </w:rPr>
                            <w:t xml:space="preserve"> punkte nurodytais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1"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2"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5"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8fd56bc97be04bc4823f094490448251"/>
                        <w:lock w:val="sdtLocked"/>
                        <w:richText/>
                      </w:sdtPr>
                      <w:sdtContent>
                        <w:p>
                          <w:pPr>
                            <w:ind w:firstLine="720"/>
                            <w:jc w:val="both"/>
                            <w:rPr>
                              <w:sz w:val="22"/>
                              <w:szCs w:val="22"/>
                            </w:rPr>
                          </w:pPr>
                          <w:sdt>
                            <w:sdtPr>
                              <w:alias w:val="Numeris"/>
                              <w:tag w:val="nr_8fd56bc97be04bc4823f094490448251"/>
                              <w:lock w:val="sdtLocked"/>
                              <w:richText/>
                            </w:sdtPr>
                            <w:sdtContent>
                              <w:r>
                                <w:rPr>
                                  <w:sz w:val="22"/>
                                  <w:szCs w:val="22"/>
                                </w:rPr>
                                <w:t>1</w:t>
                              </w:r>
                            </w:sdtContent>
                          </w:sdt>
                          <w:r>
                            <w:rPr>
                              <w:sz w:val="22"/>
                              <w:szCs w:val="22"/>
                            </w:rPr>
                            <w:t>) dėl jo kita Šengeno valstybė į centrinę antrosios kartos Šengeno informacinę sistemą yra įtraukusi įspėjimą dėl neįsileidimo;</w:t>
                          </w:r>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8"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7"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9"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8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1"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2"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3"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4"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5"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6"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7"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8"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9"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90"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1"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2"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3"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4"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pr. 31 p."/>
            <w:tag w:val="part_1f2837e76f564f3786459c5f104f74df"/>
            <w:lock w:val="sdtLocked"/>
            <w:richText/>
          </w:sdtPr>
          <w:sdtContent>
            <w:p>
              <w:pPr>
                <w:pBdr>
                  <w:top w:val="nil"/>
                  <w:left w:val="nil"/>
                  <w:bottom w:val="nil"/>
                  <w:right w:val="nil"/>
                  <w:between w:val="nil"/>
                  <w:bar w:val="nil"/>
                </w:pBdr>
                <w:ind w:firstLine="720"/>
                <w:jc w:val="both"/>
                <w:rPr>
                  <w:rFonts w:eastAsia="MS Mincho"/>
                  <w:b/>
                  <w:bCs/>
                  <w:sz w:val="20"/>
                </w:rPr>
              </w:pPr>
              <w:sdt>
                <w:sdtPr>
                  <w:alias w:val="Numeris"/>
                  <w:tag w:val="nr_1f2837e76f564f3786459c5f104f74df"/>
                  <w:lock w:val="sdtLocked"/>
                  <w:richText/>
                </w:sdtPr>
                <w:sdtContent>
                  <w:r>
                    <w:rPr>
                      <w:rFonts w:eastAsia="Arial Unicode MS"/>
                      <w:sz w:val="22"/>
                      <w:szCs w:val="22"/>
                      <w:bdr w:val="nil"/>
                    </w:rPr>
                    <w:t>30</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6"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288727&amp;b="/>
  <Relationship Id="rId171" Type="http://schemas.openxmlformats.org/officeDocument/2006/relationships/hyperlink" TargetMode="External" Target="http://www3.lrs.lt/cgi-bin/preps2?a=414120&amp;b="/>
  <Relationship Id="rId172" Type="http://schemas.openxmlformats.org/officeDocument/2006/relationships/hyperlink" TargetMode="External" Target="http://www3.lrs.lt/cgi-bin/preps2?a=429704&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288727&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350406&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29704&amp;b="/>
  <Relationship Id="rId181" Type="http://schemas.openxmlformats.org/officeDocument/2006/relationships/hyperlink" TargetMode="External" Target="http://www3.lrs.lt/cgi-bin/preps2?a=19873&amp;b="/>
  <Relationship Id="rId182" Type="http://schemas.openxmlformats.org/officeDocument/2006/relationships/hyperlink" TargetMode="External" Target="http://www3.lrs.lt/cgi-bin/preps2?a=25838&amp;b="/>
  <Relationship Id="rId183" Type="http://schemas.openxmlformats.org/officeDocument/2006/relationships/hyperlink" TargetMode="External" Target="http://www3.lrs.lt/cgi-bin/preps2?a=46543&amp;b="/>
  <Relationship Id="rId184" Type="http://schemas.openxmlformats.org/officeDocument/2006/relationships/hyperlink" TargetMode="External" Target="http://www3.lrs.lt/cgi-bin/preps2?a=60133&amp;b="/>
  <Relationship Id="rId185" Type="http://schemas.openxmlformats.org/officeDocument/2006/relationships/hyperlink" TargetMode="External" Target="http://www3.lrs.lt/cgi-bin/preps2?a=69958&amp;b="/>
  <Relationship Id="rId186" Type="http://schemas.openxmlformats.org/officeDocument/2006/relationships/hyperlink" TargetMode="External" Target="http://www3.lrs.lt/cgi-bin/preps2?a=88562&amp;b="/>
  <Relationship Id="rId187" Type="http://schemas.openxmlformats.org/officeDocument/2006/relationships/hyperlink" TargetMode="External" Target="http://www3.lrs.lt/cgi-bin/preps2?a=94199&amp;b="/>
  <Relationship Id="rId188" Type="http://schemas.openxmlformats.org/officeDocument/2006/relationships/hyperlink" TargetMode="External" Target="http://www3.lrs.lt/cgi-bin/preps2?a=104679&amp;b="/>
  <Relationship Id="rId189" Type="http://schemas.openxmlformats.org/officeDocument/2006/relationships/hyperlink" TargetMode="External" Target="http://www3.lrs.lt/cgi-bin/preps2?a=111843&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04679&amp;b="/>
  <Relationship Id="rId191" Type="http://schemas.openxmlformats.org/officeDocument/2006/relationships/hyperlink" TargetMode="External" Target="http://www3.lrs.lt/cgi-bin/preps2?a=111837&amp;b="/>
  <Relationship Id="rId192" Type="http://schemas.openxmlformats.org/officeDocument/2006/relationships/hyperlink" TargetMode="External" Target="http://www3.lrs.lt/cgi-bin/preps2?a=139415&amp;b="/>
  <Relationship Id="rId193" Type="http://schemas.openxmlformats.org/officeDocument/2006/relationships/hyperlink" TargetMode="External" Target="http://www3.lrs.lt/cgi-bin/preps2?a=159541&amp;b="/>
  <Relationship Id="rId194" Type="http://schemas.openxmlformats.org/officeDocument/2006/relationships/hyperlink" TargetMode="External" Target="http://www3.lrs.lt/cgi-bin/preps2?a=209640&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350406&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29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53097&amp;b="/>
  <Relationship Id="rId202" Type="http://schemas.openxmlformats.org/officeDocument/2006/relationships/hyperlink" TargetMode="External" Target="http://www3.lrs.lt/cgi-bin/preps2?a=457912&amp;b="/>
  <Relationship Id="rId203" Type="http://schemas.openxmlformats.org/officeDocument/2006/relationships/hyperlink" TargetMode="External" Target="http://www3.lrs.lt/cgi-bin/preps2?a=476706&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14120&amp;b="/>
  <Relationship Id="rId208" Type="http://schemas.openxmlformats.org/officeDocument/2006/relationships/hyperlink" TargetMode="External" Target="http://www3.lrs.lt/cgi-bin/preps2?a=429704&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314800&amp;b="/>
  <Relationship Id="rId211" Type="http://schemas.openxmlformats.org/officeDocument/2006/relationships/hyperlink" TargetMode="External" Target="http://www3.lrs.lt/cgi-bin/preps2?a=476706&amp;b="/>
  <Relationship Id="rId212" Type="http://schemas.openxmlformats.org/officeDocument/2006/relationships/hyperlink" TargetMode="External" Target="http://www3.lrs.lt/cgi-bin/preps2?a=314800&amp;b="/>
  <Relationship Id="rId213" Type="http://schemas.openxmlformats.org/officeDocument/2006/relationships/hyperlink" TargetMode="External" Target="http://www3.lrs.lt/cgi-bin/preps2?a=476706&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314800&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350406&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350406&amp;b="/>
  <Relationship Id="rId225" Type="http://schemas.openxmlformats.org/officeDocument/2006/relationships/hyperlink" TargetMode="External" Target="http://www3.lrs.lt/cgi-bin/preps2?a=476706&amp;b="/>
  <Relationship Id="rId226" Type="http://schemas.openxmlformats.org/officeDocument/2006/relationships/hyperlink" TargetMode="External" Target="http://www3.lrs.lt/cgi-bin/preps2?a=350406&amp;b="/>
  <Relationship Id="rId227" Type="http://schemas.openxmlformats.org/officeDocument/2006/relationships/hyperlink" TargetMode="External" Target="http://www3.lrs.lt/cgi-bin/preps2?a=429704&amp;b="/>
  <Relationship Id="rId228" Type="http://schemas.openxmlformats.org/officeDocument/2006/relationships/hyperlink" TargetMode="External" Target="http://www3.lrs.lt/cgi-bin/preps2?a=414120&amp;b="/>
  <Relationship Id="rId229"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76706&amp;b="/>
  <Relationship Id="rId231" Type="http://schemas.openxmlformats.org/officeDocument/2006/relationships/hyperlink" TargetMode="External" Target="http://www3.lrs.lt/cgi-bin/preps2?a=288727&amp;b="/>
  <Relationship Id="rId232" Type="http://schemas.openxmlformats.org/officeDocument/2006/relationships/hyperlink" TargetMode="External" Target="http://www3.lrs.lt/cgi-bin/preps2?a=350406&amp;b="/>
  <Relationship Id="rId233" Type="http://schemas.openxmlformats.org/officeDocument/2006/relationships/hyperlink" TargetMode="External" Target="http://www3.lrs.lt/cgi-bin/preps2?a=429704&amp;b="/>
  <Relationship Id="rId234" Type="http://schemas.openxmlformats.org/officeDocument/2006/relationships/hyperlink" TargetMode="External" Target="http://www3.lrs.lt/cgi-bin/preps2?a=476706&amp;b="/>
  <Relationship Id="rId235" Type="http://schemas.openxmlformats.org/officeDocument/2006/relationships/hyperlink" TargetMode="External" Target="http://www3.lrs.lt/cgi-bin/preps2?a=288727&amp;b="/>
  <Relationship Id="rId236" Type="http://schemas.openxmlformats.org/officeDocument/2006/relationships/hyperlink" TargetMode="External" Target="http://www3.lrs.lt/cgi-bin/preps2?a=350406&amp;b="/>
  <Relationship Id="rId237" Type="http://schemas.openxmlformats.org/officeDocument/2006/relationships/hyperlink" TargetMode="External" Target="http://www3.lrs.lt/cgi-bin/preps2?a=476706&amp;b="/>
  <Relationship Id="rId238" Type="http://schemas.openxmlformats.org/officeDocument/2006/relationships/hyperlink" TargetMode="External" Target="http://www3.lrs.lt/cgi-bin/preps2?a=288727&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29704&amp;b="/>
  <Relationship Id="rId241" Type="http://schemas.openxmlformats.org/officeDocument/2006/relationships/hyperlink" TargetMode="External" Target="http://www3.lrs.lt/cgi-bin/preps2?a=288727&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29704&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14800&amp;b="/>
  <Relationship Id="rId247" Type="http://schemas.openxmlformats.org/officeDocument/2006/relationships/hyperlink" TargetMode="External" Target="http://www3.lrs.lt/cgi-bin/preps2?a=429704&amp;b="/>
  <Relationship Id="rId248" Type="http://schemas.openxmlformats.org/officeDocument/2006/relationships/hyperlink" TargetMode="External" Target="http://www3.lrs.lt/cgi-bin/preps2?a=476706&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9aee0912e3c443cd8bc9168506bfe38b"/>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f41f6738f3394ffcb67a26882659a9d1"/>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609fdc238a6944eaa217d1bdbcd14c57"/>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c71fbee3c5504f289dcc088353e01a9f"/>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c5646ff7e6d646fdafd5524aa300e700"/>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453c12f5e4ff48cc87f07cb6a01aa006"/>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ee9c7dba29dc4242949bdab4988878c2"/>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d5ed2d2fad445aa9ad4fce29a78d68a"/>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c5e7b513420f4399a62464ba8ab0741d"/>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c4cbdc175d11405fbb54930a5b15a1eb"/>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085342514e5f45989900d83fddb5d9f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fa3d63aa12944d04b2728deae4688847"/>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34f5d5298f04fb687566c135048f6ca"/>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8bad94caf8354145b8cd0b1b576034b2"/>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e2494f2a5fa1444d803f621f791411fe"/>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8fd56bc97be04bc4823f094490448251"/>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1" Abbr="pr. 31 p." DocPartId="2e87e690575b4504a2959bb3fb9e5ea9" PartId="1f2837e76f564f3786459c5f104f74df"/>
    <Part Type="punktas" Nr="32" Abbr="32 p." DocPartId="9895b098d0434f90a56baa64fdfb32a6" PartId="d35c2c7c73984bb888f26d5ab37e0a1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E682A12-CA13-4720-A800-698096415AE2}">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