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2025-01-01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136fc1554f7c45e197229e32bf3a18ab"/>
                <w:lock w:val="sdtLocked"/>
                <w:richText/>
              </w:sdtPr>
              <w:sdtContent>
                <w:p>
                  <w:pPr>
                    <w:ind w:firstLine="720"/>
                    <w:jc w:val="both"/>
                    <w:rPr>
                      <w:b/>
                      <w:sz w:val="22"/>
                    </w:rPr>
                  </w:pPr>
                  <w:sdt>
                    <w:sdtPr>
                      <w:alias w:val="Numeris"/>
                      <w:tag w:val="nr_136fc1554f7c45e197229e32bf3a18ab"/>
                      <w:lock w:val="sdtLocked"/>
                      <w:richText/>
                    </w:sdtPr>
                    <w:sdtContent>
                      <w:r>
                        <w:rPr>
                          <w:b/>
                          <w:sz w:val="22"/>
                        </w:rPr>
                        <w:t>2</w:t>
                      </w:r>
                    </w:sdtContent>
                  </w:sdt>
                  <w:r>
                    <w:rPr>
                      <w:b/>
                      <w:sz w:val="22"/>
                    </w:rPr>
                    <w:t xml:space="preserve"> straipsnis. </w:t>
                  </w:r>
                  <w:sdt>
                    <w:sdtPr>
                      <w:alias w:val="Pavadinimas"/>
                      <w:tag w:val="title_136fc1554f7c45e197229e32bf3a18ab"/>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b130e3d76f364fd1a2030553e49e981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130e3d76f364fd1a2030553e49e9818"/>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b130e3d76f364fd1a2030553e49e9818"/>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6" w:history="1">
                            <w:r>
                              <w:rPr>
                                <w:i/>
                                <w:color w:val="0000FF"/>
                                <w:sz w:val="20"/>
                                <w:u w:val="single"/>
                              </w:rPr>
                              <w:t>XI-1786</w:t>
                            </w:r>
                          </w:hyperlink>
                          <w:r>
                            <w:rPr>
                              <w:i/>
                              <w:sz w:val="20"/>
                            </w:rPr>
                            <w:t>, 2011-12-08, Žin., 2011, Nr. 156-7384 (2011-12-22)</w:t>
                          </w:r>
                        </w:p>
                        <w:p>
                          <w:pPr>
                            <w:jc w:val="both"/>
                          </w:pPr>
                          <w:r>
                            <w:rPr>
                              <w:i/>
                              <w:sz w:val="20"/>
                            </w:rPr>
                            <w:t xml:space="preserve">Nr. </w:t>
                          </w:r>
                          <w:hyperlink r:id="rId197"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2e197fcdb94b40a9998893da1f5bc5d8"/>
                    <w:lock w:val="sdtLocked"/>
                    <w:richText/>
                  </w:sdtPr>
                  <w:sdtContent>
                    <w:p>
                      <w:pPr>
                        <w:ind w:firstLine="720"/>
                        <w:jc w:val="both"/>
                        <w:rPr>
                          <w:b/>
                          <w:sz w:val="22"/>
                        </w:rPr>
                      </w:pPr>
                      <w:sdt>
                        <w:sdtPr>
                          <w:alias w:val="Numeris"/>
                          <w:tag w:val="nr_2e197fcdb94b40a9998893da1f5bc5d8"/>
                          <w:lock w:val="sdtLocked"/>
                          <w:richText/>
                        </w:sdtPr>
                        <w:sdtContent>
                          <w:r>
                            <w:rPr>
                              <w:b/>
                              <w:sz w:val="22"/>
                            </w:rPr>
                            <w:t>40</w:t>
                          </w:r>
                        </w:sdtContent>
                      </w:sdt>
                      <w:r>
                        <w:rPr>
                          <w:b/>
                          <w:sz w:val="22"/>
                        </w:rPr>
                        <w:t xml:space="preserve"> straipsnis. </w:t>
                      </w:r>
                      <w:sdt>
                        <w:sdtPr>
                          <w:alias w:val="Pavadinimas"/>
                          <w:tag w:val="title_2e197fcdb94b40a9998893da1f5bc5d8"/>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e9d9e8d411a64d24a39b225b31ccba31"/>
                    <w:lock w:val="sdtLocked"/>
                    <w:richText/>
                  </w:sdtPr>
                  <w:sdtContent>
                    <w:p>
                      <w:pPr>
                        <w:ind w:left="2520" w:hanging="1800"/>
                        <w:jc w:val="both"/>
                        <w:rPr>
                          <w:sz w:val="22"/>
                        </w:rPr>
                      </w:pPr>
                      <w:sdt>
                        <w:sdtPr>
                          <w:alias w:val="Numeris"/>
                          <w:tag w:val="nr_e9d9e8d411a64d24a39b225b31ccba31"/>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e9d9e8d411a64d24a39b225b31ccba31"/>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391d46ffb11b4f8789cdc7e30eac23a3"/>
                                <w:lock w:val="sdtLocked"/>
                                <w:richText/>
                              </w:sdtPr>
                              <w:sdtContent>
                                <w:p>
                                  <w:pPr>
                                    <w:widowControl w:val="0"/>
                                    <w:ind w:firstLine="720"/>
                                    <w:jc w:val="both"/>
                                    <w:rPr>
                                      <w:rFonts w:eastAsia="Calibri"/>
                                      <w:bCs/>
                                      <w:sz w:val="22"/>
                                      <w:szCs w:val="22"/>
                                    </w:rPr>
                                  </w:pPr>
                                  <w:sdt>
                                    <w:sdtPr>
                                      <w:alias w:val="Numeris"/>
                                      <w:tag w:val="nr_391d46ffb11b4f8789cdc7e30eac23a3"/>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ir nustatyti visą darbo laiko normą. Jeigu užsienietis bus įdarbinamas pagal laikinojo darbo sutartį, pateikiamas laikinojo įdarbinimo įmonės, įrašytos į </w:t>
                                  </w:r>
                                  <w:r>
                                    <w:rPr>
                                      <w:rFonts w:eastAsia="Calibri"/>
                                      <w:sz w:val="22"/>
                                      <w:szCs w:val="22"/>
                                    </w:rPr>
                                    <w:t xml:space="preserve">Valstybinės </w:t>
                                  </w:r>
                                  <w:r>
                                    <w:rPr>
                                      <w:rFonts w:eastAsia="Calibri"/>
                                      <w:bCs/>
                                      <w:sz w:val="22"/>
                                      <w:szCs w:val="22"/>
                                    </w:rPr>
                                    <w:t xml:space="preserve">darbo inspekcijos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w:t>
                                  </w:r>
                                  <w:r>
                                    <w:rPr>
                                      <w:rFonts w:eastAsia="Calibri"/>
                                      <w:sz w:val="22"/>
                                      <w:szCs w:val="22"/>
                                    </w:rPr>
                                    <w:t>Valstybės duomenų agentūros</w:t>
                                  </w:r>
                                  <w:r>
                                    <w:rPr>
                                      <w:rFonts w:eastAsia="Calibri"/>
                                      <w:bCs/>
                                      <w:sz w:val="22"/>
                                      <w:szCs w:val="22"/>
                                    </w:rPr>
                                    <w:t xml:space="preserve">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9a0933fcd1a74f9ea09da518d7af960d"/>
                                <w:lock w:val="sdtLocked"/>
                                <w:richText/>
                              </w:sdtPr>
                              <w:sdtContent>
                                <w:p>
                                  <w:pPr>
                                    <w:pStyle w:val="PlainText"/>
                                    <w:ind w:firstLine="567"/>
                                    <w:jc w:val="both"/>
                                    <w:rPr>
                                      <w:rFonts w:ascii="Times New Roman" w:hAnsi="Times New Roman"/>
                                      <w:b/>
                                      <w:bCs/>
                                      <w:sz w:val="22"/>
                                    </w:rPr>
                                  </w:pPr>
                                  <w:r>
                                    <w:rPr>
                                      <w:rFonts w:ascii="Times New Roman" w:hAnsi="Times New Roman"/>
                                      <w:sz w:val="22"/>
                                    </w:rPr>
                                    <w:t>c</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6db7f90c209644679e514bd6e305fe64"/>
                        <w:lock w:val="sdtLocked"/>
                        <w:richText/>
                      </w:sdtPr>
                      <w:sdtContent>
                        <w:p>
                          <w:pPr>
                            <w:widowControl w:val="0"/>
                            <w:ind w:firstLine="720"/>
                            <w:jc w:val="both"/>
                            <w:rPr>
                              <w:rFonts w:eastAsia="Calibri"/>
                              <w:bCs/>
                              <w:sz w:val="22"/>
                              <w:szCs w:val="22"/>
                            </w:rPr>
                          </w:pPr>
                          <w:sdt>
                            <w:sdtPr>
                              <w:alias w:val="Numeris"/>
                              <w:tag w:val="nr_6db7f90c209644679e514bd6e305fe64"/>
                              <w:lock w:val="sdtLocked"/>
                              <w:richText/>
                            </w:sdtPr>
                            <w:sdtContent>
                              <w:r>
                                <w:rPr>
                                  <w:rFonts w:eastAsia="Calibri"/>
                                  <w:bCs/>
                                  <w:sz w:val="22"/>
                                  <w:szCs w:val="22"/>
                                </w:rPr>
                                <w:t>2</w:t>
                              </w:r>
                            </w:sdtContent>
                          </w:sdt>
                          <w:r>
                            <w:rPr>
                              <w:rFonts w:eastAsia="Calibri"/>
                              <w:bCs/>
                              <w:sz w:val="22"/>
                              <w:szCs w:val="22"/>
                            </w:rPr>
                            <w:t xml:space="preserve">. Šio straipsnio 1 dalies 2 punkto b </w:t>
                          </w:r>
                          <w:r>
                            <w:rPr>
                              <w:rFonts w:eastAsia="Calibri"/>
                              <w:sz w:val="22"/>
                              <w:szCs w:val="22"/>
                            </w:rPr>
                            <w:t xml:space="preserve">papunktyje </w:t>
                          </w:r>
                          <w:r>
                            <w:rPr>
                              <w:rFonts w:eastAsia="Calibri"/>
                              <w:bCs/>
                              <w:sz w:val="22"/>
                              <w:szCs w:val="22"/>
                            </w:rPr>
                            <w:t>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w:t>
                          </w:r>
                          <w:r>
                            <w:rPr>
                              <w:rFonts w:eastAsia="Calibri"/>
                              <w:sz w:val="22"/>
                              <w:szCs w:val="22"/>
                            </w:rPr>
                            <w:t xml:space="preserve"> užsieniečiui, kuriam suteikta laikinoji apsauga, ir užsieniečiui, kuriam leidimas laikinai gyventi išduotas šio Įstatymo 40 straipsnio 1 dalies 8 punkte nustatytu pagrindu dėl šio Įstatymo 130</w:t>
                          </w:r>
                          <w:r>
                            <w:rPr>
                              <w:rFonts w:eastAsia="Calibri"/>
                              <w:sz w:val="22"/>
                              <w:szCs w:val="22"/>
                              <w:vertAlign w:val="superscript"/>
                            </w:rPr>
                            <w:t>1</w:t>
                          </w:r>
                          <w:r>
                            <w:rPr>
                              <w:rFonts w:eastAsia="Calibri"/>
                              <w:sz w:val="22"/>
                              <w:szCs w:val="22"/>
                            </w:rPr>
                            <w:t xml:space="preserve"> straipsnio 2 dalyje nurodytų aplinkybių</w:t>
                          </w:r>
                          <w:r>
                            <w:rPr>
                              <w:rFonts w:eastAsia="Calibri"/>
                              <w:bCs/>
                              <w:sz w:val="22"/>
                              <w:szCs w:val="22"/>
                            </w:rPr>
                            <w:t>. Ši dalis netaikoma užsieniečiui, kuris ketina dirbti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2 d."/>
                        <w:tag w:val="part_5a91d05bf123416eb277a29eb93375b1"/>
                        <w:lock w:val="sdtLocked"/>
                        <w:richText/>
                      </w:sdtPr>
                      <w:sdtContent>
                        <w:p>
                          <w:pPr>
                            <w:widowControl w:val="0"/>
                            <w:ind w:firstLine="720"/>
                            <w:jc w:val="both"/>
                          </w:pPr>
                          <w:sdt>
                            <w:sdtPr>
                              <w:alias w:val="Numeris"/>
                              <w:tag w:val="nr_5a91d05bf123416eb277a29eb93375b1"/>
                              <w:lock w:val="sdtLocked"/>
                              <w:richText/>
                            </w:sdtPr>
                            <w:sdtContent>
                              <w:r>
                                <w:rPr>
                                  <w:rFonts w:eastAsia="Calibri"/>
                                  <w:bCs/>
                                  <w:sz w:val="22"/>
                                  <w:szCs w:val="22"/>
                                </w:rPr>
                                <w:t>2</w:t>
                              </w:r>
                              <w:r>
                                <w:rPr>
                                  <w:rFonts w:eastAsia="Calibri"/>
                                  <w:bCs/>
                                  <w:sz w:val="22"/>
                                  <w:szCs w:val="22"/>
                                  <w:vertAlign w:val="superscript"/>
                                </w:rPr>
                                <w:t>2</w:t>
                              </w:r>
                            </w:sdtContent>
                          </w:sdt>
                          <w:r>
                            <w:rPr>
                              <w:rFonts w:eastAsia="Calibri"/>
                              <w:bCs/>
                              <w:sz w:val="22"/>
                              <w:szCs w:val="22"/>
                            </w:rPr>
                            <w:t>.</w:t>
                          </w:r>
                          <w:r>
                            <w:rPr>
                              <w:rFonts w:eastAsia="Calibri"/>
                              <w:sz w:val="22"/>
                              <w:szCs w:val="22"/>
                            </w:rPr>
                            <w:t xml:space="preserve"> </w:t>
                          </w:r>
                          <w:r>
                            <w:rPr>
                              <w:rFonts w:eastAsia="Calibri"/>
                              <w:bCs/>
                              <w:sz w:val="22"/>
                              <w:szCs w:val="22"/>
                            </w:rPr>
                            <w:t>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punkto pagrindu gali būti išduotas tik užsieniečiui,</w:t>
                          </w:r>
                          <w:r>
                            <w:rPr>
                              <w:bCs/>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bCs/>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bCs/>
                              <w:kern w:val="2"/>
                              <w:sz w:val="22"/>
                              <w:szCs w:val="22"/>
                              <w:vertAlign w:val="superscript"/>
                            </w:rPr>
                            <w:t>1</w:t>
                          </w:r>
                          <w:r>
                            <w:rPr>
                              <w:bCs/>
                              <w:kern w:val="2"/>
                              <w:sz w:val="22"/>
                              <w:szCs w:val="22"/>
                            </w:rPr>
                            <w:t xml:space="preserve"> straipsnio 7 dalį, dėl kurio pateikiama darbdavio informacija apie numatomą mokėti mėnesinį darbo užmokestį, ne mažesnį negu vieno paskutinio paskelbto kalendorinių metų vidutinio mėnesinio BDU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28029a5d7f034655a15b02b2b2ba3cda"/>
                        <w:lock w:val="sdtLocked"/>
                        <w:richText/>
                      </w:sdtPr>
                      <w:sdtContent>
                        <w:p>
                          <w:pPr>
                            <w:widowControl w:val="0"/>
                            <w:ind w:firstLine="720"/>
                            <w:jc w:val="both"/>
                            <w:rPr>
                              <w:sz w:val="22"/>
                              <w:szCs w:val="22"/>
                            </w:rPr>
                          </w:pPr>
                          <w:sdt>
                            <w:sdtPr>
                              <w:alias w:val="Numeris"/>
                              <w:tag w:val="nr_28029a5d7f034655a15b02b2b2ba3cda"/>
                              <w:lock w:val="sdtLocked"/>
                              <w:richText/>
                            </w:sdtPr>
                            <w:sdtContent>
                              <w:r>
                                <w:rPr>
                                  <w:rFonts w:eastAsia="Calibri"/>
                                  <w:bCs/>
                                  <w:sz w:val="22"/>
                                  <w:szCs w:val="22"/>
                                </w:rPr>
                                <w:t>6</w:t>
                              </w:r>
                            </w:sdtContent>
                          </w:sdt>
                          <w:r>
                            <w:rPr>
                              <w:rFonts w:eastAsia="Calibri"/>
                              <w:bCs/>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Migracijos departamentas priima sprendimą dėl leidimo pakeisti darbdavį ar darbo funkciją ne vėliau kaip per vieną mėnesį nuo prašymo pateikimo dienos. 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sprendimas</w:t>
                          </w:r>
                          <w:r>
                            <w:rPr>
                              <w:rFonts w:eastAsia="Calibri"/>
                              <w:sz w:val="22"/>
                              <w:szCs w:val="22"/>
                            </w:rPr>
                            <w:t xml:space="preserve"> </w:t>
                          </w:r>
                          <w:r>
                            <w:rPr>
                              <w:rFonts w:eastAsia="Calibri"/>
                              <w:bCs/>
                              <w:sz w:val="22"/>
                              <w:szCs w:val="22"/>
                            </w:rPr>
                            <w:t xml:space="preserve">dėl leidimo pakeisti darbdavį ar darbo funkciją galioja vieną mėnesį nuo jo priėmimo dienos. </w:t>
                          </w:r>
                          <w:r>
                            <w:rPr>
                              <w:sz w:val="22"/>
                              <w:szCs w:val="22"/>
                            </w:rPr>
                            <w:t>Prašymą leisti pakeisti darbdavį užsienietis gali pateikti praėjus ne mažiau kaip 6 mėnesiams nuo leidimo laikinai gyventi išdavimo dienos, išskyrus šio Įstatymo 50 straipsnio 2</w:t>
                          </w:r>
                          <w:r>
                            <w:rPr>
                              <w:sz w:val="22"/>
                              <w:szCs w:val="22"/>
                              <w:vertAlign w:val="superscript"/>
                            </w:rPr>
                            <w:t>1</w:t>
                          </w:r>
                          <w:r>
                            <w:rPr>
                              <w:sz w:val="22"/>
                              <w:szCs w:val="22"/>
                            </w:rPr>
                            <w:t xml:space="preserve">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16fdfabc9d684fe2969d467bd72d2fe0"/>
                        <w:lock w:val="sdtLocked"/>
                        <w:richText/>
                      </w:sdtPr>
                      <w:sdtContent>
                        <w:p>
                          <w:pPr>
                            <w:suppressAutoHyphens/>
                            <w:ind w:firstLine="720"/>
                            <w:jc w:val="both"/>
                            <w:textAlignment w:val="baseline"/>
                            <w:rPr>
                              <w:sz w:val="22"/>
                            </w:rPr>
                          </w:pPr>
                          <w:sdt>
                            <w:sdtPr>
                              <w:alias w:val="Numeris"/>
                              <w:tag w:val="nr_16fdfabc9d684fe2969d467bd72d2fe0"/>
                              <w:lock w:val="sdtLocked"/>
                              <w:richText/>
                            </w:sdtPr>
                            <w:sdtContent>
                              <w:r>
                                <w:rPr>
                                  <w:rFonts w:eastAsia="Calibri"/>
                                  <w:bCs/>
                                  <w:color w:val="000000"/>
                                  <w:sz w:val="22"/>
                                  <w:szCs w:val="22"/>
                                </w:rPr>
                                <w:t>10</w:t>
                              </w:r>
                            </w:sdtContent>
                          </w:sdt>
                          <w:r>
                            <w:rPr>
                              <w:rFonts w:eastAsia="Calibri"/>
                              <w:bCs/>
                              <w:color w:val="000000"/>
                              <w:sz w:val="22"/>
                              <w:szCs w:val="22"/>
                            </w:rPr>
                            <w:t>. Šio straipsnio 8 dalies nuostatos netaikomos darbdaviui, su kuriuo sudaryta investicijų sutartis Investicijų įstatymo 13</w:t>
                          </w:r>
                          <w:r>
                            <w:rPr>
                              <w:rFonts w:eastAsia="Calibri"/>
                              <w:bCs/>
                              <w:color w:val="000000"/>
                              <w:sz w:val="22"/>
                              <w:szCs w:val="22"/>
                              <w:vertAlign w:val="superscript"/>
                            </w:rPr>
                            <w:t>1</w:t>
                          </w:r>
                          <w:r>
                            <w:rPr>
                              <w:rFonts w:eastAsia="Calibri"/>
                              <w:bCs/>
                              <w:color w:val="000000"/>
                              <w:sz w:val="22"/>
                              <w:szCs w:val="22"/>
                            </w:rPr>
                            <w:t xml:space="preserve"> straipsnyje nustatyta tvarka ar stambaus projekto investicijų sutartis Investicijų įstatymo </w:t>
                          </w:r>
                          <w:r>
                            <w:rPr>
                              <w:bCs/>
                              <w:color w:val="000000"/>
                              <w:sz w:val="22"/>
                              <w:szCs w:val="22"/>
                            </w:rPr>
                            <w:t>15</w:t>
                          </w:r>
                          <w:r>
                            <w:rPr>
                              <w:bCs/>
                              <w:color w:val="000000"/>
                              <w:sz w:val="22"/>
                              <w:szCs w:val="22"/>
                              <w:vertAlign w:val="superscript"/>
                            </w:rPr>
                            <w:t>7</w:t>
                          </w:r>
                          <w:r>
                            <w:rPr>
                              <w:color w:val="000000"/>
                              <w:sz w:val="22"/>
                              <w:szCs w:val="22"/>
                              <w:vertAlign w:val="superscript"/>
                            </w:rPr>
                            <w:t xml:space="preserve"> </w:t>
                          </w:r>
                          <w:r>
                            <w:rPr>
                              <w:rFonts w:eastAsia="Calibri"/>
                              <w:bCs/>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c2759bd9f4c24a57b4a88d759560fd99"/>
                        <w:lock w:val="sdtLocked"/>
                        <w:richText/>
                      </w:sdtPr>
                      <w:sdtContent>
                        <w:p>
                          <w:pPr>
                            <w:widowControl w:val="0"/>
                            <w:ind w:firstLine="720"/>
                            <w:jc w:val="both"/>
                            <w:rPr>
                              <w:sz w:val="22"/>
                              <w:szCs w:val="22"/>
                            </w:rPr>
                          </w:pPr>
                          <w:sdt>
                            <w:sdtPr>
                              <w:alias w:val="Numeris"/>
                              <w:tag w:val="nr_c2759bd9f4c24a57b4a88d759560fd99"/>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šio straipsnio 1 dalies 2 punkte nustatytas leidimo laikinai gyventi panaikinimo pagrindas, kai fizinis ar juridinis asmuo, kviečiantis </w:t>
                          </w:r>
                          <w:r>
                            <w:rPr>
                              <w:rFonts w:eastAsia="Calibri"/>
                              <w:sz w:val="22"/>
                              <w:szCs w:val="22"/>
                            </w:rPr>
                            <w:t xml:space="preserve">užsienietį, pateikė tikrovės neatitinkančius duomenis arba pateikė neteisėtai įgytus ar suklastotus dokumentus, </w:t>
                          </w:r>
                          <w:r>
                            <w:rPr>
                              <w:sz w:val="22"/>
                              <w:szCs w:val="22"/>
                            </w:rPr>
                            <w:t>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xml:space="preserve"> straipsnio 5 dalyje nustatyta tvarka arba jeigu jis nepakeis darbdavio per 6 mėnesius, kai užsienietis, turintis leidimą laikinai gyventi šio Įstatymo 44</w:t>
                          </w:r>
                          <w:r>
                            <w:rPr>
                              <w:sz w:val="22"/>
                              <w:szCs w:val="22"/>
                              <w:vertAlign w:val="superscript"/>
                            </w:rPr>
                            <w:t>1</w:t>
                          </w:r>
                          <w:r>
                            <w:rPr>
                              <w:sz w:val="22"/>
                              <w:szCs w:val="22"/>
                            </w:rPr>
                            <w:t>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2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523c322849c3481dad55e3e4d17e3139"/>
                    <w:lock w:val="sdtLocked"/>
                    <w:richText/>
                  </w:sdtPr>
                  <w:sdtContent>
                    <w:p>
                      <w:pPr>
                        <w:ind w:firstLine="720"/>
                        <w:jc w:val="both"/>
                        <w:rPr>
                          <w:b/>
                          <w:sz w:val="22"/>
                        </w:rPr>
                      </w:pPr>
                      <w:sdt>
                        <w:sdtPr>
                          <w:alias w:val="Numeris"/>
                          <w:tag w:val="nr_523c322849c3481dad55e3e4d17e3139"/>
                          <w:lock w:val="sdtLocked"/>
                          <w:richText/>
                        </w:sdtPr>
                        <w:sdtContent>
                          <w:r>
                            <w:rPr>
                              <w:b/>
                              <w:sz w:val="22"/>
                            </w:rPr>
                            <w:t>53</w:t>
                          </w:r>
                        </w:sdtContent>
                      </w:sdt>
                      <w:r>
                        <w:rPr>
                          <w:b/>
                          <w:sz w:val="22"/>
                        </w:rPr>
                        <w:t xml:space="preserve"> straipsnis. </w:t>
                      </w:r>
                      <w:sdt>
                        <w:sdtPr>
                          <w:alias w:val="Pavadinimas"/>
                          <w:tag w:val="title_523c322849c3481dad55e3e4d17e3139"/>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78edaaef188f458aa89dcb0074d2d121"/>
                        <w:lock w:val="sdtLocked"/>
                        <w:richText/>
                      </w:sdtPr>
                      <w:sdtContent>
                        <w:p>
                          <w:pPr>
                            <w:widowControl w:val="0"/>
                            <w:ind w:firstLine="720"/>
                            <w:jc w:val="both"/>
                          </w:pPr>
                          <w:sdt>
                            <w:sdtPr>
                              <w:alias w:val="Numeris"/>
                              <w:tag w:val="nr_78edaaef188f458aa89dcb0074d2d121"/>
                              <w:lock w:val="sdtLocked"/>
                              <w:richText/>
                            </w:sdtPr>
                            <w:sdtContent>
                              <w:r>
                                <w:rPr>
                                  <w:sz w:val="22"/>
                                  <w:szCs w:val="22"/>
                                  <w:lang w:eastAsia="lt-LT"/>
                                </w:rPr>
                                <w:t>3</w:t>
                              </w:r>
                            </w:sdtContent>
                          </w:sdt>
                          <w:r>
                            <w:rPr>
                              <w:sz w:val="22"/>
                              <w:szCs w:val="22"/>
                              <w:lang w:eastAsia="lt-LT"/>
                            </w:rPr>
                            <w:t>. Leidimą dirbti (prireikus jo dublikatą) užsieniečiui išduoda ir panaikina, leidimo dirbti galiojimo laiką pratęsia Užimtumo tarnyba</w:t>
                          </w:r>
                          <w:r>
                            <w:rPr>
                              <w:bCs/>
                              <w:sz w:val="22"/>
                              <w:szCs w:val="22"/>
                              <w:lang w:eastAsia="lt-LT"/>
                            </w:rPr>
                            <w:t xml:space="preserve"> </w:t>
                          </w:r>
                          <w:r>
                            <w:rPr>
                              <w:sz w:val="22"/>
                              <w:szCs w:val="22"/>
                              <w:lang w:eastAsia="lt-LT"/>
                            </w:rPr>
                            <w:t>prie Lietuvos Respublikos socialinės apsaugos ir darbo ministerijos (toliau – Užimtumo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9cd6e9c4547c44a2a3843005c605e240"/>
                        <w:lock w:val="sdtLocked"/>
                        <w:richText/>
                      </w:sdtPr>
                      <w:sdtContent>
                        <w:p>
                          <w:pPr>
                            <w:widowControl w:val="0"/>
                            <w:ind w:firstLine="720"/>
                            <w:jc w:val="both"/>
                            <w:rPr>
                              <w:kern w:val="2"/>
                              <w:sz w:val="22"/>
                              <w:szCs w:val="22"/>
                            </w:rPr>
                          </w:pPr>
                          <w:sdt>
                            <w:sdtPr>
                              <w:alias w:val="Numeris"/>
                              <w:tag w:val="nr_9cd6e9c4547c44a2a3843005c605e240"/>
                              <w:lock w:val="sdtLocked"/>
                              <w:richText/>
                            </w:sdtPr>
                            <w:sdtContent>
                              <w:r>
                                <w:rPr>
                                  <w:bCs/>
                                  <w:kern w:val="2"/>
                                  <w:sz w:val="22"/>
                                  <w:szCs w:val="22"/>
                                </w:rPr>
                                <w:t>3</w:t>
                              </w:r>
                            </w:sdtContent>
                          </w:sdt>
                          <w:r>
                            <w:rPr>
                              <w:kern w:val="2"/>
                              <w:sz w:val="22"/>
                              <w:szCs w:val="22"/>
                            </w:rPr>
                            <w:t xml:space="preserve">. Kvota laikoma išnaudota, jeigu </w:t>
                          </w:r>
                          <w:r>
                            <w:rPr>
                              <w:bCs/>
                              <w:kern w:val="2"/>
                              <w:sz w:val="22"/>
                              <w:szCs w:val="22"/>
                            </w:rPr>
                            <w:t>užsieniečių</w:t>
                          </w:r>
                          <w:r>
                            <w:rPr>
                              <w:kern w:val="2"/>
                              <w:sz w:val="22"/>
                              <w:szCs w:val="22"/>
                            </w:rPr>
                            <w:t xml:space="preserve">, </w:t>
                          </w:r>
                          <w:r>
                            <w:rPr>
                              <w:bCs/>
                              <w:kern w:val="2"/>
                              <w:sz w:val="22"/>
                              <w:szCs w:val="22"/>
                            </w:rPr>
                            <w:t xml:space="preserve">kuriems tais metais buvo išduoti leidimai </w:t>
                          </w:r>
                          <w:r>
                            <w:rPr>
                              <w:kern w:val="2"/>
                              <w:sz w:val="22"/>
                              <w:szCs w:val="22"/>
                            </w:rPr>
                            <w:t xml:space="preserve">laikinai gyventi </w:t>
                          </w:r>
                          <w:r>
                            <w:rPr>
                              <w:bCs/>
                              <w:kern w:val="2"/>
                              <w:sz w:val="22"/>
                              <w:szCs w:val="22"/>
                            </w:rPr>
                            <w:t>šio Įstatymo 44 straipsnio 1 dalies 2 punkte nustatytu pagrindu,</w:t>
                          </w:r>
                          <w:r>
                            <w:rPr>
                              <w:kern w:val="2"/>
                              <w:sz w:val="22"/>
                              <w:szCs w:val="22"/>
                            </w:rPr>
                            <w:t xml:space="preserve"> </w:t>
                          </w:r>
                          <w:r>
                            <w:rPr>
                              <w:bCs/>
                              <w:kern w:val="2"/>
                              <w:sz w:val="22"/>
                              <w:szCs w:val="22"/>
                            </w:rPr>
                            <w:t xml:space="preserve">skaičius </w:t>
                          </w:r>
                          <w:r>
                            <w:rPr>
                              <w:kern w:val="2"/>
                              <w:sz w:val="22"/>
                              <w:szCs w:val="22"/>
                            </w:rPr>
                            <w:t>pasiekia kalendoriniams metams nustatytą kvotą.</w:t>
                          </w:r>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0"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1"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2"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7"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8"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5bee7a253fe44bd3bbd3580bdf9bcf74"/>
                        <w:lock w:val="sdtLocked"/>
                        <w:richText/>
                      </w:sdtPr>
                      <w:sdtContent>
                        <w:p>
                          <w:pPr>
                            <w:ind w:firstLine="720"/>
                            <w:jc w:val="both"/>
                          </w:pPr>
                          <w:sdt>
                            <w:sdtPr>
                              <w:alias w:val="Numeris"/>
                              <w:tag w:val="nr_5bee7a253fe44bd3bbd3580bdf9bcf74"/>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w:t>
                          </w:r>
                          <w:r>
                            <w:rPr>
                              <w:bCs/>
                              <w:sz w:val="22"/>
                              <w:szCs w:val="22"/>
                            </w:rPr>
                            <w:t xml:space="preserve">4, </w:t>
                          </w:r>
                          <w:r>
                            <w:rPr>
                              <w:sz w:val="22"/>
                              <w:szCs w:val="22"/>
                            </w:rPr>
                            <w:t>6–10 ir 13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eb7d1c8dc3ce40e0a9f6c2956faec2b4"/>
                        <w:lock w:val="sdtLocked"/>
                        <w:richText/>
                      </w:sdtPr>
                      <w:sdtContent>
                        <w:p>
                          <w:pPr>
                            <w:widowControl w:val="0"/>
                            <w:ind w:firstLine="720"/>
                            <w:jc w:val="both"/>
                            <w:rPr>
                              <w:color w:val="000000"/>
                              <w:sz w:val="22"/>
                              <w:szCs w:val="22"/>
                            </w:rPr>
                          </w:pPr>
                          <w:sdt>
                            <w:sdtPr>
                              <w:alias w:val="Numeris"/>
                              <w:tag w:val="nr_eb7d1c8dc3ce40e0a9f6c2956faec2b4"/>
                              <w:lock w:val="sdtLocked"/>
                              <w:richText/>
                            </w:sdtPr>
                            <w:sdtContent>
                              <w:r>
                                <w:rPr>
                                  <w:rFonts w:eastAsia="Calibri"/>
                                  <w:bCs/>
                                  <w:sz w:val="22"/>
                                  <w:szCs w:val="22"/>
                                </w:rPr>
                                <w:t>8</w:t>
                              </w:r>
                            </w:sdtContent>
                          </w:sdt>
                          <w:r>
                            <w:rPr>
                              <w:rFonts w:eastAsia="Calibri"/>
                              <w:bCs/>
                              <w:sz w:val="22"/>
                              <w:szCs w:val="22"/>
                            </w:rPr>
                            <w:t xml:space="preserve">. Darbdavys, </w:t>
                          </w:r>
                          <w:r>
                            <w:rPr>
                              <w:rFonts w:eastAsia="Calibri"/>
                              <w:sz w:val="22"/>
                              <w:szCs w:val="22"/>
                            </w:rPr>
                            <w:t>įdarbinęs užsienietį,</w:t>
                          </w:r>
                          <w:r>
                            <w:rPr>
                              <w:rFonts w:eastAsia="Calibri"/>
                              <w:bCs/>
                              <w:sz w:val="22"/>
                              <w:szCs w:val="22"/>
                            </w:rPr>
                            <w:t xml:space="preserve"> įmonė, į kurią užsienietis komandiruojamas laikinai dirbti, arba fizinis asmuo, pas kurį užsienietis komandiruojamas laikinai dirbti, informaciją apie įdarbintą arba komandiruotą laikinai dirbti į Lietuvos Respubliką užsienietį</w:t>
                          </w:r>
                          <w:r>
                            <w:rPr>
                              <w:rFonts w:eastAsia="Calibri"/>
                              <w:sz w:val="22"/>
                              <w:szCs w:val="22"/>
                            </w:rPr>
                            <w:t>, taip pat apie darbo sutarties</w:t>
                          </w:r>
                          <w:r>
                            <w:rPr>
                              <w:rFonts w:eastAsia="Calibri"/>
                              <w:bCs/>
                              <w:sz w:val="22"/>
                              <w:szCs w:val="22"/>
                            </w:rPr>
                            <w:t xml:space="preserve"> </w:t>
                          </w:r>
                          <w:r>
                            <w:rPr>
                              <w:rFonts w:eastAsia="Calibri"/>
                              <w:sz w:val="22"/>
                              <w:szCs w:val="22"/>
                            </w:rPr>
                            <w:t>nutraukimą</w:t>
                          </w:r>
                          <w:r>
                            <w:rPr>
                              <w:rFonts w:eastAsia="Calibri"/>
                              <w:bCs/>
                              <w:sz w:val="22"/>
                              <w:szCs w:val="22"/>
                            </w:rPr>
                            <w:t xml:space="preserve"> teikia </w:t>
                          </w:r>
                          <w:r>
                            <w:rPr>
                              <w:rFonts w:eastAsia="Calibri"/>
                              <w:sz w:val="22"/>
                              <w:szCs w:val="22"/>
                            </w:rPr>
                            <w:t>Migracijos departamentui,</w:t>
                          </w:r>
                          <w:r>
                            <w:rPr>
                              <w:rFonts w:eastAsia="Calibri"/>
                              <w:bCs/>
                              <w:sz w:val="22"/>
                              <w:szCs w:val="22"/>
                            </w:rPr>
                            <w:t xml:space="preserve">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9 d."/>
                        <w:tag w:val="part_92bb42453ed544ddb7831bd813b7e058"/>
                        <w:lock w:val="sdtLocked"/>
                        <w:richText/>
                      </w:sdtPr>
                      <w:sdtContent>
                        <w:p>
                          <w:pPr>
                            <w:widowControl w:val="0"/>
                            <w:ind w:firstLine="720"/>
                            <w:jc w:val="both"/>
                          </w:pPr>
                          <w:sdt>
                            <w:sdtPr>
                              <w:alias w:val="Numeris"/>
                              <w:tag w:val="nr_92bb42453ed544ddb7831bd813b7e058"/>
                              <w:lock w:val="sdtLocked"/>
                              <w:richText/>
                            </w:sdtPr>
                            <w:sdtContent>
                              <w:r>
                                <w:rPr>
                                  <w:rFonts w:eastAsia="Calibri"/>
                                  <w:bCs/>
                                  <w:sz w:val="22"/>
                                  <w:szCs w:val="22"/>
                                </w:rPr>
                                <w:t>9</w:t>
                              </w:r>
                            </w:sdtContent>
                          </w:sdt>
                          <w:r>
                            <w:rPr>
                              <w:rFonts w:eastAsia="Calibri"/>
                              <w:bCs/>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7f4df9c6bb7d42d98463bccb3ab775ce"/>
                            <w:lock w:val="sdtLocked"/>
                            <w:richText/>
                          </w:sdtPr>
                          <w:sdtContent>
                            <w:p>
                              <w:pPr>
                                <w:ind w:firstLine="720"/>
                                <w:jc w:val="both"/>
                                <w:rPr>
                                  <w:sz w:val="22"/>
                                  <w:szCs w:val="22"/>
                                  <w:lang w:eastAsia="lt-LT"/>
                                </w:rPr>
                              </w:pPr>
                              <w:sdt>
                                <w:sdtPr>
                                  <w:alias w:val="Numeris"/>
                                  <w:tag w:val="nr_7f4df9c6bb7d42d98463bccb3ab775ce"/>
                                  <w:lock w:val="sdtLocked"/>
                                  <w:richText/>
                                </w:sdtPr>
                                <w:sdtContent>
                                  <w:r>
                                    <w:rPr>
                                      <w:sz w:val="22"/>
                                      <w:szCs w:val="22"/>
                                      <w:lang w:eastAsia="lt-LT"/>
                                    </w:rPr>
                                    <w:t>4</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w:t>
                              </w:r>
                              <w:r>
                                <w:rPr>
                                  <w:bCs/>
                                  <w:sz w:val="22"/>
                                  <w:szCs w:val="22"/>
                                  <w:lang w:eastAsia="lt-LT"/>
                                </w:rPr>
                                <w:t>arba 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d3d072a21a06441ebac661362ec81cd7"/>
                            <w:lock w:val="sdtLocked"/>
                            <w:richText/>
                          </w:sdtPr>
                          <w:sdtContent>
                            <w:p>
                              <w:pPr>
                                <w:ind w:firstLine="720"/>
                                <w:jc w:val="both"/>
                                <w:rPr>
                                  <w:sz w:val="22"/>
                                  <w:szCs w:val="22"/>
                                  <w:lang w:eastAsia="lt-LT"/>
                                </w:rPr>
                              </w:pPr>
                              <w:sdt>
                                <w:sdtPr>
                                  <w:alias w:val="Numeris"/>
                                  <w:tag w:val="nr_d3d072a21a06441ebac661362ec81cd7"/>
                                  <w:lock w:val="sdtLocked"/>
                                  <w:richText/>
                                </w:sdtPr>
                                <w:sdtContent>
                                  <w:r>
                                    <w:rPr>
                                      <w:sz w:val="22"/>
                                      <w:szCs w:val="22"/>
                                      <w:lang w:eastAsia="lt-LT"/>
                                    </w:rPr>
                                    <w:t>4</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w:t>
                              </w:r>
                              <w:r>
                                <w:rPr>
                                  <w:bCs/>
                                  <w:sz w:val="22"/>
                                  <w:szCs w:val="22"/>
                                  <w:lang w:eastAsia="lt-LT"/>
                                </w:rPr>
                                <w:t>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c910ba1826b24acb8a6d1e32935a37b7"/>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c910ba1826b24acb8a6d1e32935a37b7"/>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c910ba1826b24acb8a6d1e32935a37b7"/>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4d980b40b75a479bb13450e64df5ce7b"/>
                    <w:lock w:val="sdtLocked"/>
                    <w:richText/>
                  </w:sdtPr>
                  <w:sdtContent>
                    <w:p>
                      <w:pPr>
                        <w:ind w:firstLine="720"/>
                        <w:jc w:val="both"/>
                        <w:rPr>
                          <w:sz w:val="22"/>
                          <w:szCs w:val="22"/>
                        </w:rPr>
                      </w:pPr>
                      <w:sdt>
                        <w:sdtPr>
                          <w:alias w:val="Numeris"/>
                          <w:tag w:val="nr_4d980b40b75a479bb13450e64df5ce7b"/>
                          <w:lock w:val="sdtLocked"/>
                          <w:richText/>
                        </w:sdtPr>
                        <w:sdtContent>
                          <w:r>
                            <w:rPr>
                              <w:b/>
                              <w:sz w:val="22"/>
                              <w:szCs w:val="22"/>
                            </w:rPr>
                            <w:t>90</w:t>
                          </w:r>
                        </w:sdtContent>
                      </w:sdt>
                      <w:r>
                        <w:rPr>
                          <w:b/>
                          <w:sz w:val="22"/>
                          <w:szCs w:val="22"/>
                        </w:rPr>
                        <w:t xml:space="preserve"> straipsnis. </w:t>
                      </w:r>
                      <w:sdt>
                        <w:sdtPr>
                          <w:alias w:val="Pavadinimas"/>
                          <w:tag w:val="title_4d980b40b75a479bb13450e64df5ce7b"/>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8"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9"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713d008b41444e88b8fda7485f25179f"/>
                <w:lock w:val="sdtLocked"/>
                <w:richText/>
              </w:sdtPr>
              <w:sdtContent>
                <w:p>
                  <w:pPr>
                    <w:ind w:firstLine="720"/>
                    <w:jc w:val="both"/>
                    <w:rPr>
                      <w:sz w:val="22"/>
                      <w:szCs w:val="22"/>
                    </w:rPr>
                  </w:pPr>
                  <w:sdt>
                    <w:sdtPr>
                      <w:alias w:val="Numeris"/>
                      <w:tag w:val="nr_713d008b41444e88b8fda7485f25179f"/>
                      <w:lock w:val="sdtLocked"/>
                      <w:richText/>
                    </w:sdtPr>
                    <w:sdtContent>
                      <w:r>
                        <w:rPr>
                          <w:b/>
                          <w:sz w:val="22"/>
                          <w:szCs w:val="22"/>
                        </w:rPr>
                        <w:t>104</w:t>
                      </w:r>
                    </w:sdtContent>
                  </w:sdt>
                  <w:r>
                    <w:rPr>
                      <w:b/>
                      <w:sz w:val="22"/>
                      <w:szCs w:val="22"/>
                    </w:rPr>
                    <w:t xml:space="preserve"> straipsnis. </w:t>
                  </w:r>
                  <w:sdt>
                    <w:sdtPr>
                      <w:alias w:val="Pavadinimas"/>
                      <w:tag w:val="title_713d008b41444e88b8fda7485f25179f"/>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0"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0"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0"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6"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7"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5"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1ddc9eb393e64bebbb2537c329c90495"/>
                <w:lock w:val="sdtLocked"/>
                <w:richText/>
              </w:sdtPr>
              <w:sdtContent>
                <w:p>
                  <w:pPr>
                    <w:ind w:firstLine="720"/>
                    <w:jc w:val="both"/>
                    <w:rPr>
                      <w:b/>
                      <w:sz w:val="22"/>
                      <w:szCs w:val="24"/>
                    </w:rPr>
                  </w:pPr>
                  <w:sdt>
                    <w:sdtPr>
                      <w:alias w:val="Numeris"/>
                      <w:tag w:val="nr_1ddc9eb393e64bebbb2537c329c90495"/>
                      <w:lock w:val="sdtLocked"/>
                      <w:richText/>
                    </w:sdtPr>
                    <w:sdtContent>
                      <w:r>
                        <w:rPr>
                          <w:b/>
                          <w:sz w:val="22"/>
                          <w:szCs w:val="24"/>
                        </w:rPr>
                        <w:t>140</w:t>
                      </w:r>
                    </w:sdtContent>
                  </w:sdt>
                  <w:r>
                    <w:rPr>
                      <w:b/>
                      <w:sz w:val="22"/>
                      <w:szCs w:val="24"/>
                    </w:rPr>
                    <w:t xml:space="preserve"> straipsnis. </w:t>
                  </w:r>
                  <w:sdt>
                    <w:sdtPr>
                      <w:alias w:val="Pavadinimas"/>
                      <w:tag w:val="title_1ddc9eb393e64bebbb2537c329c90495"/>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5"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7"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8"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9"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0"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1"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2"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3"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4"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5"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6"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7"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8"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9"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0"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1"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3"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7A86520"/>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0.xml"/>
  <Relationship Id="rId10" Type="http://schemas.openxmlformats.org/officeDocument/2006/relationships/footnotes" Target="footnotes.xml"/>
  <Relationship Id="rId100" Type="http://schemas.openxmlformats.org/officeDocument/2006/relationships/hyperlink" TargetMode="External" Target="http://www3.lrs.lt/cgi-bin/preps2?a=350406&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14120&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settings" Target="settings.xml"/>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429704&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57912&amp;b="/>
  <Relationship Id="rId119" Type="http://schemas.openxmlformats.org/officeDocument/2006/relationships/hyperlink" TargetMode="External" Target="http://www3.lrs.lt/cgi-bin/preps2?a=476706&amp;b="/>
  <Relationship Id="rId12" Type="http://schemas.openxmlformats.org/officeDocument/2006/relationships/styles" Target="styles.xml"/>
  <Relationship Id="rId120" Type="http://schemas.openxmlformats.org/officeDocument/2006/relationships/hyperlink" TargetMode="External" Target="http://eur-lex.europa.eu/legal-content/LIT/TXT/?uri=CELEX:32002R1030&amp;locale=lt"/>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350406&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57912&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14800&amp;b="/>
  <Relationship Id="rId129" Type="http://schemas.openxmlformats.org/officeDocument/2006/relationships/hyperlink" TargetMode="External" Target="http://www3.lrs.lt/cgi-bin/preps2?a=414120&amp;b="/>
  <Relationship Id="rId13" Type="http://schemas.openxmlformats.org/officeDocument/2006/relationships/theme" Target="theme/theme1.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7912&amp;b="/>
  <Relationship Id="rId132" Type="http://schemas.openxmlformats.org/officeDocument/2006/relationships/hyperlink" TargetMode="External" Target="http://www3.lrs.lt/cgi-bin/preps2?a=314800&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31480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288727&amp;b="/>
  <Relationship Id="rId14" Type="http://schemas.openxmlformats.org/officeDocument/2006/relationships/webSettings" Target="webSettings.xml"/>
  <Relationship Id="rId140" Type="http://schemas.openxmlformats.org/officeDocument/2006/relationships/hyperlink" TargetMode="External" Target="http://www3.lrs.lt/cgi-bin/preps2?a=414120&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76706&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76706&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19873&amp;b="/>
  <Relationship Id="rId158" Type="http://schemas.openxmlformats.org/officeDocument/2006/relationships/hyperlink" TargetMode="External" Target="http://www3.lrs.lt/cgi-bin/preps2?a=25838&amp;b="/>
  <Relationship Id="rId159" Type="http://schemas.openxmlformats.org/officeDocument/2006/relationships/hyperlink" TargetMode="External" Target="http://www3.lrs.lt/cgi-bin/preps2?a=46543&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60133&amp;b="/>
  <Relationship Id="rId161" Type="http://schemas.openxmlformats.org/officeDocument/2006/relationships/hyperlink" TargetMode="External" Target="http://www3.lrs.lt/cgi-bin/preps2?a=69958&amp;b="/>
  <Relationship Id="rId162" Type="http://schemas.openxmlformats.org/officeDocument/2006/relationships/hyperlink" TargetMode="External" Target="http://www3.lrs.lt/cgi-bin/preps2?a=88562&amp;b="/>
  <Relationship Id="rId163" Type="http://schemas.openxmlformats.org/officeDocument/2006/relationships/hyperlink" TargetMode="External" Target="http://www3.lrs.lt/cgi-bin/preps2?a=94199&amp;b="/>
  <Relationship Id="rId164" Type="http://schemas.openxmlformats.org/officeDocument/2006/relationships/hyperlink" TargetMode="External" Target="http://www3.lrs.lt/cgi-bin/preps2?a=104679&amp;b="/>
  <Relationship Id="rId165" Type="http://schemas.openxmlformats.org/officeDocument/2006/relationships/hyperlink" TargetMode="External" Target="http://www3.lrs.lt/cgi-bin/preps2?a=111843&amp;b="/>
  <Relationship Id="rId166" Type="http://schemas.openxmlformats.org/officeDocument/2006/relationships/hyperlink" TargetMode="External" Target="http://www3.lrs.lt/cgi-bin/preps2?a=104679&amp;b="/>
  <Relationship Id="rId167" Type="http://schemas.openxmlformats.org/officeDocument/2006/relationships/hyperlink" TargetMode="External" Target="http://www3.lrs.lt/cgi-bin/preps2?a=111837&amp;b="/>
  <Relationship Id="rId168" Type="http://schemas.openxmlformats.org/officeDocument/2006/relationships/hyperlink" TargetMode="External" Target="http://www3.lrs.lt/cgi-bin/preps2?a=139415&amp;b="/>
  <Relationship Id="rId169" Type="http://schemas.openxmlformats.org/officeDocument/2006/relationships/hyperlink" TargetMode="External" Target="http://www3.lrs.lt/cgi-bin/preps2?a=159541&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209640&amp;b="/>
  <Relationship Id="rId171" Type="http://schemas.openxmlformats.org/officeDocument/2006/relationships/hyperlink" TargetMode="External" Target="http://www3.lrs.lt/cgi-bin/preps2?a=288727&amp;b="/>
  <Relationship Id="rId172" Type="http://schemas.openxmlformats.org/officeDocument/2006/relationships/hyperlink" TargetMode="External" Target="http://www3.lrs.lt/cgi-bin/preps2?a=314800&amp;b="/>
  <Relationship Id="rId173" Type="http://schemas.openxmlformats.org/officeDocument/2006/relationships/hyperlink" TargetMode="External" Target="http://www3.lrs.lt/cgi-bin/preps2?a=350406&amp;b="/>
  <Relationship Id="rId174" Type="http://schemas.openxmlformats.org/officeDocument/2006/relationships/hyperlink" TargetMode="External" Target="http://www3.lrs.lt/cgi-bin/preps2?a=414120&amp;b="/>
  <Relationship Id="rId175" Type="http://schemas.openxmlformats.org/officeDocument/2006/relationships/hyperlink" TargetMode="External" Target="http://www3.lrs.lt/cgi-bin/preps2?a=42929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53097&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eur-lex.europa.eu/legal-content/LIT/TXT/?uri=CELEX:32004R0883&amp;locale=lt"/>
  <Relationship Id="rId181" Type="http://schemas.openxmlformats.org/officeDocument/2006/relationships/hyperlink" TargetMode="External" Target="http://eur-lex.europa.eu/legal-content/LIT/TXT/?uri=CELEX:32004R0883&amp;locale=lt"/>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www3.lrs.lt/cgi-bin/preps2?a=288727&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eur-lex.europa.eu/legal-content/LIT/TXT/?uri=CELEX:32018R1240&amp;locale=lt"/>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14120&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288727&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314800&amp;b="/>
  <Relationship Id="rId191" Type="http://schemas.openxmlformats.org/officeDocument/2006/relationships/hyperlink" TargetMode="External" Target="http://www3.lrs.lt/cgi-bin/preps2?a=476706&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350406&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76706&amp;b="/>
  <Relationship Id="rId199" Type="http://schemas.openxmlformats.org/officeDocument/2006/relationships/hyperlink" TargetMode="External" Target="http://www3.lrs.lt/cgi-bin/preps2?a=288727&amp;b="/>
  <Relationship Id="rId2" Type="http://schemas.openxmlformats.org/officeDocument/2006/relationships/header" Target="header161.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314800&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eur-lex.europa.eu/legal-content/LIT/TXT/?uri=CELEX:32002R1030&amp;locale=lt"/>
  <Relationship Id="rId209" Type="http://schemas.openxmlformats.org/officeDocument/2006/relationships/hyperlink" TargetMode="External" Target="http://eur-lex.europa.eu/legal-content/LIT/TXT/?uri=CELEX:32002R1030&amp;locale=lt"/>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18R1860&amp;locale=lt"/>
  <Relationship Id="rId211" Type="http://schemas.openxmlformats.org/officeDocument/2006/relationships/hyperlink" TargetMode="External" Target="http://eur-lex.europa.eu/legal-content/LIT/TXT/?uri=CELEX:32019R1157&amp;locale=lt"/>
  <Relationship Id="rId212" Type="http://schemas.openxmlformats.org/officeDocument/2006/relationships/customXml" Target="../customXml/item1.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60.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61.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62.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62.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288727&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288727&amp;b="/>
  <Relationship Id="rId85" Type="http://schemas.openxmlformats.org/officeDocument/2006/relationships/hyperlink" TargetMode="External" Target="http://www3.lrs.lt/cgi-bin/preps2?a=314800&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350406&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53097&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476706&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136fc1554f7c45e197229e32bf3a18ab">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b130e3d76f364fd1a2030553e49e9818">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2e197fcdb94b40a9998893da1f5bc5d8">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e9d9e8d411a64d24a39b225b31ccba31">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391d46ffb11b4f8789cdc7e30eac23a3"/>
              <Part Type="strPapunktis" Nr="b" Abbr="44 str. 1 d. 2 p. b pp." DocPartId="151db047479444adb140e727e84ce1a7" PartId="fdb6e1cfc2ab4292b567867c505c6dbd"/>
              <Part Type="strPapunktis" Nr="c" Abbr="44 str. 1 d. 2 p. c pp." DocPartId="ebc69a485670470eb84955508eb7565a" PartId="9a0933fcd1a74f9ea09da518d7af960d"/>
            </Part>
          </Part>
          <Part Type="strDalis" Nr="1-1" Abbr="1-1 d." DocPartId="e5560ab51fa749a6b76fe89b56867128" PartId="cefb96fd00104a608d2440ebfafb350e"/>
          <Part Type="strDalis" Nr="2" Abbr="44 str. 2 d." DocPartId="ae0e76c110c24b21b0fbbf686dee5849" PartId="6db7f90c209644679e514bd6e305fe64"/>
          <Part Type="strDalis" Nr="2-1" Abbr="2-1 d." DocPartId="b101d29102e34039a9df2a09891f1672" PartId="1d6381202d0d4364b7792ab04c289945"/>
          <Part Type="strDalis" Nr="2-2" Abbr="44 str. 2-2 d." DocPartId="ee3be59258e44fe186c95dc2e6457528" PartId="5a91d05bf123416eb277a29eb93375b1"/>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28029a5d7f034655a15b02b2b2ba3cda"/>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16fdfabc9d684fe2969d467bd72d2fe0"/>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c2759bd9f4c24a57b4a88d759560fd99"/>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523c322849c3481dad55e3e4d17e3139">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78edaaef188f458aa89dcb0074d2d121"/>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9cd6e9c4547c44a2a3843005c605e240"/>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5bee7a253fe44bd3bbd3580bdf9bcf74"/>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eb7d1c8dc3ce40e0a9f6c2956faec2b4"/>
          <Part Type="strDalis" Nr="9" Abbr="62 str. 9 d." DocPartId="92360ccb5b894538a47089fee590e4ae" PartId="92bb42453ed544ddb7831bd813b7e05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7f4df9c6bb7d42d98463bccb3ab775ce"/>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d3d072a21a06441ebac661362ec81cd7"/>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c910ba1826b24acb8a6d1e32935a37b7">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4d980b40b75a479bb13450e64df5ce7b">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713d008b41444e88b8fda7485f25179f">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1ddc9eb393e64bebbb2537c329c90495">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1E509E-960B-4E52-BDD0-2947BDF2132C}">
  <ds:schemaRefs>
    <ds:schemaRef ds:uri="http://lrs.lt/TAIS/DocParts"/>
  </ds:schemaRefs>
</ds:datastoreItem>
</file>

<file path=customXml/itemProps3.xml><?xml version="1.0" encoding="utf-8"?>
<ds:datastoreItem xmlns:ds="http://schemas.openxmlformats.org/officeDocument/2006/customXml" ds:itemID="{E5480A5F-3184-477C-BDBE-CFEBEB799A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818</TotalTime>
  <Pages>99</Pages>
  <Words>51395</Words>
  <Characters>376514</Characters>
  <Application>Microsoft Office Word</Application>
  <DocSecurity>0</DocSecurity>
  <Lines>3137</Lines>
  <Paragraphs>854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427055</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TAMALIŪNIENĖ Vilija</lastModifiedBy>
  <lastPrinted>2004-04-30T09:02:00Z</lastPrinted>
  <dcterms:modified xsi:type="dcterms:W3CDTF">2024-11-26T15:44:00Z</dcterms:modified>
  <revision>139</revision>
</coreProperties>
</file>