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2022-01-01 iki 2022-01-19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3" w:history="1">
                        <w:r>
                          <w:rPr>
                            <w:rStyle w:val="Hipersaitas"/>
                            <w:i/>
                            <w:sz w:val="20"/>
                          </w:rPr>
                          <w:t>XI-392</w:t>
                        </w:r>
                      </w:hyperlink>
                      <w:r>
                        <w:rPr>
                          <w:i/>
                          <w:sz w:val="20"/>
                        </w:rPr>
                        <w:t>, 2009-07-22, Žin., 2009, Nr. 93-3984 (2009-08-04)</w:t>
                      </w:r>
                    </w:p>
                    <w:p>
                      <w:pPr>
                        <w:jc w:val="both"/>
                      </w:pPr>
                      <w:r>
                        <w:rPr>
                          <w:i/>
                          <w:sz w:val="20"/>
                        </w:rPr>
                        <w:t xml:space="preserve">Nr. </w:t>
                      </w:r>
                      <w:hyperlink r:id="rId224"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7" w:history="1">
                            <w:r>
                              <w:rPr>
                                <w:i/>
                                <w:color w:val="0000FF"/>
                                <w:sz w:val="20"/>
                                <w:u w:val="single"/>
                              </w:rPr>
                              <w:t>XI-1786</w:t>
                            </w:r>
                          </w:hyperlink>
                          <w:r>
                            <w:rPr>
                              <w:i/>
                              <w:sz w:val="20"/>
                            </w:rPr>
                            <w:t>, 2011-12-08, Žin., 2011, Nr. 156-7384 (2011-12-22)</w:t>
                          </w:r>
                        </w:p>
                        <w:p>
                          <w:pPr>
                            <w:jc w:val="both"/>
                          </w:pPr>
                          <w:r>
                            <w:rPr>
                              <w:i/>
                              <w:sz w:val="20"/>
                            </w:rPr>
                            <w:t xml:space="preserve">Nr. </w:t>
                          </w:r>
                          <w:hyperlink r:id="rId22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22f6da83fe59462f892faab44c7aee03"/>
                        <w:lock w:val="sdtLocked"/>
                        <w:richText/>
                      </w:sdtPr>
                      <w:sdtContent>
                        <w:p>
                          <w:pPr>
                            <w:ind w:firstLine="720"/>
                            <w:jc w:val="both"/>
                            <w:rPr>
                              <w:sz w:val="22"/>
                            </w:rPr>
                          </w:pPr>
                          <w:sdt>
                            <w:sdtPr>
                              <w:alias w:val="Numeris"/>
                              <w:tag w:val="nr_22f6da83fe59462f892faab44c7aee03"/>
                              <w:lock w:val="sdtLocked"/>
                              <w:richText/>
                            </w:sdtPr>
                            <w:sdtContent>
                              <w:r>
                                <w:rPr>
                                  <w:rFonts w:eastAsia="Calibri"/>
                                  <w:sz w:val="22"/>
                                  <w:szCs w:val="22"/>
                                </w:rPr>
                                <w:t>1</w:t>
                              </w:r>
                            </w:sdtContent>
                          </w:sdt>
                          <w:r>
                            <w:rPr>
                              <w:rFonts w:eastAsia="Calibri"/>
                              <w:sz w:val="22"/>
                              <w:szCs w:val="22"/>
                            </w:rPr>
                            <w:t xml:space="preserve">. </w:t>
                          </w:r>
                          <w:r>
                            <w:rPr>
                              <w:sz w:val="22"/>
                              <w:szCs w:val="22"/>
                            </w:rPr>
                            <w:t>Nelydimiems nepilnamečiams užsieniečiams, neatsižvelgiant į jų buvimo Lietuvos Respublikos teritorijoje teisėtumą, jų buvimo Lietuvos Respublikos teritorijoje laikotarpiu Lietuvos Respublikos teisės aktų nustatyta tvarka nedelsiant skiriamas atstovas. Skiriant atstovą nelydimam nepilname</w:t>
                          </w:r>
                          <w:r>
                            <w:rPr>
                              <w:color w:val="000000"/>
                              <w:sz w:val="22"/>
                              <w:szCs w:val="22"/>
                            </w:rPr>
                            <w:t>čiam</w:t>
                          </w:r>
                          <w:r>
                            <w:rPr>
                              <w:sz w:val="22"/>
                              <w:szCs w:val="22"/>
                            </w:rPr>
                            <w:t xml:space="preserve"> užsieniečiui, kuris atvyko į Lietuvos Respubliką be tėvų ar kitų teisėtų atstovų, į teismą dėl teismo leidimo paimti vaiką iš jo atstovų pagal įstatymą nesikreipiama. Nepilnameči</w:t>
                          </w:r>
                          <w:r>
                            <w:rPr>
                              <w:color w:val="000000"/>
                              <w:sz w:val="22"/>
                              <w:szCs w:val="22"/>
                            </w:rPr>
                            <w:t>am</w:t>
                          </w:r>
                          <w:r>
                            <w:rPr>
                              <w:sz w:val="22"/>
                              <w:szCs w:val="22"/>
                            </w:rPr>
                            <w:t xml:space="preserve"> užsieniečiui, kuris, atvykęs į Lietuvos Respubliką, liko be tėvų ar kitų teisėtų atstovų, atstovas skiriamas Lietuvos Respublikos teisės aktuose nustatytais pagrindais ir tvarka.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dc148328685e4069a279442f7d79a0b9"/>
                            <w:lock w:val="sdtLocked"/>
                            <w:richText/>
                          </w:sdtPr>
                          <w:sdtContent>
                            <w:p>
                              <w:pPr>
                                <w:ind w:firstLine="720"/>
                                <w:jc w:val="both"/>
                                <w:rPr>
                                  <w:sz w:val="22"/>
                                  <w:szCs w:val="22"/>
                                </w:rPr>
                              </w:pPr>
                              <w:sdt>
                                <w:sdtPr>
                                  <w:alias w:val="Numeris"/>
                                  <w:tag w:val="nr_dc148328685e4069a279442f7d79a0b9"/>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sz w:val="22"/>
                                  <w:szCs w:val="22"/>
                                </w:rPr>
                                <w:t xml:space="preserve"> mokytis pagal </w:t>
                              </w:r>
                              <w:r>
                                <w:rPr>
                                  <w:color w:val="000000"/>
                                  <w:sz w:val="22"/>
                                  <w:szCs w:val="22"/>
                                  <w:bdr w:val="none" w:sz="0" w:space="0" w:color="auto" w:frame="1"/>
                                </w:rPr>
                                <w:t xml:space="preserve">ikimokyklinio, </w:t>
                              </w:r>
                              <w:r>
                                <w:rPr>
                                  <w:sz w:val="22"/>
                                  <w:szCs w:val="22"/>
                                </w:rPr>
                                <w:t xml:space="preserve">priešmokyklinio, bendrojo ugdymo arba profesinio mokymo programą (programas) švietimo, mokslo ir sporto ministro nustatyta tvarka. </w:t>
                              </w:r>
                              <w:r>
                                <w:rPr>
                                  <w:rFonts w:eastAsia="Arial Unicode MS"/>
                                  <w:sz w:val="22"/>
                                  <w:szCs w:val="22"/>
                                  <w:bdr w:val="none" w:sz="0" w:space="0" w:color="auto" w:frame="1"/>
                                  <w:lang w:eastAsia="lt-LT"/>
                                </w:rPr>
                                <w:t>Teisė mokytis pagal ikimokyklinio, priešmokyklinio, bendrojo ugdymo arba profesinio mokymo programą (programas) užtikrinama ne vėliau kaip per 3 mėnesius nuo nelydimo nepilnamečio užsieniečio buvimo Lietuvos Respublikoje nustatymo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3 p."/>
                            <w:tag w:val="part_9ad1976314bb452a9d1f83162740ab42"/>
                            <w:lock w:val="sdtLocked"/>
                            <w:richText/>
                          </w:sdtPr>
                          <w:sdtContent>
                            <w:p>
                              <w:pPr>
                                <w:ind w:firstLine="720"/>
                                <w:jc w:val="both"/>
                                <w:rPr>
                                  <w:sz w:val="22"/>
                                </w:rPr>
                              </w:pPr>
                              <w:sdt>
                                <w:sdtPr>
                                  <w:alias w:val="Numeris"/>
                                  <w:tag w:val="nr_9ad1976314bb452a9d1f83162740ab42"/>
                                  <w:lock w:val="sdtLocked"/>
                                  <w:richText/>
                                </w:sdtPr>
                                <w:sdtContent>
                                  <w:r>
                                    <w:rPr>
                                      <w:sz w:val="22"/>
                                      <w:szCs w:val="22"/>
                                    </w:rPr>
                                    <w:t>3</w:t>
                                  </w:r>
                                </w:sdtContent>
                              </w:sdt>
                              <w:r>
                                <w:rPr>
                                  <w:sz w:val="22"/>
                                  <w:szCs w:val="22"/>
                                </w:rPr>
                                <w:t>) gauti Lietuvos Respublikos s</w:t>
                              </w:r>
                              <w:r>
                                <w:rPr>
                                  <w:bCs/>
                                  <w:sz w:val="22"/>
                                  <w:szCs w:val="22"/>
                                </w:rPr>
                                <w:t>veikatos sistemos įstatyme nurodytą valstybės laiduojamą (nemokamą) sveikatos priežiūrą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4"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a52a24eba7864f428a18cda5ee1e54f1"/>
                <w:lock w:val="sdtLocked"/>
                <w:richText/>
              </w:sdtPr>
              <w:sdtContent>
                <w:p>
                  <w:pPr>
                    <w:ind w:left="2410" w:hanging="1690"/>
                    <w:jc w:val="both"/>
                    <w:rPr>
                      <w:rFonts w:eastAsia="MS Mincho"/>
                      <w:b/>
                      <w:bCs/>
                      <w:sz w:val="22"/>
                      <w:szCs w:val="22"/>
                    </w:rPr>
                  </w:pPr>
                  <w:sdt>
                    <w:sdtPr>
                      <w:alias w:val="Numeris"/>
                      <w:tag w:val="nr_a52a24eba7864f428a18cda5ee1e54f1"/>
                      <w:lock w:val="sdtLocked"/>
                      <w:richText/>
                    </w:sdtPr>
                    <w:sdtContent>
                      <w:r>
                        <w:rPr>
                          <w:rFonts w:eastAsia="MS Mincho"/>
                          <w:b/>
                          <w:sz w:val="22"/>
                          <w:szCs w:val="22"/>
                        </w:rPr>
                        <w:t>130</w:t>
                      </w:r>
                      <w:r>
                        <w:rPr>
                          <w:rFonts w:eastAsia="MS Mincho"/>
                          <w:b/>
                          <w:sz w:val="22"/>
                          <w:szCs w:val="22"/>
                          <w:vertAlign w:val="superscript"/>
                        </w:rPr>
                        <w:t>1</w:t>
                      </w:r>
                    </w:sdtContent>
                  </w:sdt>
                  <w:r>
                    <w:rPr>
                      <w:rFonts w:eastAsia="MS Mincho"/>
                      <w:b/>
                      <w:sz w:val="22"/>
                      <w:szCs w:val="22"/>
                    </w:rPr>
                    <w:t xml:space="preserve"> straipsnis. </w:t>
                  </w:r>
                  <w:sdt>
                    <w:sdtPr>
                      <w:alias w:val="Pavadinimas"/>
                      <w:tag w:val="title_a52a24eba7864f428a18cda5ee1e54f1"/>
                      <w:lock w:val="sdtLocked"/>
                      <w:richText/>
                    </w:sdtPr>
                    <w:sdtContent>
                      <w:r>
                        <w:rPr>
                          <w:rFonts w:eastAsia="MS Mincho"/>
                          <w:b/>
                          <w:sz w:val="22"/>
                          <w:szCs w:val="22"/>
                        </w:rPr>
                        <w:t>Leidimo laikinai gyventi išdavimas užsieniečiui, kuris negali išvykti iš Lietuvos Respublikos dėl humanitarinių priežasčių arba negali grįžti į kilmės valstybę</w:t>
                      </w:r>
                      <w:r>
                        <w:rPr>
                          <w:rFonts w:eastAsia="MS Mincho"/>
                          <w:strike/>
                          <w:sz w:val="22"/>
                          <w:szCs w:val="22"/>
                        </w:rPr>
                        <w:t xml:space="preserve"> </w:t>
                      </w:r>
                    </w:sdtContent>
                  </w:sdt>
                </w:p>
                <w:sdt>
                  <w:sdtPr>
                    <w:alias w:val="130-1 str. 1 d."/>
                    <w:tag w:val="part_828f0d8a424f4b1c849efd11d3e61203"/>
                    <w:lock w:val="sdtLocked"/>
                    <w:richText/>
                  </w:sdtPr>
                  <w:sdtContent>
                    <w:p>
                      <w:pPr>
                        <w:ind w:firstLine="720"/>
                        <w:jc w:val="both"/>
                        <w:rPr>
                          <w:sz w:val="22"/>
                        </w:rPr>
                      </w:pPr>
                      <w:r>
                        <w:rPr>
                          <w:rFonts w:eastAsia="MS Mincho"/>
                          <w:sz w:val="22"/>
                          <w:szCs w:val="22"/>
                        </w:rPr>
                        <w:t xml:space="preserve">Jeigu užsienietis negali išvykti iš Lietuvos Respublikos dėl humanitarinių priežasčių arba jeigu užsienietis </w:t>
                      </w:r>
                      <w:r>
                        <w:rPr>
                          <w:rFonts w:eastAsia="Calibri"/>
                          <w:sz w:val="22"/>
                          <w:szCs w:val="22"/>
                        </w:rPr>
                        <w:t xml:space="preserve">negali grįžti į kilmės valstybę dėl to, kad </w:t>
                      </w:r>
                      <w:r>
                        <w:rPr>
                          <w:rFonts w:eastAsia="MS Mincho"/>
                          <w:sz w:val="22"/>
                          <w:szCs w:val="22"/>
                        </w:rPr>
                        <w:t>yra persekiojamas nedemokratinio režimo ir (ar) yra nukentėjęs ar gali nukentėti nuo šio režimo vykdomų represijų, ir dėl šio užsieniečio kreipiasi Lietuvos Respublikos užsienio reikalų ministerija, jam šio Įstatymo 40 straipsnio 1 dalies 8 punkte nustatytu pagrindu išduodamas ne ilgiau kaip vienerius metus galiojantis leidimas laikinai gyventi, kurio galiojimo laikotarpiu užsienietis turi teisę dirbti.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71e1f170c97f4c409a46f70e49cefce0"/>
                    <w:lock w:val="sdtLocked"/>
                    <w:richText/>
                  </w:sdtPr>
                  <w:sdtContent>
                    <w:p>
                      <w:pPr>
                        <w:pBdr>
                          <w:top w:val="nil"/>
                          <w:left w:val="nil"/>
                          <w:bottom w:val="nil"/>
                          <w:right w:val="nil"/>
                          <w:between w:val="nil"/>
                          <w:bar w:val="nil"/>
                        </w:pBdr>
                        <w:ind w:firstLine="720"/>
                        <w:jc w:val="both"/>
                        <w:rPr>
                          <w:b/>
                          <w:sz w:val="22"/>
                          <w:szCs w:val="22"/>
                        </w:rPr>
                      </w:pPr>
                      <w:sdt>
                        <w:sdtPr>
                          <w:alias w:val="Numeris"/>
                          <w:tag w:val="nr_71e1f170c97f4c409a46f70e49cefce0"/>
                          <w:lock w:val="sdtLocked"/>
                          <w:richText/>
                        </w:sdtPr>
                        <w:sdtContent>
                          <w:r>
                            <w:rPr>
                              <w:rFonts w:eastAsia="Calibri"/>
                              <w:b/>
                              <w:sz w:val="22"/>
                              <w:szCs w:val="22"/>
                            </w:rPr>
                            <w:t>140</w:t>
                          </w:r>
                          <w:r>
                            <w:rPr>
                              <w:rFonts w:eastAsia="Calibri"/>
                              <w:b/>
                              <w:sz w:val="22"/>
                              <w:szCs w:val="22"/>
                              <w:vertAlign w:val="superscript"/>
                            </w:rPr>
                            <w:t>13</w:t>
                          </w:r>
                        </w:sdtContent>
                      </w:sdt>
                      <w:r>
                        <w:rPr>
                          <w:rFonts w:eastAsia="Calibri"/>
                          <w:b/>
                          <w:sz w:val="22"/>
                          <w:szCs w:val="22"/>
                        </w:rPr>
                        <w:t xml:space="preserve"> straipsnis. </w:t>
                      </w:r>
                      <w:sdt>
                        <w:sdtPr>
                          <w:alias w:val="Pavadinimas"/>
                          <w:tag w:val="title_71e1f170c97f4c409a46f70e49cefce0"/>
                          <w:lock w:val="sdtLocked"/>
                          <w:richText/>
                        </w:sdtPr>
                        <w:sdtContent>
                          <w:r>
                            <w:rPr>
                              <w:b/>
                              <w:sz w:val="22"/>
                              <w:szCs w:val="22"/>
                            </w:rPr>
                            <w:t>Užsieniečių teisės</w:t>
                          </w:r>
                        </w:sdtContent>
                      </w:sdt>
                    </w:p>
                    <w:sdt>
                      <w:sdtPr>
                        <w:alias w:val="140-13 str. 1 d."/>
                        <w:tag w:val="part_f5ab4975a25043119af41f08a92a87ef"/>
                        <w:lock w:val="sdtLocked"/>
                        <w:richText/>
                      </w:sdtPr>
                      <w:sdtContent>
                        <w:p>
                          <w:pPr>
                            <w:ind w:firstLine="720"/>
                            <w:jc w:val="both"/>
                            <w:rPr>
                              <w:rFonts w:eastAsia="Calibri"/>
                              <w:sz w:val="22"/>
                              <w:szCs w:val="22"/>
                            </w:rPr>
                          </w:pPr>
                          <w:sdt>
                            <w:sdtPr>
                              <w:alias w:val="Numeris"/>
                              <w:tag w:val="nr_f5ab4975a25043119af41f08a92a87ef"/>
                              <w:lock w:val="sdtLocked"/>
                              <w:richText/>
                            </w:sdtPr>
                            <w:sdtContent>
                              <w:r>
                                <w:rPr>
                                  <w:sz w:val="22"/>
                                  <w:szCs w:val="22"/>
                                </w:rPr>
                                <w:t>1</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prieglobsčio prašytojai turi</w:t>
                          </w:r>
                          <w:r>
                            <w:rPr>
                              <w:sz w:val="22"/>
                              <w:szCs w:val="22"/>
                            </w:rPr>
                            <w:t xml:space="preserve"> teises, nurodytas šio Įstatymo 71 straipsnio 1, 2 ir 2</w:t>
                          </w:r>
                          <w:r>
                            <w:rPr>
                              <w:sz w:val="22"/>
                              <w:szCs w:val="22"/>
                              <w:vertAlign w:val="superscript"/>
                            </w:rPr>
                            <w:t>1</w:t>
                          </w:r>
                          <w:r>
                            <w:rPr>
                              <w:sz w:val="22"/>
                              <w:szCs w:val="22"/>
                            </w:rPr>
                            <w:t xml:space="preserve"> dalyse, </w:t>
                          </w:r>
                          <w:r>
                            <w:rPr>
                              <w:rFonts w:eastAsia="Calibri"/>
                              <w:sz w:val="22"/>
                              <w:szCs w:val="22"/>
                            </w:rPr>
                            <w:t>išskyrus teisę gauti piniginę pašalpą.</w:t>
                          </w:r>
                        </w:p>
                      </w:sdtContent>
                    </w:sdt>
                    <w:sdt>
                      <w:sdtPr>
                        <w:alias w:val="140-13 str. 2 d."/>
                        <w:tag w:val="part_71eb8c2bead64954ab7a968334d330b8"/>
                        <w:lock w:val="sdtLocked"/>
                        <w:richText/>
                      </w:sdtPr>
                      <w:sdtContent>
                        <w:p>
                          <w:pPr>
                            <w:ind w:firstLine="720"/>
                            <w:jc w:val="both"/>
                            <w:rPr>
                              <w:sz w:val="22"/>
                              <w:szCs w:val="22"/>
                            </w:rPr>
                          </w:pPr>
                          <w:sdt>
                            <w:sdtPr>
                              <w:alias w:val="Numeris"/>
                              <w:tag w:val="nr_71eb8c2bead64954ab7a968334d330b8"/>
                              <w:lock w:val="sdtLocked"/>
                              <w:richText/>
                            </w:sdtPr>
                            <w:sdtContent>
                              <w:r>
                                <w:rPr>
                                  <w:sz w:val="22"/>
                                  <w:szCs w:val="22"/>
                                </w:rPr>
                                <w:t>2</w:t>
                              </w:r>
                            </w:sdtContent>
                          </w:sdt>
                          <w:r>
                            <w:rPr>
                              <w:sz w:val="22"/>
                              <w:szCs w:val="22"/>
                            </w:rPr>
                            <w:t xml:space="preserve">.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 </w:t>
                          </w:r>
                        </w:p>
                      </w:sdtContent>
                    </w:sdt>
                    <w:sdt>
                      <w:sdtPr>
                        <w:alias w:val="140-13 str. 3 d."/>
                        <w:tag w:val="part_24d5f66be58d4e4c876b0cd0d09b3fac"/>
                        <w:lock w:val="sdtLocked"/>
                        <w:richText/>
                      </w:sdtPr>
                      <w:sdtContent>
                        <w:p>
                          <w:pPr>
                            <w:ind w:firstLine="720"/>
                            <w:jc w:val="both"/>
                            <w:rPr>
                              <w:sz w:val="22"/>
                              <w:szCs w:val="22"/>
                            </w:rPr>
                          </w:pPr>
                          <w:sdt>
                            <w:sdtPr>
                              <w:alias w:val="Numeris"/>
                              <w:tag w:val="nr_24d5f66be58d4e4c876b0cd0d09b3fac"/>
                              <w:lock w:val="sdtLocked"/>
                              <w:richText/>
                            </w:sdtPr>
                            <w:sdtContent>
                              <w:r>
                                <w:rPr>
                                  <w:sz w:val="22"/>
                                  <w:szCs w:val="22"/>
                                </w:rPr>
                                <w:t>3</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užsieniečiai, kurie</w:t>
                          </w:r>
                          <w:r>
                            <w:rPr>
                              <w:rFonts w:eastAsia="Arial Unicode MS"/>
                              <w:sz w:val="22"/>
                              <w:szCs w:val="22"/>
                              <w:bdr w:val="nil"/>
                            </w:rPr>
                            <w:t xml:space="preserve"> neteisėtai kirto Lietuvos Respublikos valstybės sieną</w:t>
                          </w:r>
                          <w:r>
                            <w:rPr>
                              <w:rFonts w:eastAsia="Calibri"/>
                              <w:sz w:val="22"/>
                              <w:szCs w:val="22"/>
                            </w:rPr>
                            <w:t xml:space="preserve"> ir kurie nėra prieglobsčio prašytojai, turi teises, nurodytas šio Įstatymo 3 straipsnio 5 dalyje.</w:t>
                          </w:r>
                        </w:p>
                        <w:p>
                          <w:pPr>
                            <w:pBdr>
                              <w:top w:val="nil"/>
                              <w:left w:val="nil"/>
                              <w:bottom w:val="nil"/>
                              <w:right w:val="nil"/>
                              <w:between w:val="nil"/>
                              <w:bar w:val="nil"/>
                            </w:pBdr>
                            <w:ind w:firstLine="720"/>
                            <w:jc w:val="both"/>
                            <w:rPr>
                              <w:sz w:val="22"/>
                              <w:szCs w:val="22"/>
                            </w:rPr>
                          </w:pPr>
                        </w:p>
                      </w:sdtContent>
                    </w:sdt>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294&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53097&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1480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76706&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76706&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1480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350406&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1412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504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29704&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22f6da83fe59462f892faab44c7aee03"/>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dc148328685e4069a279442f7d79a0b9"/>
            <Part Type="strPunktas" Nr="3" Abbr="32 str. 2 d. 3 p." DocPartId="9cf34d4e3fb84439a7b41791190e6e04" PartId="9ad1976314bb452a9d1f83162740ab4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a52a24eba7864f428a18cda5ee1e54f1">
        <Part Type="strDalis" Nr="1" Abbr="130-1 str. 1 d." DocPartId="237fd80910e64c7c8fd4d335ab16ec9a" PartId="828f0d8a424f4b1c849efd11d3e61203"/>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71e1f170c97f4c409a46f70e49cefce0">
          <Part Type="strDalis" Nr="1" Abbr="140-13 str. 1 d." DocPartId="c1243c50a7184381be69cbbc91cdad5c" PartId="f5ab4975a25043119af41f08a92a87ef"/>
          <Part Type="strDalis" Nr="2" Abbr="140-13 str. 2 d." DocPartId="7dabc5b999c24122a6e1c104550a6a3c" PartId="71eb8c2bead64954ab7a968334d330b8"/>
          <Part Type="strDalis" Nr="3" Abbr="140-13 str. 3 d." DocPartId="1449a604dbd943379f4780835facbc50" PartId="24d5f66be58d4e4c876b0cd0d09b3fac"/>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4279DED-B7D8-407D-8800-2AA961014EAF}">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