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2019-07-01 iki 2019-07-26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30" w:history="1">
                        <w:r>
                          <w:rPr>
                            <w:rStyle w:val="Hipersaitas"/>
                            <w:i/>
                            <w:sz w:val="20"/>
                          </w:rPr>
                          <w:t>XI-392</w:t>
                        </w:r>
                      </w:hyperlink>
                      <w:r>
                        <w:rPr>
                          <w:i/>
                          <w:sz w:val="20"/>
                        </w:rPr>
                        <w:t>, 2009-07-22, Žin., 2009, Nr. 93-3984 (2009-08-04)</w:t>
                      </w:r>
                    </w:p>
                    <w:p>
                      <w:pPr>
                        <w:jc w:val="both"/>
                      </w:pPr>
                      <w:r>
                        <w:rPr>
                          <w:i/>
                          <w:sz w:val="20"/>
                        </w:rPr>
                        <w:t xml:space="preserve">Nr. </w:t>
                      </w:r>
                      <w:hyperlink r:id="rId231"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3"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4" w:history="1">
                            <w:r>
                              <w:rPr>
                                <w:i/>
                                <w:color w:val="0000FF"/>
                                <w:sz w:val="20"/>
                                <w:u w:val="single"/>
                              </w:rPr>
                              <w:t>XI-1786</w:t>
                            </w:r>
                          </w:hyperlink>
                          <w:r>
                            <w:rPr>
                              <w:i/>
                              <w:sz w:val="20"/>
                            </w:rPr>
                            <w:t>, 2011-12-08, Žin., 2011, Nr. 156-7384 (2011-12-22)</w:t>
                          </w:r>
                        </w:p>
                        <w:p>
                          <w:pPr>
                            <w:jc w:val="both"/>
                          </w:pPr>
                          <w:r>
                            <w:rPr>
                              <w:i/>
                              <w:sz w:val="20"/>
                            </w:rPr>
                            <w:t xml:space="preserve">Nr. </w:t>
                          </w:r>
                          <w:hyperlink r:id="rId235"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8"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4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3a2a01d59ea4416188ecd7a95a4a0038"/>
                        <w:lock w:val="sdtLocked"/>
                        <w:richText/>
                      </w:sdtPr>
                      <w:sdtContent>
                        <w:p>
                          <w:pPr>
                            <w:ind w:firstLine="720"/>
                            <w:jc w:val="both"/>
                            <w:rPr>
                              <w:b/>
                              <w:sz w:val="22"/>
                            </w:rPr>
                          </w:pPr>
                          <w:sdt>
                            <w:sdtPr>
                              <w:alias w:val="Numeris"/>
                              <w:tag w:val="nr_3a2a01d59ea4416188ecd7a95a4a0038"/>
                              <w:lock w:val="sdtLocked"/>
                              <w:richText/>
                            </w:sdtPr>
                            <w:sdtContent>
                              <w:r>
                                <w:rPr>
                                  <w:sz w:val="22"/>
                                  <w:szCs w:val="22"/>
                                </w:rPr>
                                <w:t>3</w:t>
                              </w:r>
                            </w:sdtContent>
                          </w:sdt>
                          <w:r>
                            <w:rPr>
                              <w:sz w:val="22"/>
                              <w:szCs w:val="22"/>
                            </w:rPr>
                            <w:t>. Užsienietis, esantis Lietuvos Respublikos teritorijoje teisėtai, prašymą išduoti leidimą gyventi, įskaitant ir pateikiamą pirmą kartą, gali pateikti Migracijos departamentui, tačiau tokio prašymo pateikimas nesuteikia teisės užsieniečiui būti Lietuvos Respublikos teritorijoje, iki bus išnagrinėtas užsieniečio prašymas išduoti leidimą gyventi ir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d."/>
                        <w:tag w:val="part_22a2ed40361343da9b5f3233220bc1f1"/>
                        <w:lock w:val="sdtLocked"/>
                        <w:richText/>
                      </w:sdtPr>
                      <w:sdtContent>
                        <w:p>
                          <w:pPr>
                            <w:ind w:firstLine="720"/>
                            <w:jc w:val="both"/>
                            <w:rPr>
                              <w:b/>
                              <w:sz w:val="22"/>
                            </w:rPr>
                          </w:pPr>
                          <w:sdt>
                            <w:sdtPr>
                              <w:alias w:val="Numeris"/>
                              <w:tag w:val="nr_22a2ed40361343da9b5f3233220bc1f1"/>
                              <w:lock w:val="sdtLocked"/>
                              <w:richText/>
                            </w:sdtPr>
                            <w:sdtContent>
                              <w:r>
                                <w:rPr>
                                  <w:color w:val="000000"/>
                                  <w:sz w:val="22"/>
                                  <w:szCs w:val="22"/>
                                </w:rPr>
                                <w:t>3</w:t>
                              </w:r>
                              <w:r>
                                <w:rPr>
                                  <w:color w:val="000000"/>
                                  <w:sz w:val="22"/>
                                  <w:szCs w:val="22"/>
                                  <w:vertAlign w:val="superscript"/>
                                </w:rPr>
                                <w:t>1</w:t>
                              </w:r>
                            </w:sdtContent>
                          </w:sdt>
                          <w:r>
                            <w:rPr>
                              <w:color w:val="000000"/>
                              <w:sz w:val="22"/>
                              <w:szCs w:val="22"/>
                            </w:rPr>
                            <w:t>. Užsienietis, kuris perkeliamas įmonės viduje, prašymą išduoti leidimą laikinai gyventi šio Įstatymo 40 straipsnio 1 dalies 4</w:t>
                          </w:r>
                          <w:r>
                            <w:rPr>
                              <w:color w:val="000000"/>
                              <w:sz w:val="22"/>
                              <w:szCs w:val="22"/>
                              <w:vertAlign w:val="superscript"/>
                            </w:rPr>
                            <w:t xml:space="preserve">2 </w:t>
                          </w:r>
                          <w:r>
                            <w:rPr>
                              <w:color w:val="000000"/>
                              <w:sz w:val="22"/>
                              <w:szCs w:val="22"/>
                            </w:rPr>
                            <w:t>punkte nustatytu pagrindu pateikia Lietuvos Respublikos diplomatinei atstovybei arba konsulinei įstaigai, nesančiai Europos Sąjungos valstybių narių teritorijoje, laikydamasis šio Įstatymo 44</w:t>
                          </w:r>
                          <w:r>
                            <w:rPr>
                              <w:color w:val="000000"/>
                              <w:sz w:val="22"/>
                              <w:szCs w:val="22"/>
                              <w:vertAlign w:val="superscript"/>
                            </w:rPr>
                            <w:t>2</w:t>
                          </w:r>
                          <w:r>
                            <w:rPr>
                              <w:color w:val="000000"/>
                              <w:sz w:val="22"/>
                              <w:szCs w:val="22"/>
                            </w:rPr>
                            <w:t xml:space="preserve"> straipsnio 5 ir 6 dalyse nustatytų reikalavimų. Šio Įstatymo 44</w:t>
                          </w:r>
                          <w:r>
                            <w:rPr>
                              <w:color w:val="000000"/>
                              <w:sz w:val="22"/>
                              <w:szCs w:val="22"/>
                              <w:vertAlign w:val="superscript"/>
                            </w:rPr>
                            <w:t>2</w:t>
                          </w:r>
                          <w:r>
                            <w:rPr>
                              <w:color w:val="000000"/>
                              <w:sz w:val="22"/>
                              <w:szCs w:val="22"/>
                            </w:rPr>
                            <w:t xml:space="preserve">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 d."/>
                        <w:tag w:val="part_caa64033c3634f62818196581f024e7e"/>
                        <w:lock w:val="sdtLocked"/>
                        <w:richText/>
                      </w:sdtPr>
                      <w:sdtContent>
                        <w:p>
                          <w:pPr>
                            <w:ind w:firstLine="720"/>
                            <w:jc w:val="both"/>
                            <w:rPr>
                              <w:b/>
                              <w:sz w:val="22"/>
                            </w:rPr>
                          </w:pPr>
                          <w:sdt>
                            <w:sdtPr>
                              <w:alias w:val="Numeris"/>
                              <w:tag w:val="nr_caa64033c3634f62818196581f024e7e"/>
                              <w:lock w:val="sdtLocked"/>
                              <w:richText/>
                            </w:sdtPr>
                            <w:sdtContent>
                              <w:r>
                                <w:rPr>
                                  <w:sz w:val="22"/>
                                  <w:szCs w:val="22"/>
                                </w:rPr>
                                <w:t>4</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ar 49</w:t>
                          </w:r>
                          <w:r>
                            <w:rPr>
                              <w:sz w:val="22"/>
                              <w:szCs w:val="22"/>
                              <w:vertAlign w:val="superscript"/>
                            </w:rPr>
                            <w:t>2</w:t>
                          </w:r>
                          <w:r>
                            <w:rPr>
                              <w:sz w:val="22"/>
                              <w:szCs w:val="22"/>
                            </w:rPr>
                            <w:t xml:space="preserve"> straipsnio 2 dalyje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b3526a3c18f1408e9c1083a52014ff62"/>
                                <w:lock w:val="sdtLocked"/>
                                <w:richText/>
                              </w:sdtPr>
                              <w:sdtContent>
                                <w:p>
                                  <w:pPr>
                                    <w:ind w:firstLine="720"/>
                                    <w:jc w:val="both"/>
                                    <w:rPr>
                                      <w:sz w:val="22"/>
                                      <w:szCs w:val="22"/>
                                    </w:rPr>
                                  </w:pPr>
                                  <w:sdt>
                                    <w:sdtPr>
                                      <w:alias w:val="Numeris"/>
                                      <w:tag w:val="nr_b3526a3c18f1408e9c1083a52014ff6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ir 15 punktuose nustatytais pagrindais;</w:t>
                                  </w:r>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3692f14084ed4bbfbbf92fdad1159cc3"/>
                        <w:lock w:val="sdtLocked"/>
                        <w:richText/>
                      </w:sdtPr>
                      <w:sdtContent>
                        <w:p>
                          <w:pPr>
                            <w:ind w:firstLine="720"/>
                            <w:jc w:val="both"/>
                          </w:pPr>
                          <w:sdt>
                            <w:sdtPr>
                              <w:alias w:val="Numeris"/>
                              <w:tag w:val="nr_3692f14084ed4bbfbbf92fdad1159cc3"/>
                              <w:lock w:val="sdtLocked"/>
                              <w:richText/>
                            </w:sdtPr>
                            <w:sdtContent>
                              <w:r>
                                <w:rPr>
                                  <w:sz w:val="22"/>
                                  <w:szCs w:val="22"/>
                                </w:rPr>
                                <w:t>4</w:t>
                              </w:r>
                            </w:sdtContent>
                          </w:sdt>
                          <w:r>
                            <w:rPr>
                              <w:sz w:val="22"/>
                              <w:szCs w:val="22"/>
                            </w:rPr>
                            <w:t>. Jeigu nepakanka prašymą išduoti ar pakeisti leidimą gyventi pagrindžiančių duomenų ir (ar) dokumentų,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jc w:val="both"/>
                            <w:rPr>
                              <w:i/>
                              <w:sz w:val="20"/>
                            </w:rPr>
                          </w:pPr>
                          <w:r>
                            <w:rPr>
                              <w:rFonts w:eastAsia="MS Mincho"/>
                              <w:i/>
                              <w:iCs/>
                              <w:sz w:val="20"/>
                            </w:rPr>
                            <w:t>Straipsnio pakeitimai:</w:t>
                          </w:r>
                        </w:p>
                        <w:p>
                          <w:pPr>
                            <w:jc w:val="both"/>
                            <w:rPr>
                              <w:i/>
                              <w:sz w:val="20"/>
                            </w:rPr>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42" w:history="1">
                            <w:r>
                              <w:rPr>
                                <w:i/>
                                <w:color w:val="0000FF"/>
                                <w:sz w:val="20"/>
                                <w:u w:val="single"/>
                              </w:rPr>
                              <w:t>XI-2189</w:t>
                            </w:r>
                          </w:hyperlink>
                          <w:r>
                            <w:rPr>
                              <w:i/>
                              <w:sz w:val="20"/>
                            </w:rPr>
                            <w:t>, 2012-06-30, Žin., 2012, Nr. 85-4450 (2012-07-19)</w:t>
                          </w:r>
                        </w:p>
                        <w:p>
                          <w:pPr>
                            <w:jc w:val="both"/>
                          </w:pPr>
                          <w:r>
                            <w:rPr>
                              <w:i/>
                              <w:sz w:val="20"/>
                            </w:rPr>
                            <w:t xml:space="preserve">Nr. </w:t>
                          </w:r>
                          <w:hyperlink r:id="rId243" w:history="1">
                            <w:r>
                              <w:rPr>
                                <w:i/>
                                <w:color w:val="0000FF"/>
                                <w:sz w:val="20"/>
                                <w:u w:val="single"/>
                              </w:rPr>
                              <w:t>XII-548</w:t>
                            </w:r>
                          </w:hyperlink>
                          <w:r>
                            <w:rPr>
                              <w:i/>
                              <w:sz w:val="20"/>
                            </w:rPr>
                            <w:t>, 2013-10-10, Žin., 2013, Nr. 111-5488 (2013-10-24)</w:t>
                          </w:r>
                        </w:p>
                        <w:p>
                          <w:pPr>
                            <w:jc w:val="both"/>
                            <w:rPr>
                              <w:sz w:val="22"/>
                            </w:rPr>
                          </w:pPr>
                          <w:r>
                            <w:rPr>
                              <w:i/>
                              <w:sz w:val="20"/>
                            </w:rPr>
                            <w:t xml:space="preserve">Nr. </w:t>
                          </w:r>
                          <w:hyperlink r:id="rId24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18cf466cc5c547b2b278f722c34c421c"/>
                            <w:lock w:val="sdtLocked"/>
                            <w:richText/>
                          </w:sdtPr>
                          <w:sdtContent>
                            <w:p>
                              <w:pPr>
                                <w:ind w:firstLine="720"/>
                                <w:jc w:val="both"/>
                                <w:rPr>
                                  <w:color w:val="000000"/>
                                  <w:sz w:val="22"/>
                                  <w:szCs w:val="22"/>
                                </w:rPr>
                              </w:pPr>
                              <w:sdt>
                                <w:sdtPr>
                                  <w:alias w:val="Numeris"/>
                                  <w:tag w:val="nr_18cf466cc5c547b2b278f722c34c421c"/>
                                  <w:lock w:val="sdtLocked"/>
                                  <w:richText/>
                                </w:sdtPr>
                                <w:sdtContent>
                                  <w:r>
                                    <w:rPr>
                                      <w:color w:val="000000"/>
                                      <w:sz w:val="22"/>
                                      <w:szCs w:val="22"/>
                                    </w:rPr>
                                    <w:t>4</w:t>
                                  </w:r>
                                </w:sdtContent>
                              </w:sdt>
                              <w:r>
                                <w:rPr>
                                  <w:color w:val="000000"/>
                                  <w:sz w:val="22"/>
                                  <w:szCs w:val="22"/>
                                </w:rPr>
                                <w:t>) pasikeičia Juridinių asmenų registre įregistruoto privačiojo juridinio asmens (toliau – įmonė)</w:t>
                              </w:r>
                              <w:r>
                                <w:rPr>
                                  <w:bCs/>
                                  <w:color w:val="000000"/>
                                  <w:sz w:val="22"/>
                                  <w:szCs w:val="22"/>
                                </w:rPr>
                                <w:t xml:space="preserve"> </w:t>
                              </w:r>
                              <w:r>
                                <w:rPr>
                                  <w:color w:val="000000"/>
                                  <w:sz w:val="22"/>
                                  <w:szCs w:val="22"/>
                                </w:rPr>
                                <w:t>arba užsienio valstybėje įsteigtos įmonės filialo ar atstovybės buveinės adresas, kai leidimas laikinai gyventi jam išduotas šio Įstatymo 40 straipsnio 1 dalies 5</w:t>
                              </w:r>
                              <w:r>
                                <w:rPr>
                                  <w:color w:val="000000"/>
                                  <w:sz w:val="22"/>
                                  <w:szCs w:val="22"/>
                                  <w:vertAlign w:val="superscript"/>
                                </w:rPr>
                                <w:t>1</w:t>
                              </w:r>
                              <w:r>
                                <w:rPr>
                                  <w:color w:val="000000"/>
                                  <w:sz w:val="22"/>
                                  <w:szCs w:val="22"/>
                                </w:rPr>
                                <w:t xml:space="preserve"> punkte ar</w:t>
                              </w:r>
                              <w:r>
                                <w:rPr>
                                  <w:bCs/>
                                  <w:color w:val="000000"/>
                                  <w:sz w:val="22"/>
                                  <w:szCs w:val="22"/>
                                </w:rPr>
                                <w:t xml:space="preserve"> </w:t>
                              </w:r>
                              <w:r>
                                <w:rPr>
                                  <w:color w:val="000000"/>
                                  <w:sz w:val="22"/>
                                  <w:szCs w:val="22"/>
                                </w:rPr>
                                <w:t>45 straipsnio 1 dalies 1–2</w:t>
                              </w:r>
                              <w:r>
                                <w:rPr>
                                  <w:color w:val="000000"/>
                                  <w:sz w:val="22"/>
                                  <w:szCs w:val="22"/>
                                  <w:vertAlign w:val="superscript"/>
                                </w:rPr>
                                <w:t>2</w:t>
                              </w:r>
                              <w:r>
                                <w:rPr>
                                  <w:color w:val="000000"/>
                                  <w:sz w:val="22"/>
                                  <w:szCs w:val="22"/>
                                </w:rPr>
                                <w:t xml:space="preserve"> punktuose nustatytais pagrindais arba kai leidimas laikinai gyventi jam išduotas šio Įstatymo 44</w:t>
                              </w:r>
                              <w:r>
                                <w:rPr>
                                  <w:color w:val="000000"/>
                                  <w:sz w:val="22"/>
                                  <w:szCs w:val="22"/>
                                  <w:vertAlign w:val="superscript"/>
                                </w:rPr>
                                <w:t>2</w:t>
                              </w:r>
                              <w:r>
                                <w:rPr>
                                  <w:color w:val="000000"/>
                                  <w:sz w:val="22"/>
                                  <w:szCs w:val="22"/>
                                </w:rPr>
                                <w:t xml:space="preserve"> straipsnio 1 dalies 1 punkte nustatytu pagrindu kaip vadovui, vadovausiančiam priimančiajai įmonei;</w:t>
                              </w:r>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88790363a03142a09328f31eb12b57e8"/>
                            <w:lock w:val="sdtLocked"/>
                            <w:richText/>
                          </w:sdtPr>
                          <w:sdtContent>
                            <w:p>
                              <w:pPr>
                                <w:ind w:firstLine="720"/>
                                <w:jc w:val="both"/>
                                <w:rPr>
                                  <w:color w:val="000000"/>
                                  <w:sz w:val="22"/>
                                  <w:szCs w:val="22"/>
                                </w:rPr>
                              </w:pPr>
                              <w:sdt>
                                <w:sdtPr>
                                  <w:alias w:val="Numeris"/>
                                  <w:tag w:val="nr_88790363a03142a09328f31eb12b57e8"/>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arba apie užsieniečio, priimto dirbti aukštos profesinės kvalifikacijos reikalaujantį darbą, darbo užmokesčio dydžio sumažėjimą, jei darbo užmokesčio dydis tampa mažesnis, negu nustatytas šio Įstatymo 44</w:t>
                              </w:r>
                              <w:r>
                                <w:rPr>
                                  <w:color w:val="000000"/>
                                  <w:sz w:val="22"/>
                                  <w:szCs w:val="22"/>
                                  <w:vertAlign w:val="superscript"/>
                                </w:rPr>
                                <w:t>1</w:t>
                              </w:r>
                              <w:r>
                                <w:rPr>
                                  <w:color w:val="000000"/>
                                  <w:sz w:val="22"/>
                                  <w:szCs w:val="22"/>
                                </w:rPr>
                                <w:t xml:space="preserve"> straipsnio 1 dalies 1 ar 3 punkte;</w:t>
                              </w:r>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e0d1b7c899bc4166affce1e2b8f91850"/>
                            <w:lock w:val="sdtLocked"/>
                            <w:richText/>
                          </w:sdtPr>
                          <w:sdtContent>
                            <w:p>
                              <w:pPr>
                                <w:ind w:firstLine="720"/>
                                <w:jc w:val="both"/>
                                <w:rPr>
                                  <w:color w:val="000000"/>
                                  <w:sz w:val="22"/>
                                  <w:szCs w:val="22"/>
                                </w:rPr>
                              </w:pPr>
                              <w:sdt>
                                <w:sdtPr>
                                  <w:alias w:val="Numeris"/>
                                  <w:tag w:val="nr_e0d1b7c899bc4166affce1e2b8f91850"/>
                                  <w:lock w:val="sdtLocked"/>
                                  <w:richText/>
                                </w:sdtPr>
                                <w:sdtContent>
                                  <w:r>
                                    <w:rPr>
                                      <w:color w:val="000000"/>
                                      <w:sz w:val="22"/>
                                      <w:szCs w:val="22"/>
                                    </w:rPr>
                                    <w:t>3</w:t>
                                  </w:r>
                                </w:sdtContent>
                              </w:sdt>
                              <w:r>
                                <w:rPr>
                                  <w:color w:val="000000"/>
                                  <w:sz w:val="22"/>
                                  <w:szCs w:val="22"/>
                                </w:rPr>
                                <w:t>) švietimo įstaiga ar priimantysis subjektas – apie užsieniečio, turinčio leidimą laikinai gyventi, mokymosi, studijų, stažuotės, kvalifikacijos tobulinimo ar savanoriškos veiklos nutraukimą;</w:t>
                              </w:r>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00ecc53568374ce3920ff6863716170d"/>
                            <w:lock w:val="sdtLocked"/>
                            <w:richText/>
                          </w:sdtPr>
                          <w:sdtContent>
                            <w:p>
                              <w:pPr>
                                <w:ind w:firstLine="720"/>
                                <w:jc w:val="both"/>
                                <w:rPr>
                                  <w:color w:val="000000"/>
                                  <w:sz w:val="22"/>
                                  <w:szCs w:val="22"/>
                                </w:rPr>
                              </w:pPr>
                              <w:sdt>
                                <w:sdtPr>
                                  <w:alias w:val="Numeris"/>
                                  <w:tag w:val="nr_00ecc53568374ce3920ff6863716170d"/>
                                  <w:lock w:val="sdtLocked"/>
                                  <w:richText/>
                                </w:sdtPr>
                                <w:sdtContent>
                                  <w:r>
                                    <w:rPr>
                                      <w:color w:val="000000"/>
                                      <w:sz w:val="22"/>
                                      <w:szCs w:val="22"/>
                                    </w:rPr>
                                    <w:t>5</w:t>
                                  </w:r>
                                </w:sdtContent>
                              </w:sdt>
                              <w:r>
                                <w:rPr>
                                  <w:color w:val="000000"/>
                                  <w:sz w:val="22"/>
                                  <w:szCs w:val="22"/>
                                </w:rPr>
                                <w:t>) ūkio ministro įgaliota institucija – apie užsienietį, neįvykdžiusį šio straipsnio 2 dalyje nustatytos pareigos, nustačius, kad šis užsienietis neįsteigė įmonės ar nevykdo įmonės steigimo dokumentuose nurodytos veiklos,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įmonės dalyvis ar šio užsieniečio buvimas Lietuvos Respublikoje nėra būtinas įmonės veiklai;</w:t>
                              </w:r>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4"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7a92293480d94317be3555f5d291f8f8"/>
                            <w:lock w:val="sdtLocked"/>
                            <w:richText/>
                          </w:sdtPr>
                          <w:sdtContent>
                            <w:p>
                              <w:pPr>
                                <w:ind w:firstLine="720"/>
                                <w:jc w:val="both"/>
                                <w:rPr>
                                  <w:sz w:val="22"/>
                                  <w:szCs w:val="22"/>
                                </w:rPr>
                              </w:pPr>
                              <w:sdt>
                                <w:sdtPr>
                                  <w:alias w:val="Numeris"/>
                                  <w:tag w:val="nr_7a92293480d94317be3555f5d291f8f8"/>
                                  <w:lock w:val="sdtLocked"/>
                                  <w:richText/>
                                </w:sdtPr>
                                <w:sdtContent>
                                  <w:r>
                                    <w:rPr>
                                      <w:sz w:val="22"/>
                                      <w:szCs w:val="22"/>
                                    </w:rPr>
                                    <w:t>2</w:t>
                                  </w:r>
                                </w:sdtContent>
                              </w:sdt>
                              <w:r>
                                <w:rPr>
                                  <w:sz w:val="22"/>
                                  <w:szCs w:val="22"/>
                                </w:rPr>
                                <w:t>) kuris turi leidimą laikinai gyventi, išduotą šio Įstatymo 40 straipsnio 1 dalies 4</w:t>
                              </w:r>
                              <w:r>
                                <w:rPr>
                                  <w:sz w:val="22"/>
                                  <w:szCs w:val="22"/>
                                  <w:vertAlign w:val="superscript"/>
                                </w:rPr>
                                <w:t>1</w:t>
                              </w:r>
                              <w:r>
                                <w:rPr>
                                  <w:sz w:val="22"/>
                                  <w:szCs w:val="22"/>
                                </w:rPr>
                                <w:t>, 4</w:t>
                              </w:r>
                              <w:r>
                                <w:rPr>
                                  <w:sz w:val="22"/>
                                  <w:szCs w:val="22"/>
                                  <w:vertAlign w:val="superscript"/>
                                </w:rPr>
                                <w:t>2</w:t>
                              </w:r>
                              <w:r>
                                <w:rPr>
                                  <w:sz w:val="22"/>
                                  <w:szCs w:val="22"/>
                                </w:rPr>
                                <w:t>,</w:t>
                              </w:r>
                              <w:r>
                                <w:rPr>
                                  <w:bCs/>
                                  <w:sz w:val="22"/>
                                  <w:szCs w:val="22"/>
                                </w:rPr>
                                <w:t xml:space="preserve"> </w:t>
                              </w:r>
                              <w:r>
                                <w:rPr>
                                  <w:sz w:val="22"/>
                                  <w:szCs w:val="22"/>
                                </w:rPr>
                                <w:t>5</w:t>
                              </w:r>
                              <w:r>
                                <w:rPr>
                                  <w:sz w:val="22"/>
                                  <w:szCs w:val="22"/>
                                  <w:vertAlign w:val="superscript"/>
                                </w:rPr>
                                <w:t>1</w:t>
                              </w:r>
                              <w:r>
                                <w:rPr>
                                  <w:sz w:val="22"/>
                                  <w:szCs w:val="22"/>
                                </w:rPr>
                                <w:t> ar 13 punkte nustatytais pagrindais;</w:t>
                              </w:r>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199c32ac82cb48678ed699ced55606bd"/>
                                <w:lock w:val="sdtLocked"/>
                                <w:richText/>
                              </w:sdtPr>
                              <w:sdtContent>
                                <w:p>
                                  <w:pPr>
                                    <w:ind w:firstLine="720"/>
                                    <w:jc w:val="both"/>
                                    <w:rPr>
                                      <w:sz w:val="22"/>
                                      <w:szCs w:val="22"/>
                                    </w:rPr>
                                  </w:pPr>
                                  <w:sdt>
                                    <w:sdtPr>
                                      <w:alias w:val="Numeris"/>
                                      <w:tag w:val="nr_199c32ac82cb48678ed699ced55606bd"/>
                                      <w:lock w:val="sdtLocked"/>
                                      <w:richText/>
                                    </w:sdtPr>
                                    <w:sdtContent>
                                      <w:r>
                                        <w:rPr>
                                          <w:sz w:val="22"/>
                                          <w:szCs w:val="22"/>
                                        </w:rPr>
                                        <w:t>b</w:t>
                                      </w:r>
                                    </w:sdtContent>
                                  </w:sdt>
                                  <w:r>
                                    <w:rPr>
                                      <w:sz w:val="22"/>
                                      <w:szCs w:val="22"/>
                                    </w:rPr>
                                    <w:t>) pateikiama darbdavio informacija apie užsieniečio turimą kvalifikaciją ir ne mažesnę negu vienerių metų darbo patirtį pagal turimą kvalifikaciją per pastaruosius dvejus metus, išskyrus šio straipsnio 2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5748b936d66a471fa1296d4f6d9283f1"/>
                        <w:lock w:val="sdtLocked"/>
                        <w:richText/>
                      </w:sdtPr>
                      <w:sdtContent>
                        <w:p>
                          <w:pPr>
                            <w:ind w:firstLine="720"/>
                            <w:jc w:val="both"/>
                            <w:rPr>
                              <w:sz w:val="22"/>
                              <w:szCs w:val="22"/>
                            </w:rPr>
                          </w:pPr>
                          <w:sdt>
                            <w:sdtPr>
                              <w:alias w:val="Numeris"/>
                              <w:tag w:val="nr_5748b936d66a471fa1296d4f6d9283f1"/>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 Jeigu užsienietis, kuriam leidimas laikinai gyventi išduotas pagal šio straipsnio 1 dalies 3 punktą,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9"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5a8477785c74941a2cc54a7043f1da9"/>
                        <w:lock w:val="sdtLocked"/>
                        <w:richText/>
                      </w:sdtPr>
                      <w:sdtContent>
                        <w:p>
                          <w:pPr>
                            <w:ind w:firstLine="720"/>
                            <w:jc w:val="both"/>
                            <w:rPr>
                              <w:b/>
                              <w:i/>
                              <w:sz w:val="20"/>
                            </w:rPr>
                          </w:pPr>
                          <w:sdt>
                            <w:sdtPr>
                              <w:alias w:val="Numeris"/>
                              <w:tag w:val="nr_65a8477785c74941a2cc54a7043f1da9"/>
                              <w:lock w:val="sdtLocked"/>
                              <w:richText/>
                            </w:sdtPr>
                            <w:sdtContent>
                              <w:r>
                                <w:rPr>
                                  <w:sz w:val="22"/>
                                  <w:szCs w:val="22"/>
                                </w:rPr>
                                <w:t>5</w:t>
                              </w:r>
                            </w:sdtContent>
                          </w:sdt>
                          <w:r>
                            <w:rPr>
                              <w:sz w:val="22"/>
                              <w:szCs w:val="22"/>
                            </w:rPr>
                            <w:t xml:space="preserve">. Jeigu užsienietis per pirmuosius dvejus teisėto darbo Lietuvos Respublikoje metus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i/>
                          <w:sz w:val="20"/>
                        </w:rPr>
                      </w:pPr>
                      <w:r>
                        <w:rPr>
                          <w:i/>
                          <w:sz w:val="20"/>
                        </w:rPr>
                        <w:t>Įstatymas papildytas straipsniu:</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8"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92f38ee861094c899e7c258442775435"/>
                            <w:lock w:val="sdtLocked"/>
                            <w:richText/>
                          </w:sdtPr>
                          <w:sdtContent>
                            <w:p>
                              <w:pPr>
                                <w:ind w:firstLine="720"/>
                                <w:jc w:val="both"/>
                                <w:rPr>
                                  <w:sz w:val="22"/>
                                  <w:szCs w:val="22"/>
                                </w:rPr>
                              </w:pPr>
                              <w:sdt>
                                <w:sdtPr>
                                  <w:alias w:val="Numeris"/>
                                  <w:tag w:val="nr_92f38ee861094c899e7c258442775435"/>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b6febd101cd84ce79bf7cd63113ab51b"/>
                            <w:lock w:val="sdtLocked"/>
                            <w:richText/>
                          </w:sdtPr>
                          <w:sdtContent>
                            <w:p>
                              <w:pPr>
                                <w:ind w:firstLine="720"/>
                                <w:jc w:val="both"/>
                                <w:rPr>
                                  <w:sz w:val="22"/>
                                </w:rPr>
                              </w:pPr>
                              <w:sdt>
                                <w:sdtPr>
                                  <w:alias w:val="Numeris"/>
                                  <w:tag w:val="nr_b6febd101cd84ce79bf7cd63113ab51b"/>
                                  <w:lock w:val="sdtLocked"/>
                                  <w:richText/>
                                </w:sdtPr>
                                <w:sdtContent>
                                  <w:r>
                                    <w:rPr>
                                      <w:sz w:val="22"/>
                                      <w:szCs w:val="22"/>
                                    </w:rPr>
                                    <w:t>3</w:t>
                                  </w:r>
                                </w:sdtContent>
                              </w:sdt>
                              <w:r>
                                <w:rPr>
                                  <w:sz w:val="22"/>
                                  <w:szCs w:val="22"/>
                                </w:rPr>
                                <w:t>) pateikiama darbdavio informacija apie užsieniečio turimą kvalifikaciją ir ne mažesnę negu vienerių metų darbo patirtį pagal turimą kvalifikaciją per pastaruosius dvejus metus, išskyrus užsienietį,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3"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8"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10"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1"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1"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5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5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3"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5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5"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6"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7"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3"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9"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9"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1"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8"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45309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3504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429294&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53097&amp;b="/>
  <Relationship Id="rId207" Type="http://schemas.openxmlformats.org/officeDocument/2006/relationships/hyperlink" TargetMode="External" Target="http://www3.lrs.lt/cgi-bin/preps2?a=457912&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4767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288727&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14120&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314800&amp;b="/>
  <Relationship Id="rId217" Type="http://schemas.openxmlformats.org/officeDocument/2006/relationships/hyperlink" TargetMode="External" Target="http://www3.lrs.lt/cgi-bin/preps2?a=476706&amp;b="/>
  <Relationship Id="rId218" Type="http://schemas.openxmlformats.org/officeDocument/2006/relationships/hyperlink" TargetMode="External" Target="http://www3.lrs.lt/cgi-bin/preps2?a=314800&amp;b="/>
  <Relationship Id="rId219" Type="http://schemas.openxmlformats.org/officeDocument/2006/relationships/hyperlink" TargetMode="External" Target="http://www3.lrs.lt/cgi-bin/preps2?a=476706&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14800&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288727&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350406&amp;b="/>
  <Relationship Id="rId231" Type="http://schemas.openxmlformats.org/officeDocument/2006/relationships/hyperlink" TargetMode="External" Target="http://www3.lrs.lt/cgi-bin/preps2?a=476706&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14120&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350406&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76706&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57912&amp;b="/>
  <Relationship Id="rId244" Type="http://schemas.openxmlformats.org/officeDocument/2006/relationships/hyperlink" TargetMode="External" Target="http://www3.lrs.lt/cgi-bin/preps2?a=476706&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50406&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29704&amp;b="/>
  <Relationship Id="rId255" Type="http://schemas.openxmlformats.org/officeDocument/2006/relationships/hyperlink" TargetMode="External" Target="http://www3.lrs.lt/cgi-bin/preps2?a=288727&amp;b="/>
  <Relationship Id="rId256" Type="http://schemas.openxmlformats.org/officeDocument/2006/relationships/hyperlink" TargetMode="External" Target="http://www3.lrs.lt/cgi-bin/preps2?a=288727&amp;b="/>
  <Relationship Id="rId257" Type="http://schemas.openxmlformats.org/officeDocument/2006/relationships/hyperlink" TargetMode="External" Target="http://www3.lrs.lt/cgi-bin/preps2?a=314800&amp;b="/>
  <Relationship Id="rId258" Type="http://schemas.openxmlformats.org/officeDocument/2006/relationships/hyperlink" TargetMode="External" Target="http://www3.lrs.lt/cgi-bin/preps2?a=429704&amp;b="/>
  <Relationship Id="rId259"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60" Type="http://schemas.openxmlformats.org/officeDocument/2006/relationships/customXml" Target="../customXml/item1.xml"/>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476706&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314800&amp;b="/>
  <Relationship Id="rId66" Type="http://schemas.openxmlformats.org/officeDocument/2006/relationships/hyperlink" TargetMode="External" Target="http://www3.lrs.lt/cgi-bin/preps2?a=3504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76706&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314800&amp;b="/>
  <Relationship Id="rId73" Type="http://schemas.openxmlformats.org/officeDocument/2006/relationships/hyperlink" TargetMode="External" Target="http://www3.lrs.lt/cgi-bin/preps2?a=429704&amp;b="/>
  <Relationship Id="rId74" Type="http://schemas.openxmlformats.org/officeDocument/2006/relationships/hyperlink" TargetMode="External" Target="http://www3.lrs.lt/cgi-bin/preps2?a=457912&amp;b="/>
  <Relationship Id="rId75" Type="http://schemas.openxmlformats.org/officeDocument/2006/relationships/hyperlink" TargetMode="External" Target="http://www3.lrs.lt/cgi-bin/preps2?a=476706&amp;b="/>
  <Relationship Id="rId76" Type="http://schemas.openxmlformats.org/officeDocument/2006/relationships/hyperlink" TargetMode="External" Target="http://www3.lrs.lt/cgi-bin/preps2?a=457912&amp;b="/>
  <Relationship Id="rId77" Type="http://schemas.openxmlformats.org/officeDocument/2006/relationships/hyperlink" TargetMode="External" Target="http://www3.lrs.lt/cgi-bin/preps2?a=288727&amp;b="/>
  <Relationship Id="rId78" Type="http://schemas.openxmlformats.org/officeDocument/2006/relationships/hyperlink" TargetMode="External" Target="http://www3.lrs.lt/cgi-bin/preps2?a=314800&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29704&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3a2a01d59ea4416188ecd7a95a4a0038"/>
          <Part Type="strDalis" Nr="3-1" Abbr="3-1 d." DocPartId="e8d6a2b842b6467793728b5eca8dda29" PartId="22a2ed40361343da9b5f3233220bc1f1"/>
          <Part Type="strDalis" Nr="4" Abbr="4 d." DocPartId="351dcee992134be19849218950868c19" PartId="caa64033c3634f62818196581f024e7e"/>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b3526a3c18f1408e9c1083a52014ff6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3692f14084ed4bbfbbf92fdad1159cc3"/>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18cf466cc5c547b2b278f722c34c421c"/>
            <Part Type="strPunktas" Nr="5" Abbr="36 str. 1 d. 5 p." DocPartId="1fd3406c005745408014c75bf92b3ab3" PartId="3b4cc0b5cb134611b9cdb3589c211660"/>
          </Part>
          <Part Type="strDalis" Nr="2" Abbr="36 str. 2 d." DocPartId="a3648396059540d5b06bc30ee17e5cfd" PartId="dd3dda4bf257492d93a84635ca9f3a47"/>
          <Part Type="strDalis" Nr="3" Abbr="36 str. 3 d." DocPartId="2515f8e5085549e2963c81858b22fccc" PartId="ef5bf4f1960e414ab94f3eb5ed3663c2">
            <Part Type="strPunktas" Nr="1" Abbr="36 str. 3 d. 1 p." DocPartId="545269f8c9944a9db0c87f00cde49dea" PartId="88790363a03142a09328f31eb12b57e8"/>
            <Part Type="strPunktas" Nr="2" Abbr="36 str. 3 d. 2 p." DocPartId="53c3e4dd15af48cf957a7198f24e7e52" PartId="cfd910ac02d44513b204d6294c7e68e8"/>
            <Part Type="strPunktas" Nr="3" Abbr="36 str. 3 d. 3 p." DocPartId="fd4e885f0e9e41c0a38b573377750316" PartId="e0d1b7c899bc4166affce1e2b8f91850"/>
            <Part Type="strPunktas" Nr="4" Abbr="36 str. 3 d. 4 p." DocPartId="227b8bb19b23476393bab5c84a9cb66c" PartId="3fd912f46fc140a2a5f5c03ae60ee9da"/>
            <Part Type="strPunktas" Nr="5" Abbr="36 str. 3 d. 5 p." DocPartId="c81c78dee94b49358bf5ca630d8b060e" PartId="00ecc53568374ce3920ff6863716170d"/>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7a92293480d94317be3555f5d291f8f8"/>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199c32ac82cb48678ed699ced55606bd"/>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5748b936d66a471fa1296d4f6d9283f1"/>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5a8477785c74941a2cc54a7043f1da9"/>
          <Part Type="strDalis" Nr="6" Abbr="44-1 str. 6 d." DocPartId="565963d457494af3934accf2f906d382" PartId="1d32c7b3d704467c9d393440b1a13576"/>
          <Part Type="strDalis" Nr="7" Abbr="44-1 str. 7 d." DocPartId="bff995382c78455cab5aa5e011584ea2" PartId="98bfcaf6cb29413282d96934f1b96e1f"/>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92f38ee861094c899e7c258442775435"/>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b6febd101cd84ce79bf7cd63113ab51b"/>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a4d8916f870245c08d8413219dab1cc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A62FB76-1543-4C37-8B40-C40043EB048B}">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