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2023-07-01 iki 2023-12-29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3e7b176eb2f44f95b02bf2b22ac6454b"/>
                    <w:lock w:val="sdtLocked"/>
                    <w:richText/>
                  </w:sdtPr>
                  <w:sdtContent>
                    <w:p>
                      <w:pPr>
                        <w:ind w:firstLine="720"/>
                        <w:jc w:val="both"/>
                        <w:rPr>
                          <w:sz w:val="22"/>
                          <w:szCs w:val="22"/>
                        </w:rPr>
                      </w:pPr>
                      <w:sdt>
                        <w:sdtPr>
                          <w:alias w:val="Numeris"/>
                          <w:tag w:val="nr_3e7b176eb2f44f95b02bf2b22ac6454b"/>
                          <w:lock w:val="sdtLocked"/>
                          <w:richText/>
                        </w:sdtPr>
                        <w:sdtContent>
                          <w:r>
                            <w:rPr>
                              <w:sz w:val="22"/>
                              <w:szCs w:val="22"/>
                            </w:rPr>
                            <w:t>3</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d767a86ab41f432492be67cdbad82269"/>
                    <w:lock w:val="sdtLocked"/>
                    <w:richText/>
                  </w:sdtPr>
                  <w:sdtContent>
                    <w:p>
                      <w:pPr>
                        <w:ind w:firstLine="720"/>
                        <w:jc w:val="both"/>
                        <w:rPr>
                          <w:sz w:val="22"/>
                          <w:szCs w:val="22"/>
                        </w:rPr>
                      </w:pPr>
                      <w:sdt>
                        <w:sdtPr>
                          <w:alias w:val="Numeris"/>
                          <w:tag w:val="nr_d767a86ab41f432492be67cdbad82269"/>
                          <w:lock w:val="sdtLocked"/>
                          <w:richText/>
                        </w:sdtPr>
                        <w:sdtContent>
                          <w:r>
                            <w:rPr>
                              <w:color w:val="000000"/>
                              <w:sz w:val="22"/>
                              <w:szCs w:val="22"/>
                            </w:rPr>
                            <w:t>5</w:t>
                          </w:r>
                        </w:sdtContent>
                      </w:sdt>
                      <w:r>
                        <w:rPr>
                          <w:color w:val="000000"/>
                          <w:sz w:val="22"/>
                          <w:szCs w:val="22"/>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c52419f1e28149f7864362d79d095497"/>
                    <w:lock w:val="sdtLocked"/>
                    <w:richText/>
                  </w:sdtPr>
                  <w:sdtContent>
                    <w:p>
                      <w:pPr>
                        <w:ind w:firstLine="720"/>
                        <w:jc w:val="both"/>
                      </w:pPr>
                      <w:sdt>
                        <w:sdtPr>
                          <w:alias w:val="Numeris"/>
                          <w:tag w:val="nr_c52419f1e28149f7864362d79d095497"/>
                          <w:lock w:val="sdtLocked"/>
                          <w:richText/>
                        </w:sdtPr>
                        <w:sdtContent>
                          <w:r>
                            <w:rPr>
                              <w:sz w:val="22"/>
                              <w:szCs w:val="22"/>
                            </w:rPr>
                            <w:t>8</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30da82d4100a494ba61d2db517f242ee"/>
                        <w:lock w:val="sdtLocked"/>
                        <w:richText/>
                      </w:sdtPr>
                      <w:sdtContent>
                        <w:p>
                          <w:pPr>
                            <w:ind w:firstLine="720"/>
                            <w:jc w:val="both"/>
                            <w:rPr>
                              <w:bCs/>
                              <w:color w:val="000000"/>
                              <w:sz w:val="22"/>
                              <w:szCs w:val="22"/>
                            </w:rPr>
                          </w:pPr>
                          <w:sdt>
                            <w:sdtPr>
                              <w:alias w:val="Numeris"/>
                              <w:tag w:val="nr_30da82d4100a494ba61d2db517f242ee"/>
                              <w:lock w:val="sdtLocked"/>
                              <w:richText/>
                            </w:sdtPr>
                            <w:sdtContent>
                              <w:r>
                                <w:rPr>
                                  <w:bCs/>
                                  <w:color w:val="000000"/>
                                  <w:sz w:val="22"/>
                                  <w:szCs w:val="22"/>
                                </w:rPr>
                                <w:t>1</w:t>
                              </w:r>
                            </w:sdtContent>
                          </w:sdt>
                          <w:r>
                            <w:rPr>
                              <w:bCs/>
                              <w:color w:val="000000"/>
                              <w:sz w:val="22"/>
                              <w:szCs w:val="22"/>
                            </w:rPr>
                            <w:t xml:space="preserve">. </w:t>
                          </w:r>
                          <w:r>
                            <w:rPr>
                              <w:color w:val="000000"/>
                              <w:sz w:val="22"/>
                              <w:szCs w:val="22"/>
                            </w:rPr>
                            <w:t xml:space="preserve">Užsienietis, esantis ne Lietuvos Respublikoje, prašymą išduoti nacionalinę vizą pateikia per Migracijos departamento pasirinktą išorės paslaugų teikėją. Užsienietis, esantis Lietuvos Respublikos teritorijoje teisėtai, prašymą išduoti nacionalinę vizą gali pateikti Migracijos departamentui, tačiau tokio prašymo pateikimas nesuteikia teisės užsieniečiui būti Lietuvos Respublikos teritorijoje, iki bus išduota nacionalinė viza. </w:t>
                          </w:r>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f5f7ee132a3d42969998450c649ac0eb"/>
                        <w:lock w:val="sdtLocked"/>
                        <w:richText/>
                      </w:sdtPr>
                      <w:sdtContent>
                        <w:p>
                          <w:pPr>
                            <w:ind w:firstLine="720"/>
                            <w:jc w:val="both"/>
                            <w:rPr>
                              <w:color w:val="000000"/>
                              <w:sz w:val="22"/>
                              <w:szCs w:val="22"/>
                            </w:rPr>
                          </w:pPr>
                          <w:sdt>
                            <w:sdtPr>
                              <w:alias w:val="Numeris"/>
                              <w:tag w:val="nr_f5f7ee132a3d42969998450c649ac0eb"/>
                              <w:lock w:val="sdtLocked"/>
                              <w:richText/>
                            </w:sdtPr>
                            <w:sdtContent>
                              <w:r>
                                <w:rPr>
                                  <w:color w:val="000000"/>
                                  <w:sz w:val="22"/>
                                  <w:szCs w:val="22"/>
                                </w:rPr>
                                <w:t>1</w:t>
                              </w:r>
                            </w:sdtContent>
                          </w:sdt>
                          <w:r>
                            <w:rPr>
                              <w:color w:val="000000"/>
                              <w:sz w:val="22"/>
                              <w:szCs w:val="22"/>
                            </w:rPr>
                            <w:t>. Užsienietis, kuris ketina dirbti Lietuvos Respublikoje ir kuris pagal šio Įstatymo 58 straipsnį nėra atleidžiamas nuo pareigos įsigyti leidimą dirbti, privalo įsigyti leidimą dirbti, jeigu:</w:t>
                          </w:r>
                        </w:p>
                        <w:sdt>
                          <w:sdtPr>
                            <w:alias w:val="57 str. 1 d. 1 p."/>
                            <w:tag w:val="part_b991190a10dd4c14ab6c3a6e21f3705d"/>
                            <w:lock w:val="sdtLocked"/>
                            <w:richText/>
                          </w:sdtPr>
                          <w:sdtContent>
                            <w:p>
                              <w:pPr>
                                <w:ind w:firstLine="720"/>
                                <w:jc w:val="both"/>
                                <w:rPr>
                                  <w:color w:val="000000"/>
                                  <w:sz w:val="22"/>
                                  <w:szCs w:val="22"/>
                                </w:rPr>
                              </w:pPr>
                              <w:sdt>
                                <w:sdtPr>
                                  <w:alias w:val="Numeris"/>
                                  <w:tag w:val="nr_b991190a10dd4c14ab6c3a6e21f3705d"/>
                                  <w:lock w:val="sdtLocked"/>
                                  <w:richText/>
                                </w:sdtPr>
                                <w:sdtContent>
                                  <w:r>
                                    <w:rPr>
                                      <w:color w:val="000000"/>
                                      <w:sz w:val="22"/>
                                      <w:szCs w:val="22"/>
                                    </w:rPr>
                                    <w:t>1</w:t>
                                  </w:r>
                                </w:sdtContent>
                              </w:sdt>
                              <w:r>
                                <w:rPr>
                                  <w:color w:val="000000"/>
                                  <w:sz w:val="22"/>
                                  <w:szCs w:val="22"/>
                                </w:rPr>
                                <w:t xml:space="preserve">) užsienietis ketina pasinaudoti šio Įstatymo 62 straipsnio 2 dalyje nustatyta teise dirbti ir jo profesija neįtraukta į Profesijų, kurių darbuotojų trūksta Lietuvos Respublikoje, sąrašą pagal ekonominės veiklos rūšis; </w:t>
                              </w:r>
                            </w:p>
                          </w:sdtContent>
                        </w:sdt>
                        <w:sdt>
                          <w:sdtPr>
                            <w:alias w:val="57 str. 1 d. 2 p."/>
                            <w:tag w:val="part_d5c8160a41744d5c8855352423e6370f"/>
                            <w:lock w:val="sdtLocked"/>
                            <w:richText/>
                          </w:sdtPr>
                          <w:sdtContent>
                            <w:p>
                              <w:pPr>
                                <w:ind w:firstLine="720"/>
                                <w:jc w:val="both"/>
                                <w:rPr>
                                  <w:color w:val="000000"/>
                                  <w:sz w:val="22"/>
                                  <w:szCs w:val="22"/>
                                </w:rPr>
                              </w:pPr>
                              <w:sdt>
                                <w:sdtPr>
                                  <w:alias w:val="Numeris"/>
                                  <w:tag w:val="nr_d5c8160a41744d5c8855352423e6370f"/>
                                  <w:lock w:val="sdtLocked"/>
                                  <w:richText/>
                                </w:sdtPr>
                                <w:sdtContent>
                                  <w:r>
                                    <w:rPr>
                                      <w:color w:val="000000"/>
                                      <w:sz w:val="22"/>
                                      <w:szCs w:val="22"/>
                                    </w:rPr>
                                    <w:t>2</w:t>
                                  </w:r>
                                </w:sdtContent>
                              </w:sdt>
                              <w:r>
                                <w:rPr>
                                  <w:color w:val="000000"/>
                                  <w:sz w:val="22"/>
                                  <w:szCs w:val="22"/>
                                </w:rPr>
                                <w:t>) užsienietis ketina pasinaudoti šio Įstatymo 62 straipsnio 2 dalyje nustatyta teise dirbti ir jo profesija įtraukta į Profesijų, kurių darbuotojų trūksta Lietuvos Respublikoje, sąrašą pagal ekonominės veiklos rūšis, ir yra išnaudota kvota, nustatoma pagal šio Įstatymo 57</w:t>
                              </w:r>
                              <w:r>
                                <w:rPr>
                                  <w:color w:val="000000"/>
                                  <w:sz w:val="22"/>
                                  <w:szCs w:val="22"/>
                                  <w:vertAlign w:val="superscript"/>
                                </w:rPr>
                                <w:t>1</w:t>
                              </w:r>
                              <w:r>
                                <w:rPr>
                                  <w:color w:val="000000"/>
                                  <w:sz w:val="22"/>
                                  <w:szCs w:val="22"/>
                                </w:rPr>
                                <w:t xml:space="preserve"> straipsnį;</w:t>
                              </w:r>
                            </w:p>
                          </w:sdtContent>
                        </w:sdt>
                        <w:sdt>
                          <w:sdtPr>
                            <w:alias w:val="57 str. 1 d. 3 p."/>
                            <w:tag w:val="part_89a427d2091a4ece9f99caa97b26ee15"/>
                            <w:lock w:val="sdtLocked"/>
                            <w:richText/>
                          </w:sdtPr>
                          <w:sdtContent>
                            <w:p>
                              <w:pPr>
                                <w:ind w:firstLine="720"/>
                                <w:jc w:val="both"/>
                                <w:rPr>
                                  <w:color w:val="000000"/>
                                  <w:sz w:val="22"/>
                                  <w:szCs w:val="22"/>
                                </w:rPr>
                              </w:pPr>
                              <w:sdt>
                                <w:sdtPr>
                                  <w:alias w:val="Numeris"/>
                                  <w:tag w:val="nr_89a427d2091a4ece9f99caa97b26ee15"/>
                                  <w:lock w:val="sdtLocked"/>
                                  <w:richText/>
                                </w:sdtPr>
                                <w:sdtContent>
                                  <w:r>
                                    <w:rPr>
                                      <w:color w:val="000000"/>
                                      <w:sz w:val="22"/>
                                      <w:szCs w:val="22"/>
                                    </w:rPr>
                                    <w:t>3</w:t>
                                  </w:r>
                                </w:sdtContent>
                              </w:sdt>
                              <w:r>
                                <w:rPr>
                                  <w:color w:val="000000"/>
                                  <w:sz w:val="22"/>
                                  <w:szCs w:val="22"/>
                                </w:rPr>
                                <w:t>) atvyksta į Lietuvos Respubliką dirbti sezoninio darbo;</w:t>
                              </w:r>
                            </w:p>
                          </w:sdtContent>
                        </w:sdt>
                        <w:sdt>
                          <w:sdtPr>
                            <w:alias w:val="57 str. 1 d. 4 p."/>
                            <w:tag w:val="part_462765a2e12f44debf4b5797dc72c3e8"/>
                            <w:lock w:val="sdtLocked"/>
                            <w:richText/>
                          </w:sdtPr>
                          <w:sdtContent>
                            <w:p>
                              <w:pPr>
                                <w:ind w:firstLine="720"/>
                                <w:jc w:val="both"/>
                                <w:rPr>
                                  <w:rFonts w:eastAsia="Arial Unicode MS"/>
                                  <w:sz w:val="22"/>
                                  <w:szCs w:val="22"/>
                                  <w:bdr w:val="nil"/>
                                </w:rPr>
                              </w:pPr>
                              <w:sdt>
                                <w:sdtPr>
                                  <w:alias w:val="Numeris"/>
                                  <w:tag w:val="nr_462765a2e12f44debf4b5797dc72c3e8"/>
                                  <w:lock w:val="sdtLocked"/>
                                  <w:richText/>
                                </w:sdtPr>
                                <w:sdtContent>
                                  <w:r>
                                    <w:rPr>
                                      <w:color w:val="000000"/>
                                      <w:sz w:val="22"/>
                                      <w:szCs w:val="22"/>
                                    </w:rPr>
                                    <w:t>4</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5"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0"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1"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d2723865d8d440eaa6ac6a95558c4360"/>
                    <w:lock w:val="sdtLocked"/>
                    <w:richText/>
                  </w:sdtPr>
                  <w:sdtContent>
                    <w:p>
                      <w:pPr>
                        <w:ind w:firstLine="720"/>
                        <w:jc w:val="both"/>
                        <w:rPr>
                          <w:sz w:val="22"/>
                          <w:szCs w:val="24"/>
                        </w:rPr>
                      </w:pPr>
                      <w:sdt>
                        <w:sdtPr>
                          <w:alias w:val="Numeris"/>
                          <w:tag w:val="nr_d2723865d8d440eaa6ac6a95558c4360"/>
                          <w:lock w:val="sdtLocked"/>
                          <w:richText/>
                        </w:sdtPr>
                        <w:sdtContent>
                          <w:r>
                            <w:rPr>
                              <w:color w:val="000000"/>
                              <w:sz w:val="22"/>
                              <w:szCs w:val="22"/>
                            </w:rPr>
                            <w:t>1</w:t>
                          </w:r>
                        </w:sdtContent>
                      </w:sdt>
                      <w:r>
                        <w:rPr>
                          <w:color w:val="000000"/>
                          <w:sz w:val="22"/>
                          <w:szCs w:val="22"/>
                        </w:rPr>
                        <w:t>. Užsienietis, gavęs šio Įstatymo 4 straipsnio 6, 7 ar 8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9e998feba4b34c79b7e313f2127cd632"/>
                        <w:lock w:val="sdtLocked"/>
                        <w:richText/>
                      </w:sdtPr>
                      <w:sdtContent>
                        <w:p>
                          <w:pPr>
                            <w:ind w:firstLine="720"/>
                            <w:jc w:val="both"/>
                            <w:rPr>
                              <w:rFonts w:eastAsia="Arial Unicode MS"/>
                              <w:sz w:val="22"/>
                              <w:szCs w:val="22"/>
                              <w:bdr w:val="nil"/>
                              <w:lang w:eastAsia="lt-LT"/>
                            </w:rPr>
                          </w:pPr>
                          <w:sdt>
                            <w:sdtPr>
                              <w:alias w:val="Numeris"/>
                              <w:tag w:val="nr_9e998feba4b34c79b7e313f2127cd632"/>
                              <w:lock w:val="sdtLocked"/>
                              <w:richText/>
                            </w:sdtPr>
                            <w:sdtContent>
                              <w:r>
                                <w:rPr>
                                  <w:sz w:val="22"/>
                                  <w:szCs w:val="22"/>
                                  <w:lang w:eastAsia="lt-LT"/>
                                </w:rPr>
                                <w:t>1</w:t>
                              </w:r>
                            </w:sdtContent>
                          </w:sdt>
                          <w:r>
                            <w:rPr>
                              <w:sz w:val="22"/>
                              <w:szCs w:val="22"/>
                              <w:lang w:eastAsia="lt-LT"/>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nėra prieglobsčio prašytojai, 6 mėnesius nuo jų užregistravimo Lietuvos migracijos informacinėje sistemoje dienos buvimas šio straipsnio 3 dalyje nurodytose laikino apgyvendinimo vietose nelaikomas atvykimu į Lietuvos Respublikos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2 d."/>
                        <w:tag w:val="part_d9ba3bb7f0234562b2eefed5a22a62c2"/>
                        <w:lock w:val="sdtLocked"/>
                        <w:richText/>
                      </w:sdtPr>
                      <w:sdtContent>
                        <w:p>
                          <w:pPr>
                            <w:ind w:firstLine="720"/>
                            <w:jc w:val="both"/>
                            <w:rPr>
                              <w:sz w:val="22"/>
                              <w:szCs w:val="22"/>
                            </w:rPr>
                          </w:pPr>
                          <w:sdt>
                            <w:sdtPr>
                              <w:alias w:val="Numeris"/>
                              <w:tag w:val="nr_d9ba3bb7f0234562b2eefed5a22a62c2"/>
                              <w:lock w:val="sdtLocked"/>
                              <w:richText/>
                            </w:sdtPr>
                            <w:sdtContent>
                              <w:r>
                                <w:rPr>
                                  <w:sz w:val="22"/>
                                  <w:szCs w:val="22"/>
                                  <w:lang w:eastAsia="lt-LT"/>
                                </w:rPr>
                                <w:t>2</w:t>
                              </w:r>
                            </w:sdtContent>
                          </w:sdt>
                          <w:r>
                            <w:rPr>
                              <w:sz w:val="22"/>
                              <w:szCs w:val="22"/>
                              <w:lang w:eastAsia="lt-LT"/>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išskyrus prieglobsčio prašytojus, kuriems taikytinos šio Įstatymo </w:t>
                          </w:r>
                          <w:r>
                            <w:rPr>
                              <w:iCs/>
                              <w:sz w:val="22"/>
                              <w:szCs w:val="22"/>
                              <w:lang w:eastAsia="lt-LT"/>
                            </w:rPr>
                            <w:t>76</w:t>
                          </w:r>
                          <w:r>
                            <w:rPr>
                              <w:sz w:val="22"/>
                              <w:szCs w:val="22"/>
                              <w:lang w:eastAsia="lt-LT"/>
                            </w:rPr>
                            <w:t xml:space="preserve"> straipsnio 4 dalies arba </w:t>
                          </w:r>
                          <w:r>
                            <w:rPr>
                              <w:iCs/>
                              <w:sz w:val="22"/>
                              <w:szCs w:val="22"/>
                              <w:lang w:eastAsia="lt-LT"/>
                            </w:rPr>
                            <w:t>77</w:t>
                          </w:r>
                          <w:r>
                            <w:rPr>
                              <w:sz w:val="22"/>
                              <w:szCs w:val="22"/>
                              <w:lang w:eastAsia="lt-LT"/>
                            </w:rPr>
                            <w:t> straipsnio 1 dalies nuostatos.</w:t>
                          </w:r>
                          <w:r>
                            <w:rPr>
                              <w:sz w:val="22"/>
                              <w:szCs w:val="22"/>
                            </w:rPr>
                            <w:t xml:space="preserve"> </w:t>
                          </w:r>
                        </w:p>
                        <w:p>
                          <w:pPr>
                            <w:jc w:val="both"/>
                            <w:rPr>
                              <w:rFonts w:eastAsia="Arial Unicode MS"/>
                              <w:i/>
                              <w:sz w:val="20"/>
                              <w:bdr w:val="nil"/>
                            </w:rPr>
                          </w:pPr>
                          <w:r>
                            <w:rPr>
                              <w:b/>
                              <w:i/>
                              <w:sz w:val="20"/>
                            </w:rPr>
                            <w:t xml:space="preserve">TAR pastaba. </w:t>
                          </w:r>
                          <w:r>
                            <w:rPr>
                              <w:i/>
                              <w:sz w:val="20"/>
                            </w:rPr>
                            <w:t>Pripažinti, kad Lietuvos Respublikos įstatymo „Dėl užsieniečių teisinės padėties“ 140</w:t>
                          </w:r>
                          <w:r>
                            <w:rPr>
                              <w:i/>
                              <w:sz w:val="20"/>
                              <w:vertAlign w:val="superscript"/>
                            </w:rPr>
                            <w:t>8 </w:t>
                          </w:r>
                          <w:r>
                            <w:rPr>
                              <w:i/>
                              <w:sz w:val="20"/>
                            </w:rPr>
                            <w:t>straipsnio 3 dalis (2023 m. balandžio 20 d. redakcija, TAR, 2023-04-26, Nr. 8041, identifikacinis kodas 2023-08041) tiek, kiek pagal ją visi prieglobsčio prašytojai privalo būti apgyvendinami nurodytose vietose, nesuteikiant jiems teisės laisvai judėti Lietuvos Respublikos teritorijoje, kai toks apgyvendinimas pagal šio straipsnio 5 dalį gali trukti iki 6 mėnesių, prieštarauja Lietuvos Respublikos Konstitucijos 20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8d7f0052a11ee9978886e85107ab2">
                            <w:r w:rsidRPr="00532B9F">
                              <w:rPr>
                                <w:rFonts w:ascii="Times New Roman" w:eastAsia="MS Mincho" w:hAnsi="Times New Roman"/>
                                <w:sz w:val="20"/>
                                <w:i/>
                                <w:iCs/>
                                <w:color w:val="0000FF" w:themeColor="hyperlink"/>
                                <w:u w:val="single"/>
                              </w:rPr>
                              <w:t>KT53-A-N6/2023</w:t>
                            </w:r>
                          </w:fldSimple>
                          <w:r>
                            <w:rPr>
                              <w:rFonts w:ascii="Times New Roman" w:eastAsia="MS Mincho" w:hAnsi="Times New Roman"/>
                              <w:sz w:val="20"/>
                              <w:i/>
                              <w:iCs/>
                            </w:rPr>
                            <w:t>,
2023-06-07,
paskelbta TAR 2023-06-07, i. k. 2023-11301            </w:t>
                          </w:r>
                        </w:p>
                        <w:p/>
                      </w:sdtContent>
                    </w:sdt>
                    <w:sdt>
                      <w:sdtPr>
                        <w:alias w:val="140-8 str. 3 d."/>
                        <w:tag w:val="part_8eaf40dea03147c28cb45936df6e9244"/>
                        <w:lock w:val="sdtLocked"/>
                        <w:richText/>
                      </w:sdtPr>
                      <w:sdtContent>
                        <w:p>
                          <w:pPr>
                            <w:ind w:firstLine="720"/>
                            <w:jc w:val="both"/>
                            <w:rPr>
                              <w:rFonts w:eastAsia="Arial Unicode MS"/>
                              <w:bCs/>
                              <w:sz w:val="22"/>
                              <w:szCs w:val="22"/>
                            </w:rPr>
                          </w:pPr>
                          <w:sdt>
                            <w:sdtPr>
                              <w:alias w:val="Numeris"/>
                              <w:tag w:val="nr_8eaf40dea03147c28cb45936df6e9244"/>
                              <w:lock w:val="sdtLocked"/>
                              <w:richText/>
                            </w:sdtPr>
                            <w:sdtContent>
                              <w:r>
                                <w:rPr>
                                  <w:sz w:val="22"/>
                                  <w:szCs w:val="22"/>
                                  <w:lang w:eastAsia="lt-LT"/>
                                </w:rPr>
                                <w:t>3</w:t>
                              </w:r>
                            </w:sdtContent>
                          </w:sdt>
                          <w:r>
                            <w:rPr>
                              <w:sz w:val="22"/>
                              <w:szCs w:val="22"/>
                              <w:lang w:eastAsia="lt-LT"/>
                            </w:rPr>
                            <w:t>. Prieglobsčio prašytojus, pateikusius prašymus suteikti prieglobstį pasienio kontrolės punktuose, tranzito zonose arba Lietuvos Respublikos teritorijoje, kai jie į ją pateko neteisėtai kirtę Lietuvos Respublikos valstybės sieną, iki priimamas sprendimas įleisti juos į Lietuvos Respubliką, Migracijos departamento sprendimu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kurie į Lietuvos Respublikos teritoriją pateko neteisėtai kirtę Lietuvos Respublikos valstybės sieną ir nėra prieglobsčio prašytojai, taip pat užsieniečius, dėl kurių priimtas sprendimas nesuteikti prieglobsčio, iki bus įvykdytas galutinis sprendimas dėl užsieniečio grąžinimo ar išsiuntimo arba išduotas užsieniečio registracijos pažymėjimas, Valstybės sienos apsaugos tarnybos sprendimu Valstybės sienos apsaugos tarnyba laikinai apgyvendina šioje dalyje nurodytose apgyvendinimo vietose, nesuteikiant jiems teisės laisvai judėti Lietuvos Respublikos teritorijoje. Pabėgėlių priėmimo centre pirmiausia apgyvendinami šioje dalyje nurodyti prieglobsčio prašytojai ir užsieniečiai, kurie yra pažeidžiami asmenys. Jeigu šioje dalyje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minėtas paslaugas ar įsigytų maisto produktų, kai yra valdoma pasišalinimo iš laikino apgyvendinimo vietų rizika. Teikiant nurodytas paslaugas nepilnamečiams, prioritetas teikiamas paslaugų suteikimui už laikino apgyvendinimo vietos ribų, kai yra valdoma pasišalinimo iš laikino apgyvendinimo vietos rizika.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5fae801d22bb4304927fc4e8befe68ed"/>
                        <w:lock w:val="sdtLocked"/>
                        <w:richText/>
                      </w:sdtPr>
                      <w:sdtContent>
                        <w:p>
                          <w:pPr>
                            <w:ind w:firstLine="720"/>
                            <w:jc w:val="both"/>
                            <w:rPr>
                              <w:sz w:val="22"/>
                              <w:szCs w:val="22"/>
                            </w:rPr>
                          </w:pPr>
                          <w:sdt>
                            <w:sdtPr>
                              <w:alias w:val="Numeris"/>
                              <w:tag w:val="nr_5fae801d22bb4304927fc4e8befe68ed"/>
                              <w:lock w:val="sdtLocked"/>
                              <w:richText/>
                            </w:sdtPr>
                            <w:sdtContent>
                              <w:r>
                                <w:rPr>
                                  <w:sz w:val="22"/>
                                  <w:szCs w:val="22"/>
                                  <w:lang w:eastAsia="lt-LT"/>
                                </w:rPr>
                                <w:t>9</w:t>
                              </w:r>
                            </w:sdtContent>
                          </w:sdt>
                          <w:r>
                            <w:rPr>
                              <w:sz w:val="22"/>
                              <w:szCs w:val="22"/>
                              <w:lang w:eastAsia="lt-LT"/>
                            </w:rPr>
                            <w:t>. Skundas dėl šio straipsnio 3,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2"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288727&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314800&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76706&amp;b="/>
  <Relationship Id="rId233" Type="http://schemas.openxmlformats.org/officeDocument/2006/relationships/hyperlink" TargetMode="External" Target="http://www3.lrs.lt/cgi-bin/preps2?a=288727&amp;b="/>
  <Relationship Id="rId234"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3e7b176eb2f44f95b02bf2b22ac6454b"/>
        <Part Type="strDalis" Nr="4" Abbr="4 str. 4 d." DocPartId="063663546d1f4f77ad73ef53de981a2d" PartId="53dcc0257eca418885261ed373e9035c"/>
        <Part Type="strDalis" Nr="5" Abbr="4 str. 5 d." DocPartId="78f1f0bf8a28424ab3b5eca4d36da8ea" PartId="d767a86ab41f432492be67cdbad82269"/>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c52419f1e28149f7864362d79d095497"/>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30da82d4100a494ba61d2db517f242ee"/>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f5f7ee132a3d42969998450c649ac0eb">
            <Part Type="strPunktas" Nr="1" Abbr="57 str. 1 d. 1 p." DocPartId="e64278d0bf9b403bb0f1145135886e06" PartId="b991190a10dd4c14ab6c3a6e21f3705d"/>
            <Part Type="strPunktas" Nr="2" Abbr="57 str. 1 d. 2 p." DocPartId="706e81ca10d442e4b5f38d31524915a3" PartId="d5c8160a41744d5c8855352423e6370f"/>
            <Part Type="strPunktas" Nr="3" Abbr="57 str. 1 d. 3 p." DocPartId="48d90fa29f134be4a6784daa1ab69336" PartId="89a427d2091a4ece9f99caa97b26ee15"/>
            <Part Type="strPunktas" Nr="4" Abbr="57 str. 1 d. 4 p." DocPartId="823781380f82410689b210de098cdf51" PartId="462765a2e12f44debf4b5797dc72c3e8"/>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d2723865d8d440eaa6ac6a95558c4360"/>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9e998feba4b34c79b7e313f2127cd632"/>
          <Part Type="strDalis" Nr="2" Abbr="140-8 str. 2 d." DocPartId="dde4b915a75a46d5a1caec265b3cc1fe" PartId="d9ba3bb7f0234562b2eefed5a22a62c2"/>
          <Part Type="strDalis" Nr="3" Abbr="140-8 str. 3 d." DocPartId="675e3b4c47a24c6582939ddb291b0d46" PartId="8eaf40dea03147c28cb45936df6e9244"/>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5fae801d22bb4304927fc4e8befe68ed"/>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FC1A0A3-C709-4072-8A37-B1B523692634}">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