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2024-05-15 iki 2026-06-14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44d4f1f73b1348eba69a3266fe295b74"/>
            <w:lock w:val="sdtLocked"/>
            <w:richText/>
          </w:sdtPr>
          <w:sdtContent>
            <w:p>
              <w:pPr>
                <w:ind w:firstLine="720"/>
                <w:jc w:val="both"/>
              </w:pPr>
              <w:r>
                <w:rPr>
                  <w:color w:val="000000"/>
                  <w:szCs w:val="24"/>
                  <w:lang w:eastAsia="lt-LT"/>
                </w:rPr>
                <w:t xml:space="preserve">Vadovaudamasi Lietuvos Respublikos darbo kodekso 107 straipsnio 2 ir 3 dalimis, Lietuvos Respublikos vietos savivaldos įstatymo 12 straipsnio 4 dalimi, Lietuvos Respublikos prokuratūros įstatymo 52 straipsnio 9 dalimi, Lietuvos Respublikos vidaus tarnybos statuto 71 straipsnio 3 dalimi, Lietuvos Respublikos žvalgybos įstatymo 64 straipsnio 19 dalimi, Lietuvos Respublikos krašto apsaugos sistemos organizavimo ir karo tarnybos įstatymo </w:t>
              </w:r>
              <w:r>
                <w:rPr>
                  <w:lang w:eastAsia="lt-LT"/>
                </w:rPr>
                <w:t>61</w:t>
              </w:r>
              <w:r>
                <w:rPr>
                  <w:vertAlign w:val="superscript"/>
                  <w:lang w:eastAsia="lt-LT"/>
                </w:rPr>
                <w:t>1</w:t>
              </w:r>
              <w:r>
                <w:rPr>
                  <w:lang w:eastAsia="lt-LT"/>
                </w:rPr>
                <w:t xml:space="preserve"> straipsnio 3 dalimi, 68 straipsnio 9 dalimi, </w:t>
              </w:r>
              <w:r>
                <w:rPr>
                  <w:color w:val="000000"/>
                  <w:szCs w:val="24"/>
                  <w:lang w:eastAsia="lt-LT"/>
                </w:rPr>
                <w:t>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w:t>
              </w:r>
              <w:r>
                <w:rPr>
                  <w:color w:val="000000"/>
                  <w:spacing w:val="40"/>
                  <w:szCs w:val="24"/>
                  <w:lang w:eastAsia="lt-LT"/>
                </w:rPr>
                <w:t xml:space="preserve"> </w:t>
              </w:r>
              <w:r>
                <w:rPr>
                  <w:color w:val="000000"/>
                  <w:spacing w:val="60"/>
                  <w:szCs w:val="24"/>
                  <w:lang w:eastAsia="lt-LT"/>
                </w:rPr>
                <w:t>nutari</w:t>
              </w:r>
              <w:r>
                <w:rPr>
                  <w:color w:val="000000"/>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d8dc3adf95cf4b19b529a0d52b3b2333"/>
                <w:lock w:val="sdtLocked"/>
                <w:richText/>
              </w:sdtPr>
              <w:sdtContent>
                <w:p>
                  <w:pPr>
                    <w:ind w:firstLine="720"/>
                    <w:jc w:val="both"/>
                    <w:rPr>
                      <w:lang w:eastAsia="lt-LT"/>
                    </w:rPr>
                  </w:pPr>
                  <w:sdt>
                    <w:sdtPr>
                      <w:alias w:val="Numeris"/>
                      <w:tag w:val="nr_d8dc3adf95cf4b19b529a0d52b3b2333"/>
                      <w:lock w:val="sdtLocked"/>
                      <w:richText/>
                    </w:sdt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393106ed8ecf4ed69f5bbd83d46b2628"/>
                <w:lock w:val="sdtLocked"/>
                <w:richText/>
              </w:sdtPr>
              <w:sdtContent>
                <w:p>
                  <w:pPr>
                    <w:ind w:firstLine="720"/>
                    <w:jc w:val="both"/>
                  </w:pPr>
                  <w:sdt>
                    <w:sdtPr>
                      <w:alias w:val="Numeris"/>
                      <w:tag w:val="nr_393106ed8ecf4ed69f5bbd83d46b2628"/>
                      <w:lock w:val="sdtLocked"/>
                      <w:richText/>
                    </w:sdt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a36fdd1427cf429ea93ed74dc2c4cc9f"/>
        <w:lock w:val="sdtLocked"/>
        <w:richText/>
      </w:sdtPr>
      <w:sdtContent>
        <w:p>
          <w:pPr>
            <w:ind w:left="4820"/>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a36fdd1427cf429ea93ed74dc2c4cc9f"/>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409d1c3a9b0342b68ff16232269b2b67"/>
            <w:lock w:val="sdtLocked"/>
            <w:richText/>
          </w:sdtPr>
          <w:sdtContent>
            <w:p>
              <w:pPr>
                <w:ind w:firstLine="720"/>
                <w:jc w:val="both"/>
                <w:rPr>
                  <w:lang w:eastAsia="lt-LT"/>
                </w:rPr>
              </w:pPr>
              <w:sdt>
                <w:sdtPr>
                  <w:alias w:val="Numeris"/>
                  <w:tag w:val="nr_409d1c3a9b0342b68ff16232269b2b67"/>
                  <w:lock w:val="sdtLocked"/>
                  <w:richText/>
                </w:sdt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972ca82b72a443e2a620229b8cc3720b"/>
                    <w:lock w:val="sdtLocked"/>
                    <w:richText/>
                  </w:sdtPr>
                  <w:sdtContent>
                    <w:p>
                      <w:pPr>
                        <w:ind w:firstLine="720"/>
                        <w:jc w:val="both"/>
                      </w:pPr>
                      <w:sdt>
                        <w:sdtPr>
                          <w:alias w:val="Numeris"/>
                          <w:tag w:val="nr_972ca82b72a443e2a620229b8cc3720b"/>
                          <w:lock w:val="sdtLocked"/>
                          <w:richText/>
                        </w:sdtPr>
                        <w:sdtContent>
                          <w:r>
                            <w:rPr>
                              <w:szCs w:val="24"/>
                              <w:lang w:eastAsia="lt-LT"/>
                            </w:rPr>
                            <w:t>2.2</w:t>
                          </w:r>
                        </w:sdtContent>
                      </w:sdt>
                      <w:r>
                        <w:rPr>
                          <w:szCs w:val="24"/>
                          <w:lang w:eastAsia="lt-LT"/>
                        </w:rPr>
                        <w:t xml:space="preserve">. valstybės politiko arba valstybės pareigūno, arba teisėjo, arba žvalgybos pareigūno, </w:t>
                      </w:r>
                      <w:r>
                        <w:rPr>
                          <w:bCs/>
                          <w:color w:val="000000"/>
                          <w:lang w:eastAsia="lt-LT"/>
                        </w:rPr>
                        <w:t>arba vidaus tarnybos sistemos pareigūno,</w:t>
                      </w:r>
                      <w:r>
                        <w:rPr>
                          <w:szCs w:val="24"/>
                          <w:lang w:eastAsia="lt-LT"/>
                        </w:rPr>
                        <w:t xml:space="preserve"> arba valstybės tarnautojo, arba darbuotojo, dirbančio pagal darbo sutartį (toliau kartu – darbuotojas), išvykimas iš nuolatinės darbo vietos, kaip ji nurodyta Kodekso 34 straipsnio 4 dalyje, įstaigos vadovo arba jo įgalioto asmens siuntimu tobulinti kvalifikacijos, arba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35420011f111efbcbfb318996800a8">
            <w:r w:rsidRPr="00532B9F">
              <w:rPr>
                <w:rFonts w:ascii="Times New Roman" w:eastAsia="MS Mincho" w:hAnsi="Times New Roman"/>
                <w:sz w:val="20"/>
                <w:iCs/>
                <w:color w:val="0000FF" w:themeColor="hyperlink"/>
                <w:u w:val="single"/>
              </w:rPr>
              <w:t>339</w:t>
            </w:r>
          </w:fldSimple>
          <w:r>
            <w:rPr>
              <w:rFonts w:ascii="Times New Roman" w:eastAsia="MS Mincho" w:hAnsi="Times New Roman"/>
              <w:sz w:val="20"/>
              <w:iCs/>
            </w:rPr>
            <w:t>,
2024-05-08,
paskelbta TAR 2024-05-14, i. k. 2024-08803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5691E"/>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6.xml"/>
  <Relationship Id="rId15" Type="http://schemas.openxmlformats.org/officeDocument/2006/relationships/header" Target="header47.xml"/>
  <Relationship Id="rId16" Type="http://schemas.openxmlformats.org/officeDocument/2006/relationships/footer" Target="footer46.xml"/>
  <Relationship Id="rId17" Type="http://schemas.openxmlformats.org/officeDocument/2006/relationships/footer" Target="footer47.xml"/>
  <Relationship Id="rId18" Type="http://schemas.openxmlformats.org/officeDocument/2006/relationships/header" Target="header48.xml"/>
  <Relationship Id="rId19" Type="http://schemas.openxmlformats.org/officeDocument/2006/relationships/footer" Target="footer48.xml"/>
  <Relationship Id="rId2" Type="http://schemas.openxmlformats.org/officeDocument/2006/relationships/header" Target="header23.xml"/>
  <Relationship Id="rId20"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44d4f1f73b1348eba69a3266fe295b74"/>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d8dc3adf95cf4b19b529a0d52b3b2333"/>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393106ed8ecf4ed69f5bbd83d46b2628"/>
    </Part>
    <Part Type="signatura" DocPartId="126271ec361548f598c816bb116292f9" PartId="d17dd63a4125491a933707d4dcadb135"/>
  </Part>
  <Part Type="patvirtinta" Title="MAKSIMALIŲ DIENPINIGIŲ DYDŽIŲ SĄRAŠAS" DocPartId="e7e4c04a2b0146a081e6a3f8415c4a62" PartId="a36fdd1427cf429ea93ed74dc2c4cc9f">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409d1c3a9b0342b68ff16232269b2b67"/>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972ca82b72a443e2a620229b8cc3720b"/>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A497D88C-9E08-4AB8-9B95-EDA98D51FEDB}">
  <ds:schemaRefs>
    <ds:schemaRef ds:uri="http://lrs.lt/TAIS/DocParts"/>
  </ds:schemaRefs>
</ds:datastoreItem>
</file>

<file path=docProps/app.xml><?xml version="1.0" encoding="utf-8"?>
<Properties xmlns="http://schemas.openxmlformats.org/officeDocument/2006/extended-properties">
  <Template>Normal.dotm</Template>
  <TotalTime>59</TotalTime>
  <Pages>17</Pages>
  <Words>25269</Words>
  <Characters>14404</Characters>
  <Application>Microsoft Office Word</Application>
  <DocSecurity>0</DocSecurity>
  <Lines>120</Lines>
  <Paragraphs>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39594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TRAPINSKIENĖ Aušrinė</lastModifiedBy>
  <dcterms:modified xsi:type="dcterms:W3CDTF">2024-05-15T06:24:00Z</dcterms:modified>
  <revision>37</revision>
</coreProperties>
</file>