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0f8ce76d24544fab925af131f152f47"/>
        <w:lock w:val="sdtLocked"/>
        <w:richText/>
      </w:sdtPr>
      <w:sdtContent>
        <w:p>
          <w:pPr>
            <w:jc w:val="both"/>
            <w:rPr>
              <w:rFonts w:ascii="Times New Roman" w:hAnsi="Times New Roman"/>
            </w:rPr>
          </w:pPr>
          <w:r>
            <w:rPr>
              <w:rFonts w:ascii="Times New Roman" w:hAnsi="Times New Roman"/>
              <w:b/>
              <w:i/>
            </w:rPr>
            <w:t>Suvestinė redakcija nuo 2012-05-23 iki 2013-04-27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04E6D76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7240a436c52445d98e79673089dea130"/>
            <w:lock w:val="sdtLocked"/>
            <w:richText/>
          </w:sdtPr>
          <w:sdtContent>
            <w:p>
              <w:pPr>
                <w:ind w:firstLine="709"/>
                <w:jc w:val="both"/>
                <w:rPr>
                  <w:color w:val="000000"/>
                </w:rPr>
              </w:pPr>
              <w:r>
                <w:t xml:space="preserve">Vadovaudamasi Lietuvos Respublikos darbo kodekso (Žin., 2002, Nr. </w:t>
              </w:r>
              <w:hyperlink r:id="rId17" w:tgtFrame="_blank" w:history="1">
                <w:r>
                  <w:rPr>
                    <w:rStyle w:val="Hipersaitas"/>
                  </w:rPr>
                  <w:t>64-2569</w:t>
                </w:r>
              </w:hyperlink>
              <w:r>
                <w:t xml:space="preserve">) 220 straipsnio 1 ir 2 dalimis, Lietuvos Respublikos valstybės tarnybos įstatymo (Žin., 1999, Nr. </w:t>
              </w:r>
              <w:hyperlink r:id="rId18" w:tgtFrame="_blank" w:history="1">
                <w:r>
                  <w:rPr>
                    <w:rStyle w:val="Hipersaitas"/>
                  </w:rPr>
                  <w:t>66-2130</w:t>
                </w:r>
              </w:hyperlink>
              <w:r>
                <w:t xml:space="preserve">; 2002, Nr. </w:t>
              </w:r>
              <w:hyperlink r:id="rId19" w:tgtFrame="_blank" w:history="1">
                <w:r>
                  <w:rPr>
                    <w:rStyle w:val="Hipersaitas"/>
                  </w:rPr>
                  <w:t>45-1708</w:t>
                </w:r>
              </w:hyperlink>
              <w:r>
                <w:t xml:space="preserve">; 2006, Nr. </w:t>
              </w:r>
              <w:hyperlink r:id="rId20" w:tgtFrame="_blank" w:history="1">
                <w:r>
                  <w:rPr>
                    <w:rStyle w:val="Hipersaitas"/>
                  </w:rPr>
                  <w:t>4-97</w:t>
                </w:r>
              </w:hyperlink>
              <w:r>
                <w:t xml:space="preserve">) 43 straipsnio 9 dalimi, Lietuvos Respublikos vietos savivaldos įstatymo (Žin., 1994, Nr. </w:t>
              </w:r>
              <w:hyperlink r:id="rId21" w:tgtFrame="_blank" w:history="1">
                <w:r>
                  <w:rPr>
                    <w:rStyle w:val="Hipersaitas"/>
                  </w:rPr>
                  <w:t>55-1049</w:t>
                </w:r>
              </w:hyperlink>
              <w:r>
                <w:t xml:space="preserve">; 2008, Nr. </w:t>
              </w:r>
              <w:hyperlink r:id="rId22" w:tgtFrame="_blank" w:history="1">
                <w:r>
                  <w:rPr>
                    <w:rStyle w:val="Hipersaitas"/>
                  </w:rPr>
                  <w:t>113-4290</w:t>
                </w:r>
              </w:hyperlink>
              <w:r>
                <w:t xml:space="preserve">) 26 straipsnio 3 dalimi, Lietuvos Respublikos prokuratūros įstatymo (Žin., 1994, Nr. </w:t>
              </w:r>
              <w:hyperlink r:id="rId23" w:tgtFrame="_blank" w:history="1">
                <w:r>
                  <w:rPr>
                    <w:rStyle w:val="Hipersaitas"/>
                  </w:rPr>
                  <w:t>81-1514</w:t>
                </w:r>
              </w:hyperlink>
              <w:r>
                <w:t xml:space="preserve">; 2003, Nr. 42-1919; 2008, Nr. </w:t>
              </w:r>
              <w:hyperlink r:id="rId24" w:tgtFrame="_blank" w:history="1">
                <w:r>
                  <w:rPr>
                    <w:rStyle w:val="Hipersaitas"/>
                  </w:rPr>
                  <w:t>81-3173</w:t>
                </w:r>
              </w:hyperlink>
              <w:r>
                <w:t xml:space="preserve">) 52 straipsnio 9 dalimi ir Tarnybos Lietuvos Respublikos muitinėje statuto, patvirtinto Lietuvos Respublikos Tarnybos Lietuvos Respublikos muitinėje statuto patvirtinimo ir įgyvendinimo įstatymu (Žin., 2000, Nr. </w:t>
              </w:r>
              <w:hyperlink r:id="rId25" w:tgtFrame="_blank" w:history="1">
                <w:r>
                  <w:rPr>
                    <w:rStyle w:val="Hipersaitas"/>
                  </w:rPr>
                  <w:t>94-2917</w:t>
                </w:r>
              </w:hyperlink>
              <w:r>
                <w:t>; 2003, Nr. 64-2881; 2007, Nr. </w:t>
              </w:r>
              <w:hyperlink r:id="rId26" w:tgtFrame="_blank" w:history="1">
                <w:r>
                  <w:rPr>
                    <w:rStyle w:val="Hipersaitas"/>
                  </w:rPr>
                  <w:t>4-155</w:t>
                </w:r>
              </w:hyperlink>
              <w:r>
                <w:t>), 54 straipsnio 3 dalimi, Lietuvos Respublikos Vyriausybė</w:t>
              </w:r>
              <w:r>
                <w:rPr>
                  <w:spacing w:val="80"/>
                </w:rPr>
                <w:t xml:space="preserve"> </w:t>
              </w:r>
              <w:r>
                <w:rPr>
                  <w:spacing w:val="60"/>
                </w:rPr>
                <w:t>nutari</w:t>
              </w:r>
              <w:r>
                <w:t xml:space="preserve">a: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d9610eb8db574f3b8c555c6083592356"/>
                <w:lock w:val="sdtLocked"/>
                <w:richText/>
              </w:sdtPr>
              <w:sdtContent>
                <w:p>
                  <w:pPr>
                    <w:ind w:firstLine="709"/>
                    <w:jc w:val="both"/>
                    <w:rPr>
                      <w:color w:val="000000"/>
                    </w:rPr>
                  </w:pPr>
                  <w:sdt>
                    <w:sdtPr>
                      <w:alias w:val="Numeris"/>
                      <w:tag w:val="nr_d9610eb8db574f3b8c555c6083592356"/>
                      <w:lock w:val="sdtLocked"/>
                      <w:richText/>
                    </w:sdtPr>
                    <w:sdtContent>
                      <w:r>
                        <w:rPr>
                          <w:color w:val="000000"/>
                        </w:rPr>
                        <w:t>2.1</w:t>
                      </w:r>
                    </w:sdtContent>
                  </w:sdt>
                  <w:r>
                    <w:rPr>
                      <w:color w:val="000000"/>
                    </w:rPr>
                    <w:t>.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įstaigos.</w:t>
                  </w:r>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27"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28"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29"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30"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31"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32"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33"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34"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35"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36"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37"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38"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39"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40"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f4cfc59ab42a4cd6bd20d30e75bee773"/>
                    <w:lock w:val="sdtLocked"/>
                    <w:richText/>
                  </w:sdtPr>
                  <w:sdtContent>
                    <w:p>
                      <w:pPr>
                        <w:ind w:firstLine="709"/>
                        <w:jc w:val="both"/>
                        <w:rPr>
                          <w:color w:val="000000"/>
                        </w:rPr>
                      </w:pPr>
                      <w:sdt>
                        <w:sdtPr>
                          <w:alias w:val="Numeris"/>
                          <w:tag w:val="nr_f4cfc59ab42a4cd6bd20d30e75bee773"/>
                          <w:lock w:val="sdtLocked"/>
                          <w:richText/>
                        </w:sdtPr>
                        <w:sdtContent>
                          <w:r>
                            <w:t>2.1</w:t>
                          </w:r>
                        </w:sdtContent>
                      </w:sdt>
                      <w:r>
                        <w:t>. valstybės politiko arba valstybės pareigūno, arba teisėjo, arba valstybės tarnautojo, arba darbuotojo, dirbančio pagal darbo sutartį (toliau vadinama – darbuotojas), išvykimas tam tikram laikui iš nuolatinės darbo vietos įstaigos vadovo arba jo įgalioto asmens siuntimu atlikti darbo funkcijų, vykdyti</w:t>
                      </w:r>
                      <w:r>
                        <w:rPr>
                          <w:b/>
                        </w:rPr>
                        <w:t xml:space="preserve"> </w:t>
                      </w:r>
                      <w:r>
                        <w:t xml:space="preserve">tarnybinio pavedimo ar kelti kvalifikacijos;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41" w:tgtFrame="_blank" w:history="1">
                        <w:r>
                          <w:rPr>
                            <w:rStyle w:val="Hipersaitas"/>
                          </w:rPr>
                          <w:t>42-1381</w:t>
                        </w:r>
                      </w:hyperlink>
                      <w:r>
                        <w:rPr>
                          <w:color w:val="000000"/>
                        </w:rPr>
                        <w:t>).</w:t>
                      </w:r>
                      <w:r>
                        <w:t xml:space="preserve"> </w:t>
                      </w:r>
                    </w:p>
                  </w:sdtContent>
                </w:sdt>
                <w:sdt>
                  <w:sdtPr>
                    <w:alias w:val="2.3 p."/>
                    <w:tag w:val="part_e56bea4153554ba2b82d7ddf743765ba"/>
                    <w:lock w:val="sdtLocked"/>
                    <w:richText/>
                  </w:sdtPr>
                  <w:sdtContent>
                    <w:p>
                      <w:pPr>
                        <w:ind w:firstLine="709"/>
                        <w:jc w:val="both"/>
                        <w:rPr>
                          <w:color w:val="000000"/>
                        </w:rPr>
                      </w:pPr>
                      <w:sdt>
                        <w:sdtPr>
                          <w:alias w:val="Numeris"/>
                          <w:tag w:val="nr_e56bea4153554ba2b82d7ddf743765ba"/>
                          <w:lock w:val="sdtLocked"/>
                          <w:richText/>
                        </w:sdtPr>
                        <w:sdtContent>
                          <w:r>
                            <w:t>2.3</w:t>
                          </w:r>
                        </w:sdtContent>
                      </w:sdt>
                      <w:r>
                        <w:t>.</w:t>
                      </w:r>
                      <w:r>
                        <w:rPr>
                          <w:color w:val="000000"/>
                        </w:rPr>
                        <w:t xml:space="preserve"> darbuotojo dalyvavimas įgyvendinant Europos Sąjungos ir (arba) </w:t>
                      </w:r>
                      <w:r>
                        <w:rPr>
                          <w:bCs/>
                          <w:color w:val="000000"/>
                        </w:rPr>
                        <w:t>kitos tarptautinės finansinės paramos</w:t>
                      </w:r>
                      <w:r>
                        <w:rPr>
                          <w:b/>
                          <w:bCs/>
                          <w:color w:val="000000"/>
                        </w:rPr>
                        <w:t xml:space="preserve"> </w:t>
                      </w:r>
                      <w:r>
                        <w:rPr>
                          <w:color w:val="000000"/>
                        </w:rPr>
                        <w:t xml:space="preserve">finansuojamus projektus, kai jo komandiruotės išlaidos apmokamos iš Europos Sąjungos ir (arba) </w:t>
                      </w:r>
                      <w:r>
                        <w:rPr>
                          <w:bCs/>
                          <w:color w:val="000000"/>
                        </w:rPr>
                        <w:t>kitos tarptautinės finansinės paramos</w:t>
                      </w:r>
                      <w:r>
                        <w:rPr>
                          <w:color w:val="000000"/>
                        </w:rPr>
                        <w:t xml:space="preserve"> finansuojamų projektų lėšų </w:t>
                      </w:r>
                      <w:r>
                        <w:rPr>
                          <w:bCs/>
                          <w:color w:val="000000"/>
                        </w:rPr>
                        <w:t>(išskyrus finansuojamus iš Europos Sąjungos ir (arba) kitos tarptautinės finansinės paramos programų, kurių lėšos planuojamos Lietuvos Respublikos valstybės biudžete)</w:t>
                      </w:r>
                      <w:r>
                        <w:rPr>
                          <w:b/>
                          <w:bCs/>
                          <w:color w:val="000000"/>
                        </w:rPr>
                        <w:t xml:space="preserve"> </w:t>
                      </w:r>
                      <w:r>
                        <w:rPr>
                          <w:color w:val="000000"/>
                        </w:rPr>
                        <w:t>pagal minėtų projektų sutartyse numatytas sąlygas. Šiuo atveju netaikomos šių Taisyklių II skyriuje nustatytos tarnybinių komandiruočių į užsienio valstybes išlaidų apmokėjimo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9258239aa5c24fe2a9b0c23570eb1638"/>
                <w:lock w:val="sdtLocked"/>
                <w:richText/>
              </w:sdtPr>
              <w:sdtContent>
                <w:p>
                  <w:pPr>
                    <w:ind w:firstLine="709"/>
                    <w:jc w:val="both"/>
                    <w:rPr>
                      <w:color w:val="000000"/>
                    </w:rPr>
                  </w:pPr>
                  <w:sdt>
                    <w:sdtPr>
                      <w:alias w:val="Numeris"/>
                      <w:tag w:val="nr_9258239aa5c24fe2a9b0c23570eb1638"/>
                      <w:lock w:val="sdtLocked"/>
                      <w:richText/>
                    </w:sdtPr>
                    <w:sdtContent>
                      <w:r>
                        <w:t>4</w:t>
                      </w:r>
                    </w:sdtContent>
                  </w:sdt>
                  <w:r>
                    <w:t xml:space="preserve">. Įstaigų vadovai arba jų įgalioti asmenys gali siųsti savo darbuotojus į komandiruotę į užsienio valstybę ne ilgiau kaip 30 kalendorinių dienų (neįskaitant kelionės laiko). Jeigu yra atskiras Lietuvos Respublikos Vyriausybės sprendimas dėl atstovavimo Lietuvos Respublikai tarptautiniuose renginiuose arba darbuotojas siunčiamas dalyvauti įgyvendinant Europos Sąjungos ir (arba) </w:t>
                  </w:r>
                  <w:r>
                    <w:rPr>
                      <w:bCs/>
                      <w:color w:val="000000"/>
                    </w:rPr>
                    <w:t>kitos tarptautinės finansinės paramos</w:t>
                  </w:r>
                  <w:r>
                    <w:rPr>
                      <w:b/>
                      <w:bCs/>
                      <w:color w:val="000000"/>
                    </w:rPr>
                    <w:t xml:space="preserve"> </w:t>
                  </w:r>
                  <w:r>
                    <w:t xml:space="preserve">finansuojamus projektus, kai jo komandiruotės išlaidos apmokamos iš Europos Sąjungos ir (arba) </w:t>
                  </w:r>
                  <w:r>
                    <w:rPr>
                      <w:bCs/>
                      <w:color w:val="000000"/>
                    </w:rPr>
                    <w:t>kitos tarptautinės finansinės paramos</w:t>
                  </w:r>
                  <w:r>
                    <w:t xml:space="preserve"> finansuojamų projektų lėšų </w:t>
                  </w:r>
                  <w:r>
                    <w:rPr>
                      <w:bCs/>
                      <w:color w:val="000000"/>
                    </w:rPr>
                    <w:t>(išskyrus finansuojamus iš Europos Sąjungos ir (arba) kitos</w:t>
                  </w:r>
                  <w:r>
                    <w:rPr>
                      <w:b/>
                      <w:bCs/>
                      <w:color w:val="000000"/>
                    </w:rPr>
                    <w:t xml:space="preserve"> </w:t>
                  </w:r>
                  <w:r>
                    <w:rPr>
                      <w:bCs/>
                      <w:color w:val="000000"/>
                    </w:rPr>
                    <w:t>tarptautinės finansinės paramos programų, kurių lėšos planuojamos Lietuvos Respublikos valstybės biudžete)</w:t>
                  </w:r>
                  <w:r>
                    <w:t xml:space="preserve"> pagal minėtų projektų sutartyse numatytas sąlygas, siunčiamo į užsienį darbuotojo komandiruotės trukmė gali būti ilgesnė kaip 30 kalendorinių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5 p."/>
                <w:tag w:val="part_0288b4436aa4488ca2f3898792d1cf49"/>
                <w:lock w:val="sdtLocked"/>
                <w:richText/>
              </w:sdtPr>
              <w:sdtContent>
                <w:p>
                  <w:pPr>
                    <w:ind w:firstLine="709"/>
                    <w:jc w:val="both"/>
                  </w:pPr>
                  <w:sdt>
                    <w:sdtPr>
                      <w:alias w:val="Numeris"/>
                      <w:tag w:val="nr_0288b4436aa4488ca2f3898792d1cf49"/>
                      <w:lock w:val="sdtLocked"/>
                      <w:richText/>
                    </w:sdtPr>
                    <w:sdtContent>
                      <w:r>
                        <w:t>5</w:t>
                      </w:r>
                    </w:sdtContent>
                  </w:sdt>
                  <w:r>
                    <w:t>. Siuntimas į tarnybinę komandiruotę, išskyrus siuntimą į tarnybinę komandiruotę vienai darbo dienai Lietuvos Respublikos teritorijoje,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p>
                  <w:pPr>
                    <w:ind w:firstLine="709"/>
                    <w:jc w:val="both"/>
                    <w:rPr>
                      <w:color w:val="000000"/>
                    </w:rPr>
                  </w:pPr>
                  <w:r>
                    <w:t xml:space="preserve">Siuntimas į tarnybinę komandiruotę vienai darbo dienai Lietuvos Respublikos teritorijoje įforminamas įstaigos vadovo arba jo įgalioto asmens rezoliucija, patvirtinančia, kad tarnybinis pranešimas ar darbuotojo prašymas išvykti iš nuolatinės darbo vietos suderintas.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c275af20cb7c4d52964994889d6cfb44"/>
                <w:lock w:val="sdtLocked"/>
                <w:richText/>
              </w:sdtPr>
              <w:sdtContent>
                <w:p>
                  <w:pPr>
                    <w:ind w:firstLine="709"/>
                    <w:jc w:val="both"/>
                    <w:rPr>
                      <w:color w:val="000000"/>
                    </w:rPr>
                  </w:pPr>
                  <w:sdt>
                    <w:sdtPr>
                      <w:alias w:val="Numeris"/>
                      <w:tag w:val="nr_c275af20cb7c4d52964994889d6cfb44"/>
                      <w:lock w:val="sdtLocked"/>
                      <w:richText/>
                    </w:sdtPr>
                    <w:sdtContent>
                      <w:r>
                        <w:rPr>
                          <w:color w:val="000000"/>
                        </w:rPr>
                        <w:t>7</w:t>
                      </w:r>
                    </w:sdtContent>
                  </w:sdt>
                  <w:r>
                    <w:rPr>
                      <w:color w:val="000000"/>
                    </w:rPr>
                    <w:t xml:space="preserve">. Kai darbuotojas siunčiamas į tarnybinę komandiruotę į užsienio valstybę </w:t>
                  </w:r>
                  <w:r>
                    <w:t>(valstybes)</w:t>
                  </w:r>
                  <w:r>
                    <w:rPr>
                      <w:color w:val="000000"/>
                    </w:rPr>
                    <w:t>, jam apmokamos šios su tarnybine komandiruote susijusios išlaidos (toliau vadinama – komandiruotės išlaidos):</w:t>
                  </w:r>
                </w:p>
                <w:sdt>
                  <w:sdtPr>
                    <w:alias w:val="7.1 p."/>
                    <w:tag w:val="part_4383fdc5190542a085b1fbf420ac3dc7"/>
                    <w:lock w:val="sdtLocked"/>
                    <w:richText/>
                  </w:sdtPr>
                  <w:sdtContent>
                    <w:p>
                      <w:pPr>
                        <w:ind w:firstLine="709"/>
                        <w:jc w:val="both"/>
                        <w:rPr>
                          <w:color w:val="000000"/>
                        </w:rPr>
                      </w:pPr>
                      <w:sdt>
                        <w:sdtPr>
                          <w:alias w:val="Numeris"/>
                          <w:tag w:val="nr_4383fdc5190542a085b1fbf420ac3dc7"/>
                          <w:lock w:val="sdtLocked"/>
                          <w:richText/>
                        </w:sdtPr>
                        <w:sdtContent>
                          <w:r>
                            <w:rPr>
                              <w:color w:val="000000"/>
                            </w:rPr>
                            <w:t>7.1</w:t>
                          </w:r>
                        </w:sdtContent>
                      </w:sdt>
                      <w:r>
                        <w:rPr>
                          <w:color w:val="000000"/>
                        </w:rPr>
                        <w:t>. dienpinigiai;</w:t>
                      </w:r>
                    </w:p>
                  </w:sdtContent>
                </w:sdt>
                <w:sdt>
                  <w:sdtPr>
                    <w:alias w:val="7.2 p."/>
                    <w:tag w:val="part_e83236c471a04b3f8dd0d1e253e54e37"/>
                    <w:lock w:val="sdtLocked"/>
                    <w:richText/>
                  </w:sdtPr>
                  <w:sdtContent>
                    <w:p>
                      <w:pPr>
                        <w:ind w:firstLine="709"/>
                        <w:jc w:val="both"/>
                        <w:rPr>
                          <w:color w:val="000000"/>
                        </w:rPr>
                      </w:pPr>
                      <w:sdt>
                        <w:sdtPr>
                          <w:alias w:val="Numeris"/>
                          <w:tag w:val="nr_e83236c471a04b3f8dd0d1e253e54e37"/>
                          <w:lock w:val="sdtLocked"/>
                          <w:richText/>
                        </w:sdtPr>
                        <w:sdtContent>
                          <w:r>
                            <w:rPr>
                              <w:color w:val="000000"/>
                            </w:rPr>
                            <w:t>7.2</w:t>
                          </w:r>
                        </w:sdtContent>
                      </w:sdt>
                      <w:r>
                        <w:rPr>
                          <w:color w:val="000000"/>
                        </w:rPr>
                        <w:t>. gyvenamojo ploto nuomos išlaidos;</w:t>
                      </w:r>
                    </w:p>
                  </w:sdtContent>
                </w:sdt>
                <w:sdt>
                  <w:sdtPr>
                    <w:alias w:val="7.3 p."/>
                    <w:tag w:val="part_42f533fe11e1471c8e9e3176044bff15"/>
                    <w:lock w:val="sdtLocked"/>
                    <w:richText/>
                  </w:sdtPr>
                  <w:sdtContent>
                    <w:p>
                      <w:pPr>
                        <w:ind w:firstLine="709"/>
                        <w:jc w:val="both"/>
                      </w:pPr>
                      <w:sdt>
                        <w:sdtPr>
                          <w:alias w:val="Numeris"/>
                          <w:tag w:val="nr_42f533fe11e1471c8e9e3176044bff15"/>
                          <w:lock w:val="sdtLocked"/>
                          <w:richText/>
                        </w:sdtPr>
                        <w:sdtContent>
                          <w:r>
                            <w:t>7.3</w:t>
                          </w:r>
                        </w:sdtContent>
                      </w:sdt>
                      <w:r>
                        <w:t>. transporto išlaidos, susijusios su komandiruotės tikslais:</w:t>
                      </w:r>
                    </w:p>
                    <w:sdt>
                      <w:sdtPr>
                        <w:alias w:val="7.3.1 p."/>
                        <w:tag w:val="part_382e5358fce3440695f725968d0d2344"/>
                        <w:lock w:val="sdtLocked"/>
                        <w:richText/>
                      </w:sdtPr>
                      <w:sdtContent>
                        <w:p>
                          <w:pPr>
                            <w:ind w:firstLine="709"/>
                            <w:jc w:val="both"/>
                          </w:pPr>
                          <w:sdt>
                            <w:sdtPr>
                              <w:alias w:val="Numeris"/>
                              <w:tag w:val="nr_382e5358fce3440695f725968d0d2344"/>
                              <w:lock w:val="sdtLocked"/>
                              <w:richText/>
                            </w:sdtPr>
                            <w:sdtContent>
                              <w:r>
                                <w:t>7.3.1</w:t>
                              </w:r>
                            </w:sdtContent>
                          </w:sdt>
                          <w:r>
                            <w:t>. kelionės į užsienio valstybę (valstybes) ir iš jos (jų) komandiruotės dienomis,</w:t>
                          </w:r>
                          <w:r>
                            <w:rPr>
                              <w:b/>
                            </w:rPr>
                            <w:t xml:space="preserve"> </w:t>
                          </w:r>
                          <w:r>
                            <w:t>taip pat dienomis, kai kelionė dėl objektyvių priežasčių negalėjo pasibaigti komandiruotės dienomis, įskaitant tuos atvejus, kai iš komandiruotės grįžtama po vidurnakčio, visų rūšių transporto priemonėmis, išskyrus lengvuosius automobilius taksi;</w:t>
                          </w:r>
                        </w:p>
                      </w:sdtContent>
                    </w:sdt>
                    <w:sdt>
                      <w:sdtPr>
                        <w:alias w:val="7.3.2 p."/>
                        <w:tag w:val="part_9ecff84b0ecd445691af2b1013f5f1e1"/>
                        <w:lock w:val="sdtLocked"/>
                        <w:richText/>
                      </w:sdtPr>
                      <w:sdtContent>
                        <w:p>
                          <w:pPr>
                            <w:ind w:firstLine="709"/>
                            <w:jc w:val="both"/>
                          </w:pPr>
                          <w:sdt>
                            <w:sdtPr>
                              <w:alias w:val="Numeris"/>
                              <w:tag w:val="nr_9ecff84b0ecd445691af2b1013f5f1e1"/>
                              <w:lock w:val="sdtLocked"/>
                              <w:richText/>
                            </w:sdtPr>
                            <w:sdtContent>
                              <w:r>
                                <w:t>7.3.2</w:t>
                              </w:r>
                            </w:sdtContent>
                          </w:sdt>
                          <w:r>
                            <w:t xml:space="preserve">. užsienio valstybės teritorijoje visų rūšių transporto priemonėmis; </w:t>
                          </w:r>
                        </w:p>
                      </w:sdtContent>
                    </w:sdt>
                    <w:sdt>
                      <w:sdtPr>
                        <w:alias w:val="7.3.3 p."/>
                        <w:tag w:val="part_08de04a58c174626a557172b131e0901"/>
                        <w:lock w:val="sdtLocked"/>
                        <w:richText/>
                      </w:sdtPr>
                      <w:sdtContent>
                        <w:p>
                          <w:pPr>
                            <w:ind w:firstLine="709"/>
                            <w:jc w:val="both"/>
                            <w:rPr>
                              <w:color w:val="000000"/>
                            </w:rPr>
                          </w:pPr>
                          <w:sdt>
                            <w:sdtPr>
                              <w:alias w:val="Numeris"/>
                              <w:tag w:val="nr_08de04a58c174626a557172b131e0901"/>
                              <w:lock w:val="sdtLocked"/>
                              <w:richText/>
                            </w:sdtPr>
                            <w:sdtContent>
                              <w:r>
                                <w:t>7.3.3</w:t>
                              </w:r>
                            </w:sdtContent>
                          </w:sdt>
                          <w:r>
                            <w:t>. nuvykimo visų rūšių transporto priemonėmis Lietuvos Respublikos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w:t>
                          </w:r>
                          <w:r>
                            <w:rPr>
                              <w:b/>
                            </w:rPr>
                            <w:t xml:space="preserve"> </w:t>
                          </w:r>
                          <w:r>
                            <w:t xml:space="preserve">įskaitant tuos atvejus, kai iš komandiruotės grįžtama po vidurnakčio;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7.4 p."/>
                    <w:tag w:val="part_96dd771a5aea43669483070f001028d7"/>
                    <w:lock w:val="sdtLocked"/>
                    <w:richText/>
                  </w:sdtPr>
                  <w:sdtContent>
                    <w:p>
                      <w:pPr>
                        <w:ind w:firstLine="709"/>
                        <w:jc w:val="both"/>
                        <w:rPr>
                          <w:color w:val="000000"/>
                        </w:rPr>
                      </w:pPr>
                      <w:sdt>
                        <w:sdtPr>
                          <w:alias w:val="Numeris"/>
                          <w:tag w:val="nr_96dd771a5aea43669483070f001028d7"/>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044cc87040e1477698e7e5c1753b9e97"/>
                    <w:lock w:val="sdtLocked"/>
                    <w:richText/>
                  </w:sdtPr>
                  <w:sdtContent>
                    <w:p>
                      <w:pPr>
                        <w:ind w:firstLine="709"/>
                        <w:jc w:val="both"/>
                        <w:rPr>
                          <w:color w:val="000000"/>
                        </w:rPr>
                      </w:pPr>
                      <w:sdt>
                        <w:sdtPr>
                          <w:alias w:val="Numeris"/>
                          <w:tag w:val="nr_044cc87040e1477698e7e5c1753b9e97"/>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5cba4d422a79487389de08a5a94b374a"/>
                    <w:lock w:val="sdtLocked"/>
                    <w:richText/>
                  </w:sdtPr>
                  <w:sdtContent>
                    <w:p>
                      <w:pPr>
                        <w:ind w:firstLine="709"/>
                        <w:jc w:val="both"/>
                        <w:rPr>
                          <w:color w:val="000000"/>
                        </w:rPr>
                      </w:pPr>
                      <w:sdt>
                        <w:sdtPr>
                          <w:alias w:val="Numeris"/>
                          <w:tag w:val="nr_5cba4d422a79487389de08a5a94b374a"/>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fcd16822fa2342c2a08f5554e509120a"/>
                    <w:lock w:val="sdtLocked"/>
                    <w:richText/>
                  </w:sdtPr>
                  <w:sdtContent>
                    <w:p>
                      <w:pPr>
                        <w:ind w:firstLine="709"/>
                        <w:jc w:val="both"/>
                        <w:rPr>
                          <w:color w:val="000000"/>
                        </w:rPr>
                      </w:pPr>
                      <w:sdt>
                        <w:sdtPr>
                          <w:alias w:val="Numeris"/>
                          <w:tag w:val="nr_fcd16822fa2342c2a08f5554e509120a"/>
                          <w:lock w:val="sdtLocked"/>
                          <w:richText/>
                        </w:sdtPr>
                        <w:sdtContent>
                          <w:r>
                            <w:rPr>
                              <w:color w:val="000000"/>
                            </w:rPr>
                            <w:t>7.7</w:t>
                          </w:r>
                        </w:sdtContent>
                      </w:sdt>
                      <w:r>
                        <w:rPr>
                          <w:color w:val="000000"/>
                        </w:rPr>
                        <w:t>. ryšių (pašto ir telekomunikacijų) išlaidos;</w:t>
                      </w:r>
                    </w:p>
                  </w:sdtContent>
                </w:sdt>
                <w:sdt>
                  <w:sdtPr>
                    <w:alias w:val="7.8 p."/>
                    <w:tag w:val="part_c7ed506e85bc40c185f67bcd4fdf1b82"/>
                    <w:lock w:val="sdtLocked"/>
                    <w:richText/>
                  </w:sdtPr>
                  <w:sdtContent>
                    <w:p>
                      <w:pPr>
                        <w:ind w:firstLine="709"/>
                        <w:jc w:val="both"/>
                        <w:rPr>
                          <w:color w:val="000000"/>
                        </w:rPr>
                      </w:pPr>
                      <w:sdt>
                        <w:sdtPr>
                          <w:alias w:val="Numeris"/>
                          <w:tag w:val="nr_c7ed506e85bc40c185f67bcd4fdf1b82"/>
                          <w:lock w:val="sdtLocked"/>
                          <w:richText/>
                        </w:sdtPr>
                        <w:sdtContent>
                          <w:r>
                            <w:t>7.8</w:t>
                          </w:r>
                        </w:sdtContent>
                      </w:sdt>
                      <w:r>
                        <w:t xml:space="preserve">. automobilių saugojimo aikštelėse užsienio valstybėje (valstybėse)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9 p."/>
                    <w:tag w:val="part_95b3952722f140d2a2ec487f1accadc9"/>
                    <w:lock w:val="sdtLocked"/>
                    <w:richText/>
                  </w:sdtPr>
                  <w:sdtContent>
                    <w:p>
                      <w:pPr>
                        <w:ind w:firstLine="709"/>
                        <w:jc w:val="both"/>
                        <w:rPr>
                          <w:color w:val="000000"/>
                        </w:rPr>
                      </w:pPr>
                      <w:sdt>
                        <w:sdtPr>
                          <w:alias w:val="Numeris"/>
                          <w:tag w:val="nr_95b3952722f140d2a2ec487f1accadc9"/>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300392f6ef514abca951f85fc88d67a0"/>
                    <w:lock w:val="sdtLocked"/>
                    <w:richText/>
                  </w:sdtPr>
                  <w:sdtContent>
                    <w:p>
                      <w:pPr>
                        <w:ind w:firstLine="709"/>
                        <w:jc w:val="both"/>
                      </w:pPr>
                      <w:sdt>
                        <w:sdtPr>
                          <w:alias w:val="Numeris"/>
                          <w:tag w:val="nr_300392f6ef514abca951f85fc88d67a0"/>
                          <w:lock w:val="sdtLocked"/>
                          <w:richText/>
                        </w:sdtPr>
                        <w:sdtContent>
                          <w:r>
                            <w:rPr>
                              <w:color w:val="000000"/>
                            </w:rPr>
                            <w:t>7.10</w:t>
                          </w:r>
                        </w:sdtContent>
                      </w:sdt>
                      <w:r>
                        <w:rPr>
                          <w:color w:val="000000"/>
                        </w:rPr>
                        <w:t xml:space="preserve">. valiutos keitimo kredito įstaigoje išlaidos, kai ši valiuta skirta šių Taisyklių </w:t>
                      </w:r>
                      <w:r>
                        <w:t>7.1–7.9 ir 7.11</w:t>
                      </w:r>
                      <w:r>
                        <w:rPr>
                          <w:color w:val="000000"/>
                        </w:rPr>
                        <w:t xml:space="preserve"> punktuose nurodytoms komandiruotės išlaidoms apmokėti.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11 p."/>
                    <w:tag w:val="part_9b038543803b438c8abd308cbd7826a6"/>
                    <w:lock w:val="sdtLocked"/>
                    <w:richText/>
                  </w:sdtPr>
                  <w:sdtContent>
                    <w:p>
                      <w:pPr>
                        <w:ind w:firstLine="709"/>
                        <w:jc w:val="both"/>
                      </w:pPr>
                      <w:sdt>
                        <w:sdtPr>
                          <w:alias w:val="Numeris"/>
                          <w:tag w:val="nr_9b038543803b438c8abd308cbd7826a6"/>
                          <w:lock w:val="sdtLocked"/>
                          <w:richText/>
                        </w:sdtPr>
                        <w:sdtContent>
                          <w:r>
                            <w:t>7.11</w:t>
                          </w:r>
                        </w:sdtContent>
                      </w:sdt>
                      <w:r>
                        <w:t xml:space="preserve">. kitos su komandiruote susijusios būtinos išlaidos (miesto (ekologinis) mokestis, registruoto bagažo mokestis, bagažo saugojimo, būtinų skiepų ir vaistų nuo užkrečiamųjų ligų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1609d7020414623a6bc8700cf439264"/>
                    <w:lock w:val="sdtLocked"/>
                    <w:richText/>
                  </w:sdtPr>
                  <w:sdtContent>
                    <w:p>
                      <w:pPr>
                        <w:ind w:firstLine="709"/>
                        <w:jc w:val="both"/>
                      </w:pPr>
                      <w:sdt>
                        <w:sdtPr>
                          <w:alias w:val="Numeris"/>
                          <w:tag w:val="nr_f1609d7020414623a6bc8700cf439264"/>
                          <w:lock w:val="sdtLocked"/>
                          <w:richText/>
                        </w:sdtPr>
                        <w:sdtContent>
                          <w:r>
                            <w:t>9.2</w:t>
                          </w:r>
                        </w:sdtContent>
                      </w:sdt>
                      <w:r>
                        <w:t>. 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ind w:firstLine="709"/>
                        <w:jc w:val="both"/>
                      </w:pPr>
                      <w:r>
                        <w:t>Kai darbuotojas, vykdamas į tarnybinę komandiruotę, tą pačią dieną atvyksta į kelias užsienio valstybes, už šią dieną mokamas finansų ministro patvirtintų dienpinigių tose užsienio valstybėse normų vidurkis.</w:t>
                      </w:r>
                    </w:p>
                    <w:p>
                      <w:pPr>
                        <w:ind w:firstLine="709"/>
                        <w:jc w:val="both"/>
                        <w:rPr>
                          <w:color w:val="000000"/>
                        </w:rPr>
                      </w:pPr>
                      <w:r>
                        <w:t>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(tarp jų ir iš Lietuvos) į rezidavimo vietą, už dieną, kurią pervažiuojama reziduojamos valstybės siena, 50 procentų dienpinigių mokama pagal šių Taisyklių 9.1 punkte nurodytas finansų ministro patvirtintas dienpinigių</w:t>
                      </w:r>
                      <w:r>
                        <w:rPr>
                          <w:b/>
                        </w:rPr>
                        <w:t xml:space="preserve"> </w:t>
                      </w:r>
                      <w:r>
                        <w:t xml:space="preserve">užsienio valstybėse normas;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3 p."/>
                    <w:tag w:val="part_0a1a1804732b4db79d6018a1512ef91d"/>
                    <w:lock w:val="sdtLocked"/>
                    <w:richText/>
                  </w:sdtPr>
                  <w:sdtContent>
                    <w:p>
                      <w:pPr>
                        <w:ind w:firstLine="709"/>
                        <w:jc w:val="both"/>
                        <w:rPr>
                          <w:color w:val="000000"/>
                        </w:rPr>
                      </w:pPr>
                      <w:sdt>
                        <w:sdtPr>
                          <w:alias w:val="Numeris"/>
                          <w:tag w:val="nr_0a1a1804732b4db79d6018a1512ef91d"/>
                          <w:lock w:val="sdtLocked"/>
                          <w:richText/>
                        </w:sdtPr>
                        <w:sdtContent>
                          <w:r>
                            <w:t>9.3</w:t>
                          </w:r>
                        </w:sdtContent>
                      </w:sdt>
                      <w:r>
                        <w:t xml:space="preserve">. 50 procentų finansų ministro patvirtintų dienpinigių užsienio valstybėje normos, o jeigu darbuotojas apsilanko keliose užsienio valstybėse, – 100 procentų finansų ministro patvirtintų dienpinigių tose užsienio valstybėse normų vidurkio, kai tarnybinė komandiruotė trunka vieną dieną;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4 p."/>
                    <w:tag w:val="part_fa2842af851b42918156fbf024384d6d"/>
                    <w:lock w:val="sdtLocked"/>
                    <w:richText/>
                  </w:sdtPr>
                  <w:sdtContent>
                    <w:p>
                      <w:pPr>
                        <w:ind w:firstLine="709"/>
                        <w:jc w:val="both"/>
                        <w:rPr>
                          <w:color w:val="000000"/>
                        </w:rPr>
                      </w:pPr>
                      <w:sdt>
                        <w:sdtPr>
                          <w:alias w:val="Numeris"/>
                          <w:tag w:val="nr_fa2842af851b42918156fbf024384d6d"/>
                          <w:lock w:val="sdtLocked"/>
                          <w:richText/>
                        </w:sdtPr>
                        <w:sdtContent>
                          <w:r>
                            <w:t>9.4</w:t>
                          </w:r>
                        </w:sdtContent>
                      </w:sdt>
                      <w:r>
                        <w:t xml:space="preserve">. darbuotojui, vykstančiam į tarnybinę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šių Taisyklių 16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7555bdc843d74f6aa92ab2802c22b6a5"/>
                    <w:lock w:val="sdtLocked"/>
                    <w:richText/>
                  </w:sdtPr>
                  <w:sdtContent>
                    <w:p>
                      <w:pPr>
                        <w:ind w:firstLine="709"/>
                        <w:jc w:val="both"/>
                      </w:pPr>
                      <w:sdt>
                        <w:sdtPr>
                          <w:alias w:val="Numeris"/>
                          <w:tag w:val="nr_7555bdc843d74f6aa92ab2802c22b6a5"/>
                          <w:lock w:val="sdtLocked"/>
                          <w:richText/>
                        </w:sdtPr>
                        <w:sdtContent>
                          <w:r>
                            <w:t>11.2</w:t>
                          </w:r>
                        </w:sdtContent>
                      </w:sdt>
                      <w:r>
                        <w:t>. pagal faktines išlaidas:</w:t>
                      </w:r>
                    </w:p>
                    <w:sdt>
                      <w:sdtPr>
                        <w:alias w:val="11.2.1 p."/>
                        <w:tag w:val="part_85c2dae0705d4f62877ee18473912575"/>
                        <w:lock w:val="sdtLocked"/>
                        <w:richText/>
                      </w:sdtPr>
                      <w:sdtContent>
                        <w:p>
                          <w:pPr>
                            <w:ind w:firstLine="709"/>
                            <w:jc w:val="both"/>
                          </w:pPr>
                          <w:sdt>
                            <w:sdtPr>
                              <w:alias w:val="Numeris"/>
                              <w:tag w:val="nr_85c2dae0705d4f62877ee18473912575"/>
                              <w:lock w:val="sdtLocked"/>
                              <w:richText/>
                            </w:sdtPr>
                            <w:sdtContent>
                              <w:r>
                                <w:t>11.2.1</w:t>
                              </w:r>
                            </w:sdtContent>
                          </w:sdt>
                          <w:r>
                            <w:t>. oficialių valstybinių delegacijų nariams ir jų šeimų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w:t>
                          </w:r>
                          <w:r>
                            <w:rPr>
                              <w:b/>
                            </w:rPr>
                            <w:t xml:space="preserve"> </w:t>
                          </w:r>
                          <w:r>
                            <w:t>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d0bc4c5491c242348b154b5c64924698"/>
                        <w:lock w:val="sdtLocked"/>
                        <w:richText/>
                      </w:sdtPr>
                      <w:sdtContent>
                        <w:p>
                          <w:pPr>
                            <w:ind w:firstLine="709"/>
                            <w:jc w:val="both"/>
                            <w:rPr>
                              <w:color w:val="000000"/>
                            </w:rPr>
                          </w:pPr>
                          <w:sdt>
                            <w:sdtPr>
                              <w:alias w:val="Numeris"/>
                              <w:tag w:val="nr_d0bc4c5491c242348b154b5c64924698"/>
                              <w:lock w:val="sdtLocked"/>
                              <w:richText/>
                            </w:sdtPr>
                            <w:sdtContent>
                              <w:r>
                                <w:t>11.2.2</w:t>
                              </w:r>
                            </w:sdtContent>
                          </w:sdt>
                          <w:r>
                            <w:t xml:space="preserve">. kai gyvenamąjį plotą užsako renginio organizatoriai;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1.3 p."/>
                    <w:tag w:val="part_2d227f3f0f0f45bf9584edc34ad11107"/>
                    <w:lock w:val="sdtLocked"/>
                    <w:richText/>
                  </w:sdtPr>
                  <w:sdtContent>
                    <w:p>
                      <w:pPr>
                        <w:ind w:firstLine="709"/>
                        <w:jc w:val="both"/>
                        <w:rPr>
                          <w:color w:val="000000"/>
                        </w:rPr>
                      </w:pPr>
                      <w:sdt>
                        <w:sdtPr>
                          <w:alias w:val="Numeris"/>
                          <w:tag w:val="nr_2d227f3f0f0f45bf9584edc34ad11107"/>
                          <w:lock w:val="sdtLocked"/>
                          <w:richText/>
                        </w:sdtPr>
                        <w:sdtContent>
                          <w:r>
                            <w:rPr>
                              <w:color w:val="000000"/>
                            </w:rPr>
                            <w:t>11.3</w:t>
                          </w:r>
                        </w:sdtContent>
                      </w:sdt>
                      <w:r>
                        <w:rPr>
                          <w:color w:val="000000"/>
                        </w:rPr>
                        <w:t xml:space="preserve">. darbuotojui (išskyrus šių Taisyklių 11.2 punkte nurodytus </w:t>
                      </w:r>
                      <w:r>
                        <w:t>atvejus</w:t>
                      </w:r>
                      <w:r>
                        <w:rPr>
                          <w:color w:val="000000"/>
                        </w:rPr>
                        <w:t xml:space="preserve">), vykstančiam į tarnybinę komandiruotę į užsienio valstybę </w:t>
                      </w:r>
                      <w:r>
                        <w:t>(valstybes)</w:t>
                      </w:r>
                      <w:r>
                        <w:rPr>
                          <w:color w:val="000000"/>
                        </w:rPr>
                        <w:t>,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2 p."/>
                <w:tag w:val="part_7bc6d2515a014635b66ccf5473be59d1"/>
                <w:lock w:val="sdtLocked"/>
                <w:richText/>
              </w:sdtPr>
              <w:sdtContent>
                <w:p>
                  <w:pPr>
                    <w:ind w:firstLine="709"/>
                    <w:jc w:val="both"/>
                    <w:rPr>
                      <w:color w:val="000000"/>
                    </w:rPr>
                  </w:pPr>
                  <w:sdt>
                    <w:sdtPr>
                      <w:alias w:val="Numeris"/>
                      <w:tag w:val="nr_7bc6d2515a014635b66ccf5473be59d1"/>
                      <w:lock w:val="sdtLocked"/>
                      <w:richText/>
                    </w:sdtPr>
                    <w:sdtContent>
                      <w:r>
                        <w:rPr>
                          <w:color w:val="000000"/>
                        </w:rPr>
                        <w:t>12</w:t>
                      </w:r>
                    </w:sdtContent>
                  </w:sdt>
                  <w:r>
                    <w:rPr>
                      <w:color w:val="000000"/>
                    </w:rPr>
                    <w:t>. Komandiruotės išlaidos, nurodytos šių Taisyklių 7.2-7.11 punktuose, apmokamos tik tais atvejais, kai pateikiami jas įrodantys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3 p."/>
                <w:tag w:val="part_3591d3097ddc47c29f4d238bcfcaa15c"/>
                <w:lock w:val="sdtLocked"/>
                <w:richText/>
              </w:sdtPr>
              <w:sdtContent>
                <w:p>
                  <w:pPr>
                    <w:ind w:firstLine="709"/>
                    <w:jc w:val="both"/>
                    <w:rPr>
                      <w:color w:val="000000"/>
                    </w:rPr>
                  </w:pPr>
                  <w:sdt>
                    <w:sdtPr>
                      <w:alias w:val="Numeris"/>
                      <w:tag w:val="nr_3591d3097ddc47c29f4d238bcfcaa15c"/>
                      <w:lock w:val="sdtLocked"/>
                      <w:richText/>
                    </w:sdtPr>
                    <w:sdtContent>
                      <w:r>
                        <w:rPr>
                          <w:color w:val="000000"/>
                        </w:rPr>
                        <w:t>13</w:t>
                      </w:r>
                    </w:sdtContent>
                  </w:sdt>
                  <w:r>
                    <w:rPr>
                      <w:color w:val="000000"/>
                    </w:rPr>
                    <w:t xml:space="preserve">. Siunčiamam į tarnybinę komandiruotę į užsienio valstybę </w:t>
                  </w:r>
                  <w:r>
                    <w:t xml:space="preserve">(valstybes) </w:t>
                  </w:r>
                  <w:r>
                    <w:rPr>
                      <w:color w:val="000000"/>
                    </w:rPr>
                    <w:t>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4 p."/>
                <w:tag w:val="part_7059b87837aa4f39b7f2e03a6ee48ee7"/>
                <w:lock w:val="sdtLocked"/>
                <w:richText/>
              </w:sdtPr>
              <w:sdtContent>
                <w:p>
                  <w:pPr>
                    <w:ind w:firstLine="709"/>
                    <w:jc w:val="both"/>
                    <w:rPr>
                      <w:color w:val="000000"/>
                    </w:rPr>
                  </w:pPr>
                  <w:sdt>
                    <w:sdtPr>
                      <w:alias w:val="Numeris"/>
                      <w:tag w:val="nr_7059b87837aa4f39b7f2e03a6ee48ee7"/>
                      <w:lock w:val="sdtLocked"/>
                      <w:richText/>
                    </w:sdtPr>
                    <w:sdtContent>
                      <w:r>
                        <w:rPr>
                          <w:color w:val="000000"/>
                        </w:rPr>
                        <w:t>14</w:t>
                      </w:r>
                    </w:sdtContent>
                  </w:sdt>
                  <w:r>
                    <w:rPr>
                      <w:color w:val="000000"/>
                    </w:rPr>
                    <w:t xml:space="preserve">. Jeigu avansas darbuotojui nebuvo išmokėtas, tarnybinės komandiruotės išlaidos atlyginamos (pateikus šias išlaidas įrodančius dokumentus) tik litais, o išlaidos užsienio valiuta apskaičiuojamos pagal išvykimo į tarnybinę komandiruotę į užsienio valstybę </w:t>
                  </w:r>
                  <w:r>
                    <w:t xml:space="preserve">(valstybes) </w:t>
                  </w:r>
                  <w:r>
                    <w:rPr>
                      <w:color w:val="000000"/>
                    </w:rPr>
                    <w:t>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5 p."/>
                <w:tag w:val="part_02184975ff5148d4a106e398dfcdb201"/>
                <w:lock w:val="sdtLocked"/>
                <w:richText/>
              </w:sdtPr>
              <w:sdtContent>
                <w:p>
                  <w:pPr>
                    <w:ind w:firstLine="709"/>
                    <w:jc w:val="both"/>
                    <w:rPr>
                      <w:color w:val="000000"/>
                    </w:rPr>
                  </w:pPr>
                  <w:sdt>
                    <w:sdtPr>
                      <w:alias w:val="Numeris"/>
                      <w:tag w:val="nr_02184975ff5148d4a106e398dfcdb201"/>
                      <w:lock w:val="sdtLocked"/>
                      <w:richText/>
                    </w:sdtPr>
                    <w:sdtContent>
                      <w:r>
                        <w:rPr>
                          <w:color w:val="000000"/>
                        </w:rPr>
                        <w:t>15</w:t>
                      </w:r>
                    </w:sdtContent>
                  </w:sdt>
                  <w:r>
                    <w:rPr>
                      <w:color w:val="000000"/>
                    </w:rPr>
                    <w:t xml:space="preserve">. Jeigu avansas į tarnybinę komandiruotę į užsienio valstybę </w:t>
                  </w:r>
                  <w:r>
                    <w:t xml:space="preserve">(valstybes) </w:t>
                  </w:r>
                  <w:r>
                    <w:rPr>
                      <w:color w:val="000000"/>
                    </w:rPr>
                    <w:t>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6 p."/>
                <w:tag w:val="part_494f4703926c4db8b2880c8005d9d4cb"/>
                <w:lock w:val="sdtLocked"/>
                <w:richText/>
              </w:sdtPr>
              <w:sdtContent>
                <w:p>
                  <w:pPr>
                    <w:ind w:firstLine="709"/>
                    <w:jc w:val="both"/>
                  </w:pPr>
                  <w:sdt>
                    <w:sdtPr>
                      <w:alias w:val="Numeris"/>
                      <w:tag w:val="nr_494f4703926c4db8b2880c8005d9d4cb"/>
                      <w:lock w:val="sdtLocked"/>
                      <w:richText/>
                    </w:sdtPr>
                    <w:sdtContent>
                      <w:r>
                        <w:rPr>
                          <w:color w:val="000000"/>
                        </w:rPr>
                        <w:t>16</w:t>
                      </w:r>
                    </w:sdtContent>
                  </w:sdt>
                  <w:r>
                    <w:rPr>
                      <w:color w:val="000000"/>
                    </w:rPr>
                    <w:t xml:space="preserve">. Siunčiant darbuotoją į tarnybinę komandiruotę į užsienio valstybę </w:t>
                  </w:r>
                  <w:r>
                    <w:t xml:space="preserve">(valstybes) </w:t>
                  </w:r>
                  <w:r>
                    <w:rPr>
                      <w:color w:val="000000"/>
                    </w:rPr>
                    <w:t>ekvivalentinių nevaliutinių pasikeitimų sąlygomis, viena valstybė moka kitos valstybės specialistų išlaikymo išlaidas vidaus valiuta pagal susitarimą.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d6896e6ac08c4befbe26c9f1ecbebeea"/>
                    <w:lock w:val="sdtLocked"/>
                    <w:richText/>
                  </w:sdtPr>
                  <w:sdtContent>
                    <w:p>
                      <w:pPr>
                        <w:ind w:firstLine="709"/>
                        <w:jc w:val="both"/>
                        <w:rPr>
                          <w:color w:val="000000"/>
                        </w:rPr>
                      </w:pPr>
                      <w:sdt>
                        <w:sdtPr>
                          <w:alias w:val="Numeris"/>
                          <w:tag w:val="nr_d6896e6ac08c4befbe26c9f1ecbebeea"/>
                          <w:lock w:val="sdtLocked"/>
                          <w:richText/>
                        </w:sdtPr>
                        <w:sdtContent>
                          <w:r>
                            <w:t>17.1</w:t>
                          </w:r>
                        </w:sdtContent>
                      </w:sdt>
                      <w:r>
                        <w:t xml:space="preserve">. dienpinigiai – 15 procentų patvirtinto bazinės socialinės išmokos dydžio, jeigu komandiruotė trunka ilgiau nei vieną darbo dieną, už įsakyme ar potvarkyje nurodytą komandiruotės laiką;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9af75f1e15d546ccb629e3af29ca1bcd"/>
                    <w:lock w:val="sdtLocked"/>
                    <w:richText/>
                  </w:sdtPr>
                  <w:sdtContent>
                    <w:p>
                      <w:pPr>
                        <w:ind w:firstLine="709"/>
                        <w:jc w:val="both"/>
                        <w:rPr>
                          <w:color w:val="000000"/>
                        </w:rPr>
                      </w:pPr>
                      <w:sdt>
                        <w:sdtPr>
                          <w:alias w:val="Numeris"/>
                          <w:tag w:val="nr_9af75f1e15d546ccb629e3af29ca1bcd"/>
                          <w:lock w:val="sdtLocked"/>
                          <w:richText/>
                        </w:sdtPr>
                        <w:sdtContent>
                          <w:r>
                            <w:rPr>
                              <w:color w:val="000000"/>
                            </w:rPr>
                            <w:t>17.3</w:t>
                          </w:r>
                        </w:sdtContent>
                      </w:sdt>
                      <w:r>
                        <w:rPr>
                          <w:color w:val="000000"/>
                        </w:rPr>
                        <w:t xml:space="preserve">. kelionės į komandiruotės vietą ir grįžimo iš jos į nuolatinę darbo </w:t>
                      </w:r>
                      <w:r>
                        <w:t>vietovę (vietoves)</w:t>
                      </w:r>
                      <w:r>
                        <w:rPr>
                          <w:color w:val="000000"/>
                        </w:rPr>
                        <w:t xml:space="preserve"> visų rūšių transporto priemonėmis, išskyrus lengvuosius automobilius taksi, transporto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
                  <w:sdtPr>
                    <w:alias w:val="17.7 p."/>
                    <w:tag w:val="part_c247fd06a027460bb70757675a2f06cd"/>
                    <w:lock w:val="sdtLocked"/>
                    <w:richText/>
                  </w:sdtPr>
                  <w:sdtContent>
                    <w:p>
                      <w:pPr>
                        <w:ind w:firstLine="709"/>
                        <w:jc w:val="both"/>
                        <w:rPr>
                          <w:color w:val="000000"/>
                        </w:rPr>
                      </w:pPr>
                      <w:sdt>
                        <w:sdtPr>
                          <w:alias w:val="Numeris"/>
                          <w:tag w:val="nr_c247fd06a027460bb70757675a2f06cd"/>
                          <w:lock w:val="sdtLocked"/>
                          <w:richText/>
                        </w:sdtPr>
                        <w:sdtContent>
                          <w:r>
                            <w:t>17.7</w:t>
                          </w:r>
                        </w:sdtContent>
                      </w:sdt>
                      <w:r>
                        <w:t xml:space="preserve">. vietinės rinkliavos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Content>
            </w:sdt>
            <w:sdt>
              <w:sdtPr>
                <w:alias w:val="18 p."/>
                <w:tag w:val="part_731445afe6864bc2a325325147a7e318"/>
                <w:lock w:val="sdtLocked"/>
                <w:richText/>
              </w:sdtPr>
              <w:sdtContent>
                <w:p>
                  <w:pPr>
                    <w:ind w:firstLine="709"/>
                    <w:jc w:val="both"/>
                    <w:rPr>
                      <w:color w:val="000000"/>
                    </w:rPr>
                  </w:pPr>
                  <w:sdt>
                    <w:sdtPr>
                      <w:alias w:val="Numeris"/>
                      <w:tag w:val="nr_731445afe6864bc2a325325147a7e318"/>
                      <w:lock w:val="sdtLocked"/>
                      <w:richText/>
                    </w:sdtPr>
                    <w:sdtContent>
                      <w:r>
                        <w:t>18</w:t>
                      </w:r>
                    </w:sdtContent>
                  </w:sdt>
                  <w:r>
                    <w:t>. Visos šių Taisyklių 17.2–17.7 punktuose</w:t>
                  </w:r>
                  <w:r>
                    <w:rPr>
                      <w:b/>
                    </w:rPr>
                    <w:t xml:space="preserve"> </w:t>
                  </w:r>
                  <w:r>
                    <w:t xml:space="preserve">nurodytos komandiruotės išlaidos atlyginamos tik tais atvejais, kai pateikiami jas įrodantys dokumentai.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17961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1185A622C9F"/>
  <Relationship Id="rId18" Type="http://schemas.openxmlformats.org/officeDocument/2006/relationships/hyperlink" TargetMode="External" Target="https://www.e-tar.lt/portal/lt/legalAct/TAR.D3ED3792F52B"/>
  <Relationship Id="rId19" Type="http://schemas.openxmlformats.org/officeDocument/2006/relationships/hyperlink" TargetMode="External" Target="https://www.e-tar.lt/portal/lt/legalAct/TAR.5603BD9D8D74"/>
  <Relationship Id="rId2" Type="http://schemas.openxmlformats.org/officeDocument/2006/relationships/header" Target="header2.xml"/>
  <Relationship Id="rId20" Type="http://schemas.openxmlformats.org/officeDocument/2006/relationships/hyperlink" TargetMode="External" Target="https://www.e-tar.lt/portal/lt/legalAct/TAR.FDA590A67D72"/>
  <Relationship Id="rId21" Type="http://schemas.openxmlformats.org/officeDocument/2006/relationships/hyperlink" TargetMode="External" Target="https://www.e-tar.lt/portal/lt/legalAct/TAR.D0CD0966D67F"/>
  <Relationship Id="rId22" Type="http://schemas.openxmlformats.org/officeDocument/2006/relationships/hyperlink" TargetMode="External" Target="https://www.e-tar.lt/portal/lt/legalAct/TAR.CF599A1A6DD5"/>
  <Relationship Id="rId23" Type="http://schemas.openxmlformats.org/officeDocument/2006/relationships/hyperlink" TargetMode="External" Target="https://www.e-tar.lt/portal/lt/legalAct/TAR.3EB53577EFCA"/>
  <Relationship Id="rId24" Type="http://schemas.openxmlformats.org/officeDocument/2006/relationships/hyperlink" TargetMode="External" Target="https://www.e-tar.lt/portal/lt/legalAct/TAR.C40DA2F5FDE9"/>
  <Relationship Id="rId25" Type="http://schemas.openxmlformats.org/officeDocument/2006/relationships/hyperlink" TargetMode="External" Target="https://www.e-tar.lt/portal/lt/legalAct/TAR.3081296EB949"/>
  <Relationship Id="rId26" Type="http://schemas.openxmlformats.org/officeDocument/2006/relationships/hyperlink" TargetMode="External" Target="https://www.e-tar.lt/portal/lt/legalAct/TAR.A8300A13ABE0"/>
  <Relationship Id="rId27" Type="http://schemas.openxmlformats.org/officeDocument/2006/relationships/hyperlink" TargetMode="External" Target="https://www.e-tar.lt/portal/lt/legalAct/TAR.F01DB847558F"/>
  <Relationship Id="rId28" Type="http://schemas.openxmlformats.org/officeDocument/2006/relationships/hyperlink" TargetMode="External" Target="https://www.e-tar.lt/portal/lt/legalAct/TAR.6BF63DC61220"/>
  <Relationship Id="rId29" Type="http://schemas.openxmlformats.org/officeDocument/2006/relationships/hyperlink" TargetMode="External" Target="https://www.e-tar.lt/portal/lt/legalAct/TAR.97A66B31C2C1"/>
  <Relationship Id="rId3" Type="http://schemas.openxmlformats.org/officeDocument/2006/relationships/footer" Target="footer1.xml"/>
  <Relationship Id="rId30" Type="http://schemas.openxmlformats.org/officeDocument/2006/relationships/hyperlink" TargetMode="External" Target="https://www.e-tar.lt/portal/lt/legalAct/TAR.9315D53BCD5C"/>
  <Relationship Id="rId31" Type="http://schemas.openxmlformats.org/officeDocument/2006/relationships/hyperlink" TargetMode="External" Target="https://www.e-tar.lt/portal/lt/legalAct/TAR.82A1D6FFF8D1"/>
  <Relationship Id="rId32" Type="http://schemas.openxmlformats.org/officeDocument/2006/relationships/hyperlink" TargetMode="External" Target="https://www.e-tar.lt/portal/lt/legalAct/TAR.7D0D8B2F8244"/>
  <Relationship Id="rId33" Type="http://schemas.openxmlformats.org/officeDocument/2006/relationships/hyperlink" TargetMode="External" Target="https://www.e-tar.lt/portal/lt/legalAct/TAR.F57A61F2AF1C"/>
  <Relationship Id="rId34" Type="http://schemas.openxmlformats.org/officeDocument/2006/relationships/hyperlink" TargetMode="External" Target="https://www.e-tar.lt/portal/lt/legalAct/TAR.40AD2AEEBDBB"/>
  <Relationship Id="rId35" Type="http://schemas.openxmlformats.org/officeDocument/2006/relationships/hyperlink" TargetMode="External" Target="https://www.e-tar.lt/portal/lt/legalAct/TAR.1D57AF8D0BD7"/>
  <Relationship Id="rId36" Type="http://schemas.openxmlformats.org/officeDocument/2006/relationships/hyperlink" TargetMode="External" Target="https://www.e-tar.lt/portal/lt/legalAct/TAR.16E88FC7CDEB"/>
  <Relationship Id="rId37" Type="http://schemas.openxmlformats.org/officeDocument/2006/relationships/hyperlink" TargetMode="External" Target="https://www.e-tar.lt/portal/lt/legalAct/TAR.26610A95FF9A"/>
  <Relationship Id="rId38" Type="http://schemas.openxmlformats.org/officeDocument/2006/relationships/hyperlink" TargetMode="External" Target="https://www.e-tar.lt/portal/lt/legalAct/TAR.348B79C9F17E"/>
  <Relationship Id="rId39" Type="http://schemas.openxmlformats.org/officeDocument/2006/relationships/hyperlink" TargetMode="External" Target="https://www.e-tar.lt/portal/lt/legalAct/TAR.9029AD50ADB6"/>
  <Relationship Id="rId4" Type="http://schemas.openxmlformats.org/officeDocument/2006/relationships/footer" Target="footer2.xml"/>
  <Relationship Id="rId40" Type="http://schemas.openxmlformats.org/officeDocument/2006/relationships/hyperlink" TargetMode="External" Target="https://www.e-tar.lt/portal/lt/legalAct/TAR.FEEFAFE76BC7"/>
  <Relationship Id="rId41" Type="http://schemas.openxmlformats.org/officeDocument/2006/relationships/hyperlink" TargetMode="External" Target="https://www.e-tar.lt/portal/lt/legalAct/TAR.412D8A47D01B"/>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60f8ce76d24544fab925af131f152f47">
    <Part Type="preambule" DocPartId="87cbc8b17afa48c7bdb50e58e558d664" PartId="7240a436c52445d98e79673089dea130"/>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d9610eb8db574f3b8c555c6083592356"/>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f4cfc59ab42a4cd6bd20d30e75bee773"/>
        <Part Type="punktas" Nr="2.2" Abbr="2.2 p." DocPartId="7c25b4b7aa4b4b3ebedf6e652bb9db08" PartId="e28cb0e071c045eea1b1d3b0d151e959"/>
        <Part Type="punktas" Nr="2.3" Abbr="2.3 p." DocPartId="f73416afde874cd5b33133929f670cfd" PartId="e56bea4153554ba2b82d7ddf743765ba"/>
      </Part>
      <Part Type="punktas" Nr="3" Abbr="3 p." DocPartId="1738c30555e848498df97756d1448ff6" PartId="39f97f2eee664247a5d66c621356d6aa"/>
      <Part Type="punktas" Nr="4" Abbr="4 p." DocPartId="e1ba331bc6f64a1e99c46013088ca359" PartId="9258239aa5c24fe2a9b0c23570eb1638"/>
      <Part Type="punktas" Nr="5" Abbr="5 p." DocPartId="3c4a1537b04b4414bd98711a382c1c59" PartId="0288b4436aa4488ca2f3898792d1cf49"/>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c275af20cb7c4d52964994889d6cfb44">
        <Part Type="punktas" Nr="7.1" Abbr="7.1 p." DocPartId="440d9664cbc04a9081cd35717f6917ce" PartId="4383fdc5190542a085b1fbf420ac3dc7"/>
        <Part Type="punktas" Nr="7.2" Abbr="7.2 p." DocPartId="89c233bfadca472ca892c0f1a3cdd038" PartId="e83236c471a04b3f8dd0d1e253e54e37"/>
        <Part Type="punktas" Nr="7.3" Abbr="7.3 p." DocPartId="d708eb7b124a49a59c8bc29a6a26a113" PartId="42f533fe11e1471c8e9e3176044bff15">
          <Part Type="punktas" Nr="7.3.1" Abbr="7.3.1 p." DocPartId="3324754184bc4b49bc0f1975f8f08d76" PartId="382e5358fce3440695f725968d0d2344"/>
          <Part Type="punktas" Nr="7.3.2" Abbr="7.3.2 p." DocPartId="1f84d32873eb4b6c94330252a152c8f6" PartId="9ecff84b0ecd445691af2b1013f5f1e1"/>
          <Part Type="punktas" Nr="7.3.3" Abbr="7.3.3 p." DocPartId="9482edcfbb944eabb04ae5e67b7e4119" PartId="08de04a58c174626a557172b131e0901"/>
        </Part>
        <Part Type="punktas" Nr="7.4" Abbr="7.4 p." DocPartId="14c8143f01964087a1abe79d6fb107db" PartId="96dd771a5aea43669483070f001028d7"/>
        <Part Type="punktas" Nr="7.5" Abbr="7.5 p." DocPartId="96d4ce4b575f4387859ebe556bd55364" PartId="044cc87040e1477698e7e5c1753b9e97"/>
        <Part Type="punktas" Nr="7.6" Abbr="7.6 p." DocPartId="9d3e7c4b923842958a2b5f0f9de03215" PartId="5cba4d422a79487389de08a5a94b374a"/>
        <Part Type="punktas" Nr="7.7" Abbr="7.7 p." DocPartId="97805094311a4994876422b57289511d" PartId="fcd16822fa2342c2a08f5554e509120a"/>
        <Part Type="punktas" Nr="7.8" Abbr="7.8 p." DocPartId="4be256c566504146b4b5a11f815c6a11" PartId="c7ed506e85bc40c185f67bcd4fdf1b82"/>
        <Part Type="punktas" Nr="7.9" Abbr="7.9 p." DocPartId="eecb1ec3ebf4408997a11681187f168f" PartId="95b3952722f140d2a2ec487f1accadc9"/>
        <Part Type="punktas" Nr="7.10" Abbr="7.10 p." DocPartId="9310946398d946fb84c6d71672dd69e2" PartId="300392f6ef514abca951f85fc88d67a0"/>
        <Part Type="punktas" Nr="7.11" Abbr="7.11 p." DocPartId="335791377018448f8025b63a61b78d88" PartId="9b038543803b438c8abd308cbd7826a6"/>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1609d7020414623a6bc8700cf439264"/>
        <Part Type="punktas" Nr="9.3" Abbr="9.3 p." DocPartId="500c739202cd423db7d5d1441cf1d5e0" PartId="0a1a1804732b4db79d6018a1512ef91d"/>
        <Part Type="punktas" Nr="9.4" Abbr="9.4 p." DocPartId="78a207e7dc344793b34c502dbcc8c152" PartId="fa2842af851b42918156fbf024384d6d"/>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7555bdc843d74f6aa92ab2802c22b6a5">
          <Part Type="punktas" Nr="11.2.1" Abbr="11.2.1 p." DocPartId="036fb51ff5d04c27a87575441100faca" PartId="85c2dae0705d4f62877ee18473912575"/>
          <Part Type="punktas" Nr="11.2.2" Abbr="11.2.2 p." DocPartId="9037d42ad42e4bc2bfae1e686d76d84c" PartId="d0bc4c5491c242348b154b5c64924698"/>
        </Part>
        <Part Type="punktas" Nr="11.3" Abbr="11.3 p." DocPartId="192ef4aaf949420f8bd817317784f479" PartId="2d227f3f0f0f45bf9584edc34ad11107"/>
      </Part>
      <Part Type="punktas" Nr="12" Abbr="12 p." DocPartId="1c7e99f3c9ef47f6b7ea07226914d2d9" PartId="7bc6d2515a014635b66ccf5473be59d1"/>
      <Part Type="punktas" Nr="13" Abbr="13 p." DocPartId="31165b638af74f77acd48f87af9040f9" PartId="3591d3097ddc47c29f4d238bcfcaa15c"/>
      <Part Type="punktas" Nr="14" Abbr="14 p." DocPartId="f9d1f6f64d3746839895ed006f9fc3e9" PartId="7059b87837aa4f39b7f2e03a6ee48ee7"/>
      <Part Type="punktas" Nr="15" Abbr="15 p." DocPartId="0be7a6c8dad04f229bfadb8f1a4ad4d7" PartId="02184975ff5148d4a106e398dfcdb201"/>
      <Part Type="punktas" Nr="16" Abbr="16 p." DocPartId="422f434c4a9a4c038785650c8352c593" PartId="494f4703926c4db8b2880c8005d9d4cb"/>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d6896e6ac08c4befbe26c9f1ecbebeea"/>
        <Part Type="punktas" Nr="17.2" Abbr="17.2 p." DocPartId="4b2675c375434648a66388fb1ca0221b" PartId="d2e74683f2c54fefa2dd0227e7fcbf81"/>
        <Part Type="punktas" Nr="17.3" Abbr="17.3 p." DocPartId="e09cbb7dfef3444ab5c09facc623a3fe" PartId="9af75f1e15d546ccb629e3af29ca1bcd"/>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Type="punktas" Nr="17.7" Abbr="17.7 p." Title="" DocPartId="bb394693bfb548b09c9f809475cc0d9f" PartId="c247fd06a027460bb70757675a2f06cd"/>
      </Part>
      <Part Type="punktas" Nr="18" Abbr="18 p." DocPartId="db9c4f2fbfcd453488df56c2b36361ac" PartId="731445afe6864bc2a325325147a7e318"/>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5530C349-BA5F-4EE8-A3FE-562949CA47F3}">
  <ds:schemaRefs>
    <ds:schemaRef ds:uri="http://lrs.lt/TAIS/DocParts"/>
  </ds:schemaRefs>
</ds:datastoreItem>
</file>

<file path=docProps/app.xml><?xml version="1.0" encoding="utf-8"?>
<Properties xmlns="http://schemas.openxmlformats.org/officeDocument/2006/extended-properties">
  <Template>Normal.dotm</Template>
  <TotalTime>19</TotalTime>
  <Pages>7</Pages>
  <Words>17552</Words>
  <Characters>10005</Characters>
  <Application>Microsoft Office Word</Application>
  <DocSecurity>0</DocSecurity>
  <Lines>83</Lines>
  <Paragraphs>55</Paragraphs>
  <ScaleCrop>false</ScaleCrop>
  <Company/>
  <LinksUpToDate>false</LinksUpToDate>
  <CharactersWithSpaces>27502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2015-01-12T13:16:00Z</dcterms:modified>
  <revision>9</revision>
</coreProperties>
</file>