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2019-02-07 iki 2022-03-30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ccbf21db694b417e86bc4fb99b697d59"/>
            <w:lock w:val="sdtLocked"/>
            <w:richText/>
          </w:sdtPr>
          <w:sdtContent>
            <w:p>
              <w:pPr>
                <w:ind w:firstLine="720"/>
                <w:jc w:val="both"/>
              </w:pPr>
              <w:r>
                <w:rPr>
                  <w:lang w:eastAsia="lt-LT"/>
                </w:rPr>
                <w:t>Vadovaudamasi Lietuvos Respublikos darbo kodekso 107 straipsnio 2 ir 3 dalimis, Lietuvos Respublikos valstybės tarnybos įstatymo 49 straipsnio 6 dalimi, Lietuvos Respublikos vietos savivaldos įstatymo 26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4 straipsnio 5 dalimi ir Lietuvos Respublikos teismų įstatymo 101 straipsnio 9 dalimi,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d66cb0f8693047f68cc0673ee8e1abf0"/>
                <w:lock w:val="sdtLocked"/>
                <w:richText/>
              </w:sdtPr>
              <w:sdtContent>
                <w:p>
                  <w:pPr>
                    <w:ind w:firstLine="720"/>
                    <w:jc w:val="both"/>
                    <w:rPr>
                      <w:lang w:eastAsia="lt-LT"/>
                    </w:rPr>
                  </w:pPr>
                  <w:sdt>
                    <w:sdtPr>
                      <w:alias w:val="Numeris"/>
                      <w:tag w:val="nr_d66cb0f8693047f68cc0673ee8e1abf0"/>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21bccd59de0d4ba7932500b2e64bf852"/>
                <w:lock w:val="sdtLocked"/>
                <w:richText/>
              </w:sdtPr>
              <w:sdtContent>
                <w:p>
                  <w:pPr>
                    <w:ind w:firstLine="720"/>
                    <w:jc w:val="both"/>
                    <w:rPr>
                      <w:lang w:eastAsia="lt-LT"/>
                    </w:rPr>
                  </w:pPr>
                  <w:sdt>
                    <w:sdtPr>
                      <w:alias w:val="Numeris"/>
                      <w:tag w:val="nr_21bccd59de0d4ba7932500b2e64bf852"/>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8e5f91006fe94e57853f2813cd30528e"/>
                <w:lock w:val="sdtLocked"/>
                <w:richText/>
              </w:sdtPr>
              <w:sdtContent>
                <w:p>
                  <w:pPr>
                    <w:ind w:firstLine="720"/>
                    <w:jc w:val="both"/>
                  </w:pPr>
                  <w:sdt>
                    <w:sdtPr>
                      <w:alias w:val="Numeris"/>
                      <w:tag w:val="nr_8e5f91006fe94e57853f2813cd30528e"/>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Komandiruočių išlaidų apmokėjimo biudžetinėse įstaigos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22e118c6a7d8424c8d8ac001f6b7b66a"/>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 xml:space="preserve">2018 m. balandžio 18 d. </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22e118c6a7d8424c8d8ac001f6b7b66a"/>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0eca8259bd804036a713bcad700b707e"/>
            <w:lock w:val="sdtLocked"/>
            <w:richText/>
          </w:sdtPr>
          <w:sdtContent>
            <w:p>
              <w:pPr>
                <w:ind w:firstLine="720"/>
                <w:jc w:val="both"/>
                <w:rPr>
                  <w:lang w:eastAsia="lt-LT"/>
                </w:rPr>
              </w:pPr>
              <w:sdt>
                <w:sdtPr>
                  <w:alias w:val="Numeris"/>
                  <w:tag w:val="nr_0eca8259bd804036a713bcad700b707e"/>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 Kolektyvinėje ar darbo sutartyje nustatyti dienpinigių dydžiai negali būti mažesni kaip 50 procentų Lietuvos Respublikos Vyriausybės patvirtintų maksimalių dienpinigių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1f6be9fd54c64d7cb696a4f2a5f2df48"/>
            <w:lock w:val="sdtLocked"/>
            <w:richText/>
          </w:sdtPr>
          <w:sdtContent>
            <w:p>
              <w:pPr>
                <w:ind w:firstLine="720"/>
                <w:jc w:val="both"/>
                <w:rPr>
                  <w:lang w:eastAsia="lt-LT"/>
                </w:rPr>
              </w:pPr>
              <w:sdt>
                <w:sdtPr>
                  <w:alias w:val="Numeris"/>
                  <w:tag w:val="nr_1f6be9fd54c64d7cb696a4f2a5f2df48"/>
                  <w:lock w:val="sdtLocked"/>
                  <w:richText/>
                </w:sdtPr>
                <w:sdtContent>
                  <w:r>
                    <w:rPr>
                      <w:lang w:eastAsia="lt-LT"/>
                    </w:rPr>
                    <w:t>3</w:t>
                  </w:r>
                </w:sdtContent>
              </w:sdt>
              <w:r>
                <w:rPr>
                  <w:lang w:eastAsia="lt-LT"/>
                </w:rPr>
                <w:t>. Vykstant į komandiruotę į užsienį už komandiruotės dieną, kurią išvykstama iš Lietuvos Respublikos, mokami dienpinigiai, apskaičiuoti pagal valstybei, į kurią vykstama, nustatytą dydį.</w:t>
              </w:r>
            </w:p>
            <w:p>
              <w:pPr>
                <w:ind w:firstLine="720"/>
                <w:jc w:val="both"/>
                <w:rPr>
                  <w:lang w:eastAsia="lt-LT"/>
                </w:rPr>
              </w:pPr>
              <w:r>
                <w:rPr>
                  <w:lang w:eastAsia="lt-LT"/>
                </w:rPr>
                <w:t>Grįžtant iš komandiruotės iš užsienio už komandiruotės dieną, kurią atvykstama į Lietuvos Respubliką, mokami dienpinigiai, apskaičiuoti pagal valstybei, iš kurios grįžtama, nustatytą dydį.</w:t>
              </w:r>
            </w:p>
            <w:p>
              <w:pPr>
                <w:ind w:firstLine="720"/>
                <w:jc w:val="both"/>
                <w:rPr>
                  <w:lang w:eastAsia="lt-LT"/>
                </w:rPr>
              </w:pPr>
              <w:r>
                <w:rPr>
                  <w:lang w:eastAsia="lt-LT"/>
                </w:rPr>
                <w:t>Vykstant į komandiruotę į kelias valstybes už faktiškai konkrečioje valstybėje išbūtas komandiruotės dienas nuo atvykimo į tą valstybę dienos mokami dienpinigiai, apskaičiuoti pagal tai valstybei nustatytą dydį.</w:t>
              </w:r>
            </w:p>
            <w:p>
              <w:pPr>
                <w:ind w:firstLine="720"/>
                <w:jc w:val="both"/>
                <w:rPr>
                  <w:lang w:eastAsia="lt-LT"/>
                </w:rPr>
              </w:pPr>
              <w:r>
                <w:rPr>
                  <w:lang w:eastAsia="lt-LT"/>
                </w:rPr>
                <w:t>Komandiruotės dieną vykstant į kelias valstybes už tą komandiruotės dieną mokamas dienpinigių, apskaičiuotų pagal toms valstybėms nustatytus dydžius,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0ea20c2df5bb414a9e86e503adb7ad3e"/>
            <w:lock w:val="sdtLocked"/>
            <w:richText/>
          </w:sdtPr>
          <w:sdtContent>
            <w:p>
              <w:pPr>
                <w:ind w:firstLine="720"/>
                <w:jc w:val="both"/>
                <w:rPr>
                  <w:lang w:eastAsia="lt-LT"/>
                </w:rPr>
              </w:pPr>
              <w:sdt>
                <w:sdtPr>
                  <w:alias w:val="Numeris"/>
                  <w:tag w:val="nr_0ea20c2df5bb414a9e86e503adb7ad3e"/>
                  <w:lock w:val="sdtLocked"/>
                  <w:richText/>
                </w:sdtPr>
                <w:sdtContent>
                  <w:r>
                    <w:rPr>
                      <w:lang w:eastAsia="lt-LT"/>
                    </w:rPr>
                    <w:t>5</w:t>
                  </w:r>
                </w:sdtContent>
              </w:sdt>
              <w:r>
                <w:rPr>
                  <w:lang w:eastAsia="lt-LT"/>
                </w:rPr>
                <w:t>. Darbuotojui, perkeltam į rezidavimo vietą – į kitas pareigas Lietuvos Respublikos diplomatinėje atstovybėje užsienio valstybėje, Lietuvos Respublikos atstovybėje prie tarptautinės organizacijos,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dc0e31ccb5bd494f981aaba3e60b19e0"/>
                <w:lock w:val="sdtLocked"/>
                <w:richText/>
              </w:sdtPr>
              <w:sdtContent>
                <w:p>
                  <w:pPr>
                    <w:ind w:firstLine="720"/>
                    <w:jc w:val="both"/>
                    <w:rPr>
                      <w:lang w:eastAsia="lt-LT"/>
                    </w:rPr>
                  </w:pPr>
                  <w:sdt>
                    <w:sdtPr>
                      <w:alias w:val="Numeris"/>
                      <w:tag w:val="nr_dc0e31ccb5bd494f981aaba3e60b19e0"/>
                      <w:lock w:val="sdtLocked"/>
                      <w:richText/>
                    </w:sdtPr>
                    <w:sdtContent>
                      <w:r>
                        <w:rPr>
                          <w:lang w:eastAsia="lt-LT"/>
                        </w:rPr>
                        <w:t>5.7</w:t>
                      </w:r>
                    </w:sdtContent>
                  </w:sdt>
                  <w:r>
                    <w:rPr>
                      <w:lang w:eastAsia="lt-LT"/>
                    </w:rPr>
                    <w:t xml:space="preserve">. komandiruotės dieną vykstant į kelias valstybes už tą komandiruotės dieną mokamas dienpinigių, apskaičiuotų pagal toms valstybėms nustatytus dydžius, vidurkis.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0e4e70b079494c59ae54cef53aa0e20f"/>
            <w:lock w:val="sdtLocked"/>
            <w:richText/>
          </w:sdtPr>
          <w:sdtContent>
            <w:p>
              <w:pPr>
                <w:ind w:firstLine="720"/>
                <w:jc w:val="both"/>
                <w:rPr>
                  <w:lang w:eastAsia="lt-LT"/>
                </w:rPr>
              </w:pPr>
              <w:sdt>
                <w:sdtPr>
                  <w:alias w:val="Numeris"/>
                  <w:tag w:val="nr_0e4e70b079494c59ae54cef53aa0e20f"/>
                  <w:lock w:val="sdtLocked"/>
                  <w:richText/>
                </w:sdtPr>
                <w:sdtContent>
                  <w:r>
                    <w:rPr>
                      <w:lang w:eastAsia="lt-LT"/>
                    </w:rPr>
                    <w:t>8</w:t>
                  </w:r>
                </w:sdtContent>
              </w:sdt>
              <w:r>
                <w:rPr>
                  <w:lang w:eastAsia="lt-LT"/>
                </w:rPr>
                <w:t xml:space="preserve">.  Darbuotojui, vykstančiam į komandiruotę, jeigu jam</w:t>
              </w:r>
              <w:r>
                <w:rPr>
                  <w:b/>
                  <w:lang w:eastAsia="lt-LT"/>
                </w:rPr>
                <w:t xml:space="preserve"> </w:t>
              </w:r>
              <w:r>
                <w:rPr>
                  <w:lang w:eastAsia="lt-LT"/>
                </w:rPr>
                <w:t>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f7c3cc23034344cfbca12ce1ca5fb6a3"/>
            <w:lock w:val="sdtLocked"/>
            <w:richText/>
          </w:sdtPr>
          <w:sdtContent>
            <w:p>
              <w:pPr>
                <w:ind w:firstLine="720"/>
                <w:jc w:val="both"/>
                <w:rPr>
                  <w:lang w:eastAsia="lt-LT"/>
                </w:rPr>
              </w:pPr>
              <w:sdt>
                <w:sdtPr>
                  <w:alias w:val="Numeris"/>
                  <w:tag w:val="nr_f7c3cc23034344cfbca12ce1ca5fb6a3"/>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3e5d0b1171514004861e0063ee8b1eef"/>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3e5d0b1171514004861e0063ee8b1eef"/>
              <w:lock w:val="sdtLocked"/>
              <w:richText/>
            </w:sdtPr>
            <w:sdtContent>
              <w:r>
                <w:rPr>
                  <w:b/>
                  <w:szCs w:val="24"/>
                  <w:lang w:eastAsia="lt-LT"/>
                </w:rPr>
                <w:t xml:space="preserve">KOMANDIRUOČIŲ IŠLAIDŲ APMOKĖJIMO BIUDŽETINĖSE ĮSTAIGOSE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0e4b5799045481cabdd8c702f812c60"/>
                <w:lock w:val="sdtLocked"/>
                <w:richText/>
              </w:sdtPr>
              <w:sdtContent>
                <w:p>
                  <w:pPr>
                    <w:ind w:firstLine="720"/>
                    <w:jc w:val="both"/>
                    <w:rPr>
                      <w:szCs w:val="24"/>
                      <w:lang w:eastAsia="lt-LT"/>
                    </w:rPr>
                  </w:pPr>
                  <w:sdt>
                    <w:sdtPr>
                      <w:alias w:val="Numeris"/>
                      <w:tag w:val="nr_f0e4b5799045481cabdd8c702f812c60"/>
                      <w:lock w:val="sdtLocked"/>
                      <w:richText/>
                    </w:sdtPr>
                    <w:sdtContent>
                      <w:r>
                        <w:rPr>
                          <w:lang w:eastAsia="lt-LT"/>
                        </w:rPr>
                        <w:t>1</w:t>
                      </w:r>
                    </w:sdtContent>
                  </w:sdt>
                  <w:r>
                    <w:rPr>
                      <w:lang w:eastAsia="lt-LT"/>
                    </w:rPr>
                    <w:t>. Komandiruočių išlaidų apmokėjimo biudžetinėse įstaigose taisyklės (toliau – Taisyklės) nustato komandiruočių išlaidų apmokėjimo biudžetinėse įstaigose (toliau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e084c8198d5a4816ad77569a37f632b0"/>
                    <w:lock w:val="sdtLocked"/>
                    <w:richText/>
                  </w:sdtPr>
                  <w:sdtContent>
                    <w:p>
                      <w:pPr>
                        <w:ind w:firstLine="720"/>
                        <w:jc w:val="both"/>
                        <w:rPr>
                          <w:lang w:eastAsia="lt-LT"/>
                        </w:rPr>
                      </w:pPr>
                      <w:sdt>
                        <w:sdtPr>
                          <w:alias w:val="Numeris"/>
                          <w:tag w:val="nr_e084c8198d5a4816ad77569a37f632b0"/>
                          <w:lock w:val="sdtLocked"/>
                          <w:richText/>
                        </w:sdtPr>
                        <w:sdtContent>
                          <w:r>
                            <w:rPr>
                              <w:lang w:eastAsia="lt-LT"/>
                            </w:rPr>
                            <w:t>2.1</w:t>
                          </w:r>
                        </w:sdtContent>
                      </w:sdt>
                      <w:r>
                        <w:rPr>
                          <w:lang w:eastAsia="lt-LT"/>
                        </w:rPr>
                        <w:t>. kaip ji apibrėžta Lietuvos Respublikos darbo kodekso 107 straipsnyje, arba</w:t>
                      </w:r>
                    </w:p>
                  </w:sdtContent>
                </w:sdt>
                <w:sdt>
                  <w:sdtPr>
                    <w:alias w:val="2.2 pp."/>
                    <w:tag w:val="part_9ed513d71d5a4a368a8da167f31e6e04"/>
                    <w:lock w:val="sdtLocked"/>
                    <w:richText/>
                  </w:sdtPr>
                  <w:sdtContent>
                    <w:p>
                      <w:pPr>
                        <w:ind w:firstLine="720"/>
                        <w:jc w:val="both"/>
                        <w:rPr>
                          <w:lang w:eastAsia="lt-LT"/>
                        </w:rPr>
                      </w:pPr>
                      <w:sdt>
                        <w:sdtPr>
                          <w:alias w:val="Numeris"/>
                          <w:tag w:val="nr_9ed513d71d5a4a368a8da167f31e6e04"/>
                          <w:lock w:val="sdtLocked"/>
                          <w:richText/>
                        </w:sdtPr>
                        <w:sdtContent>
                          <w:r>
                            <w:rPr>
                              <w:lang w:eastAsia="lt-LT"/>
                            </w:rPr>
                            <w:t>2.2</w:t>
                          </w:r>
                        </w:sdtContent>
                      </w:sdt>
                      <w:r>
                        <w:rPr>
                          <w:lang w:eastAsia="lt-LT"/>
                        </w:rPr>
                        <w:t>. valstybės politiko arba valstybės pareigūno, arba teisėjo, arba valstybės tarnautojo, arba darbuotojo, dirbančio pagal darbo sutartį (toliau – darbuotojas), išvykimas iš nuolatinės darbo vietos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2.3 pp."/>
                    <w:tag w:val="part_332077d9ebb34353bd3d1a9bdab9ae1a"/>
                    <w:lock w:val="sdtLocked"/>
                    <w:richText/>
                  </w:sdtPr>
                  <w:sdtContent>
                    <w:p>
                      <w:pPr>
                        <w:tabs>
                          <w:tab w:val="center" w:pos="4153"/>
                          <w:tab w:val="right" w:pos="8306"/>
                        </w:tabs>
                        <w:ind w:firstLine="720"/>
                        <w:jc w:val="both"/>
                        <w:rPr>
                          <w:szCs w:val="24"/>
                          <w:lang w:eastAsia="lt-LT"/>
                        </w:rPr>
                      </w:pPr>
                      <w:sdt>
                        <w:sdtPr>
                          <w:alias w:val="Numeris"/>
                          <w:tag w:val="nr_332077d9ebb34353bd3d1a9bdab9ae1a"/>
                          <w:lock w:val="sdtLocked"/>
                          <w:richText/>
                        </w:sdtPr>
                        <w:sdtContent>
                          <w:r>
                            <w:rPr>
                              <w:szCs w:val="24"/>
                              <w:lang w:eastAsia="lt-LT"/>
                            </w:rPr>
                            <w:t>2.3</w:t>
                          </w:r>
                        </w:sdtContent>
                      </w:sdt>
                      <w:r>
                        <w:rPr>
                          <w:szCs w:val="24"/>
                          <w:lang w:eastAsia="lt-LT"/>
                        </w:rPr>
                        <w:t>. kario ar darbuotojo išvykimas už Lietuvos Respublikos teritorijos ribų laikotarpiui iki 90 dienų (įskaitytinai), kai karys ar darbuotojas 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w:t>
                      </w:r>
                    </w:p>
                    <w:p>
                      <w:pPr>
                        <w:tabs>
                          <w:tab w:val="center" w:pos="4153"/>
                          <w:tab w:val="right" w:pos="8306"/>
                        </w:tabs>
                        <w:ind w:firstLine="720"/>
                        <w:jc w:val="both"/>
                        <w:rPr>
                          <w:szCs w:val="24"/>
                          <w:lang w:eastAsia="lt-LT"/>
                        </w:rPr>
                      </w:pPr>
                      <w:r>
                        <w:rPr>
                          <w:szCs w:val="24"/>
                          <w:lang w:eastAsia="lt-LT"/>
                        </w:rPr>
                        <w:t>Komandiruotės metu darbuotojui, kai jis siunčiamas vykdyti tarnybinių užduočių tarptautinės operacijos vietovėje, taikomas Lietuvos Respublikos krašto apsaugos sistemos organizavimo ir karo tarnybos įstatymo 61</w:t>
                      </w:r>
                      <w:r>
                        <w:rPr>
                          <w:szCs w:val="24"/>
                          <w:vertAlign w:val="superscript"/>
                          <w:lang w:eastAsia="lt-LT"/>
                        </w:rPr>
                        <w:t>2</w:t>
                      </w:r>
                      <w:r>
                        <w:rPr>
                          <w:szCs w:val="24"/>
                          <w:lang w:eastAsia="lt-LT"/>
                        </w:rPr>
                        <w:t xml:space="preserve">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47755c620a4947a7a9a057322fb33fb9"/>
                <w:lock w:val="sdtLocked"/>
                <w:richText/>
              </w:sdtPr>
              <w:sdtContent>
                <w:p>
                  <w:pPr>
                    <w:tabs>
                      <w:tab w:val="num" w:pos="993"/>
                      <w:tab w:val="num" w:pos="2880"/>
                    </w:tabs>
                    <w:ind w:firstLine="720"/>
                    <w:jc w:val="both"/>
                    <w:rPr>
                      <w:szCs w:val="24"/>
                      <w:lang w:eastAsia="lt-LT"/>
                    </w:rPr>
                  </w:pPr>
                  <w:sdt>
                    <w:sdtPr>
                      <w:alias w:val="Numeris"/>
                      <w:tag w:val="nr_47755c620a4947a7a9a057322fb33fb9"/>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fdd786d967e04ad6b22b385eafa37723"/>
                <w:lock w:val="sdtLocked"/>
                <w:richText/>
              </w:sdtPr>
              <w:sdtContent>
                <w:p>
                  <w:pPr>
                    <w:tabs>
                      <w:tab w:val="num" w:pos="993"/>
                      <w:tab w:val="num" w:pos="2880"/>
                    </w:tabs>
                    <w:ind w:firstLine="720"/>
                    <w:jc w:val="both"/>
                    <w:rPr>
                      <w:szCs w:val="24"/>
                      <w:lang w:eastAsia="lt-LT"/>
                    </w:rPr>
                  </w:pPr>
                  <w:sdt>
                    <w:sdtPr>
                      <w:alias w:val="Numeris"/>
                      <w:tag w:val="nr_fdd786d967e04ad6b22b385eafa37723"/>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6594d9ce99454dc9a93c5d3fe6b4e387"/>
                <w:lock w:val="sdtLocked"/>
                <w:richText/>
              </w:sdtPr>
              <w:sdtContent>
                <w:p>
                  <w:pPr>
                    <w:ind w:firstLine="720"/>
                    <w:jc w:val="both"/>
                    <w:rPr>
                      <w:szCs w:val="24"/>
                      <w:lang w:eastAsia="lt-LT"/>
                    </w:rPr>
                  </w:pPr>
                  <w:r>
                    <w:rPr>
                      <w:lang w:eastAsia="lt-LT"/>
                    </w:rPr>
                    <w:t>5. Siuntimas į komandiruotę įstaigoje turi būti įformintas taip, kad būtų aiškus sprendimą dėl siuntimo į komandiruotę priėmęs asmuo (įstaigos vadovas arba kitas jo įgaliotas asmuo), komandiruojamas asmuo (vardas, pavardė, pareigos), komandiruotės dienos, vieta (vietos), į kurią (kurias) komandiruojama, komandiruotės tikslas, su komandiruote susijusios išlaidos (toliau – komandiruotės išlaidos), kurias apmoka įstaiga, jeigu</w:t>
                  </w:r>
                  <w:r>
                    <w:rPr>
                      <w:color w:val="FF0000"/>
                      <w:lang w:eastAsia="lt-LT"/>
                    </w:rPr>
                    <w:t xml:space="preserve"> </w:t>
                  </w:r>
                  <w:r>
                    <w:rPr>
                      <w:lang w:eastAsia="lt-LT"/>
                    </w:rPr>
                    <w:t>bus</w:t>
                  </w:r>
                  <w:r>
                    <w:rPr>
                      <w:color w:val="FF0000"/>
                      <w:lang w:eastAsia="lt-LT"/>
                    </w:rPr>
                    <w:t xml:space="preserve"> </w:t>
                  </w:r>
                  <w:r>
                    <w:rPr>
                      <w:lang w:eastAsia="lt-LT"/>
                    </w:rPr>
                    <w:t>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e879796e240b4b09b936e1f06f12e678"/>
                    <w:lock w:val="sdtLocked"/>
                    <w:richText/>
                  </w:sdtPr>
                  <w:sdtContent>
                    <w:p>
                      <w:pPr>
                        <w:ind w:firstLine="720"/>
                        <w:jc w:val="both"/>
                        <w:rPr>
                          <w:szCs w:val="24"/>
                          <w:lang w:eastAsia="lt-LT"/>
                        </w:rPr>
                      </w:pPr>
                      <w:sdt>
                        <w:sdtPr>
                          <w:alias w:val="Numeris"/>
                          <w:tag w:val="nr_e879796e240b4b09b936e1f06f12e678"/>
                          <w:lock w:val="sdtLocked"/>
                          <w:richText/>
                        </w:sdtPr>
                        <w:sdtContent>
                          <w:r>
                            <w:rPr>
                              <w:lang w:eastAsia="lt-LT"/>
                            </w:rPr>
                            <w:t>7.2</w:t>
                          </w:r>
                        </w:sdtContent>
                      </w:sdt>
                      <w:r>
                        <w:rPr>
                          <w:lang w:eastAsia="lt-LT"/>
                        </w:rPr>
                        <w:t>. gyvenamojo ploto nuomos išlaidos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3 p."/>
                    <w:tag w:val="part_897fc65755394547b9ebf3ffa3652a00"/>
                    <w:lock w:val="sdtLocked"/>
                    <w:richText/>
                  </w:sdtPr>
                  <w:sdtContent>
                    <w:p>
                      <w:pPr>
                        <w:tabs>
                          <w:tab w:val="left" w:pos="1134"/>
                        </w:tabs>
                        <w:ind w:firstLine="720"/>
                        <w:jc w:val="both"/>
                        <w:rPr>
                          <w:szCs w:val="24"/>
                          <w:lang w:eastAsia="lt-LT"/>
                        </w:rPr>
                      </w:pPr>
                      <w:sdt>
                        <w:sdtPr>
                          <w:alias w:val="Numeris"/>
                          <w:tag w:val="nr_897fc65755394547b9ebf3ffa3652a00"/>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ef4fcd4e68384534a051fd46e81c7207"/>
                        <w:lock w:val="sdtLocked"/>
                        <w:richText/>
                      </w:sdtPr>
                      <w:sdtContent>
                        <w:p>
                          <w:pPr>
                            <w:ind w:firstLine="720"/>
                            <w:jc w:val="both"/>
                            <w:rPr>
                              <w:szCs w:val="24"/>
                              <w:lang w:eastAsia="lt-LT"/>
                            </w:rPr>
                          </w:pPr>
                          <w:sdt>
                            <w:sdtPr>
                              <w:alias w:val="Numeris"/>
                              <w:tag w:val="nr_ef4fcd4e68384534a051fd46e81c720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e55ef980f7384811b652b217ce938a15"/>
                        <w:lock w:val="sdtLocked"/>
                        <w:richText/>
                      </w:sdtPr>
                      <w:sdtContent>
                        <w:p>
                          <w:pPr>
                            <w:ind w:firstLine="720"/>
                            <w:jc w:val="both"/>
                            <w:rPr>
                              <w:szCs w:val="24"/>
                              <w:lang w:eastAsia="lt-LT"/>
                            </w:rPr>
                          </w:pPr>
                          <w:sdt>
                            <w:sdtPr>
                              <w:alias w:val="Numeris"/>
                              <w:tag w:val="nr_e55ef980f7384811b652b217ce938a15"/>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11f4867138dd448887a509e539b1676e"/>
                        <w:lock w:val="sdtLocked"/>
                        <w:richText/>
                      </w:sdtPr>
                      <w:sdtContent>
                        <w:p>
                          <w:pPr>
                            <w:ind w:firstLine="720"/>
                            <w:jc w:val="both"/>
                            <w:rPr>
                              <w:szCs w:val="24"/>
                              <w:lang w:eastAsia="lt-LT"/>
                            </w:rPr>
                          </w:pPr>
                          <w:sdt>
                            <w:sdtPr>
                              <w:alias w:val="Numeris"/>
                              <w:tag w:val="nr_11f4867138dd448887a509e539b1676e"/>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00423bd89826476d9fb989ea737d461e"/>
                    <w:lock w:val="sdtLocked"/>
                    <w:richText/>
                  </w:sdtPr>
                  <w:sdtContent>
                    <w:p>
                      <w:pPr>
                        <w:tabs>
                          <w:tab w:val="left" w:pos="1134"/>
                        </w:tabs>
                        <w:ind w:firstLine="720"/>
                        <w:jc w:val="both"/>
                        <w:rPr>
                          <w:szCs w:val="24"/>
                          <w:lang w:eastAsia="lt-LT"/>
                        </w:rPr>
                      </w:pPr>
                      <w:sdt>
                        <w:sdtPr>
                          <w:alias w:val="Numeris"/>
                          <w:tag w:val="nr_00423bd89826476d9fb989ea737d461e"/>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2abc174be845407a815d1cf662b22f48"/>
                    <w:lock w:val="sdtLocked"/>
                    <w:richText/>
                  </w:sdtPr>
                  <w:sdtContent>
                    <w:p>
                      <w:pPr>
                        <w:ind w:firstLine="720"/>
                        <w:jc w:val="both"/>
                        <w:rPr>
                          <w:szCs w:val="24"/>
                          <w:lang w:eastAsia="lt-LT"/>
                        </w:rPr>
                      </w:pPr>
                      <w:sdt>
                        <w:sdtPr>
                          <w:alias w:val="Numeris"/>
                          <w:tag w:val="nr_2abc174be845407a815d1cf662b22f4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b1632f42f6de4ddc83e0dde69f75180c"/>
                    <w:lock w:val="sdtLocked"/>
                    <w:richText/>
                  </w:sdtPr>
                  <w:sdtContent>
                    <w:p>
                      <w:pPr>
                        <w:tabs>
                          <w:tab w:val="left" w:pos="1134"/>
                        </w:tabs>
                        <w:ind w:firstLine="720"/>
                        <w:jc w:val="both"/>
                        <w:rPr>
                          <w:lang w:eastAsia="lt-LT"/>
                        </w:rPr>
                      </w:pPr>
                      <w:sdt>
                        <w:sdtPr>
                          <w:alias w:val="Numeris"/>
                          <w:tag w:val="nr_b1632f42f6de4ddc83e0dde69f75180c"/>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7bc446e9ac6f40fb97a14f7629a5c07b"/>
                        <w:lock w:val="sdtLocked"/>
                        <w:richText/>
                      </w:sdtPr>
                      <w:sdtContent>
                        <w:p>
                          <w:pPr>
                            <w:tabs>
                              <w:tab w:val="left" w:pos="1134"/>
                            </w:tabs>
                            <w:ind w:firstLine="720"/>
                            <w:jc w:val="both"/>
                            <w:rPr>
                              <w:lang w:eastAsia="lt-LT"/>
                            </w:rPr>
                          </w:pPr>
                          <w:sdt>
                            <w:sdtPr>
                              <w:alias w:val="Numeris"/>
                              <w:tag w:val="nr_7bc446e9ac6f40fb97a14f7629a5c07b"/>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066495e1a3b14a7aabd93e6abeb9a7f3"/>
                <w:lock w:val="sdtLocked"/>
                <w:richText/>
              </w:sdtPr>
              <w:sdtContent>
                <w:p>
                  <w:pPr>
                    <w:ind w:firstLine="720"/>
                    <w:jc w:val="both"/>
                    <w:rPr>
                      <w:lang w:eastAsia="lt-LT"/>
                    </w:rPr>
                  </w:pPr>
                  <w:sdt>
                    <w:sdtPr>
                      <w:alias w:val="Numeris"/>
                      <w:tag w:val="nr_066495e1a3b14a7aabd93e6abeb9a7f3"/>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Lietuvos Respublikos diplomatinių atstovybių, konsulinių įstaigų, atstovybių prie tarptautinių organizacijų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3e1adaaaa0354921ae235c8e4ce29f67"/>
                    <w:lock w:val="sdtLocked"/>
                    <w:richText/>
                  </w:sdtPr>
                  <w:sdtContent>
                    <w:p>
                      <w:pPr>
                        <w:tabs>
                          <w:tab w:val="left" w:pos="1134"/>
                        </w:tabs>
                        <w:ind w:firstLine="720"/>
                        <w:jc w:val="both"/>
                        <w:rPr>
                          <w:szCs w:val="24"/>
                          <w:lang w:eastAsia="lt-LT"/>
                        </w:rPr>
                      </w:pPr>
                      <w:sdt>
                        <w:sdtPr>
                          <w:alias w:val="Numeris"/>
                          <w:tag w:val="nr_3e1adaaaa0354921ae235c8e4ce29f67"/>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43041db725e40c1b644129e56e4cdd4"/>
                        <w:lock w:val="sdtLocked"/>
                        <w:richText/>
                      </w:sdtPr>
                      <w:sdtContent>
                        <w:p>
                          <w:pPr>
                            <w:tabs>
                              <w:tab w:val="left" w:pos="1418"/>
                            </w:tabs>
                            <w:ind w:firstLine="720"/>
                            <w:jc w:val="both"/>
                            <w:rPr>
                              <w:szCs w:val="24"/>
                              <w:lang w:eastAsia="lt-LT"/>
                            </w:rPr>
                          </w:pPr>
                          <w:sdt>
                            <w:sdtPr>
                              <w:alias w:val="Numeris"/>
                              <w:tag w:val="nr_d43041db725e40c1b644129e56e4cdd4"/>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e37b86a42894be883d6a9a78d3f63d0"/>
                    <w:lock w:val="sdtLocked"/>
                    <w:richText/>
                  </w:sdtPr>
                  <w:sdtContent>
                    <w:p>
                      <w:pPr>
                        <w:ind w:firstLine="720"/>
                        <w:jc w:val="both"/>
                        <w:rPr>
                          <w:szCs w:val="24"/>
                          <w:lang w:eastAsia="lt-LT"/>
                        </w:rPr>
                      </w:pPr>
                      <w:sdt>
                        <w:sdtPr>
                          <w:alias w:val="Numeris"/>
                          <w:tag w:val="nr_fe37b86a42894be883d6a9a78d3f63d0"/>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9b6305730ec94accac51ec860d2924be"/>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9b6305730ec94accac51ec860d2924b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1d241ffe579c4749bd50bc73dd0122b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8C8C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header" Target="header14.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ccbf21db694b417e86bc4fb99b697d59"/>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d66cb0f8693047f68cc0673ee8e1abf0"/>
    </Part>
    <Part Type="punktas" Nr="2" Abbr="2 p." DocPartId="490b677a91aa443ba5125d291dae5d42" PartId="be8be108ffbf4064945b8c0aaaf9887b">
      <Part Type="papunktis" Nr="2.1" Abbr="2.1 pp." DocPartId="f01e71fc91234d58b6943538949b4b12" PartId="21bccd59de0d4ba7932500b2e64bf852"/>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8e5f91006fe94e57853f2813cd30528e"/>
    </Part>
    <Part Type="signatura" DocPartId="126271ec361548f598c816bb116292f9" PartId="91be9e12d25e44c79f7c3a5408ea5f11"/>
  </Part>
  <Part Type="patvirtinta" Title="MAKSIMALIŲ DIENPINIGIŲ DYDŽIŲ SĄRAŠAS" DocPartId="2ca2087ffce34b719d9e815393cc9c66" PartId="22e118c6a7d8424c8d8ac001f6b7b66a">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0eca8259bd804036a713bcad700b707e"/>
    <Part Type="punktas" Nr="3" Abbr="3 p." DocPartId="cd6826fb6bed42fb9f409aa81a62a93c" PartId="1f6be9fd54c64d7cb696a4f2a5f2df48"/>
    <Part Type="punktas" Nr="4" Abbr="4 p." DocPartId="46bc11d2cf3c4eb3bc3a905240707da3" PartId="91c15626f2f84d25a8e36fcf3611a903"/>
    <Part Type="punktas" Nr="5" Abbr="5 p." DocPartId="5ddc266cf01a4aba9526c331852b2fb0" PartId="0ea20c2df5bb414a9e86e503adb7ad3e">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dc0e31ccb5bd494f981aaba3e60b19e0"/>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0e4e70b079494c59ae54cef53aa0e20f"/>
    <Part Type="punktas" Nr="9" Abbr="9 p." DocPartId="cf00b499bb894ea1b2db7442d91e9307" PartId="f7c3cc23034344cfbca12ce1ca5fb6a3"/>
    <Part Type="punktas" Nr="10" Abbr="10 p." DocPartId="ce219c39cd81476f83b6eb0e8beb3f65" PartId="398f3af70914438d87e05ea8a81efcf0"/>
    <Part Type="punktas" Nr="11" Abbr="11 p." DocPartId="ee50f04e278e48f09271918e3bd51241" PartId="354f9c15b87b4b319e2d105cedeacae8"/>
    <Part Type="pabaiga" DocPartId="9a4f94aa3c0d436a8c6e77cdd2a2c0f0" PartId="7fb303a620754a9791c9e04335acc62e"/>
  </Part>
  <Part Type="patvirtinta" Title="„KOMANDIRUOČIŲ IŠLAIDŲ APMOKĖJIMO BIUDŽETINĖSE ĮSTAIGOSE TAISYKLĖS“." DocPartId="62d20288e7794d87a3f9ebf2dec6a798" PartId="3e5d0b1171514004861e0063ee8b1eef">
    <Part Type="skyrius" Nr="1" Title="BENDROSIOS NUOSTATOS" DocPartId="6801ae71e92e44ae9877ab05598381c1" PartId="5db28a573dd644dc91287bdbce8c2167">
      <Part Type="punktas" Nr="1" Abbr="1 p." DocPartId="64cda68935bb4379814e6b5db32b6aaf" PartId="f0e4b5799045481cabdd8c702f812c60"/>
      <Part Type="punktas" Nr="2" Abbr="2 p." DocPartId="c032f2fd5d3c413088437fb1feb23226" PartId="e931329ecd7f48fb82f47f35c6a446b0">
        <Part Type="papunktis" Nr="2.1" Abbr="2.1 pp." DocPartId="5aa06f613cf74e558cc398cc8476f5fb" PartId="e084c8198d5a4816ad77569a37f632b0"/>
        <Part Type="papunktis" Nr="2.2" Abbr="2.2 pp." DocPartId="1c3b22ad880e4338abe3b251ba5faa5a" PartId="9ed513d71d5a4a368a8da167f31e6e04"/>
        <Part Type="papunktis" Nr="2.3" Abbr="2.3 pp." DocPartId="46e97dc41db94984a72f8b6b7b947596" PartId="332077d9ebb34353bd3d1a9bdab9ae1a"/>
      </Part>
      <Part Type="punktas" Nr="3" Abbr="3 p." DocPartId="bd8373c4d5cd48689cc533ba10beeaed" PartId="47755c620a4947a7a9a057322fb33fb9"/>
      <Part Type="punktas" Nr="4" Abbr="4 p." DocPartId="c9c6944f0be44cd2b06d8383130c4a52" PartId="fdd786d967e04ad6b22b385eafa37723"/>
      <Part Type="punktas" Nr="5" Abbr="5 p." DocPartId="55b8b7aac876470b86d1137f5457a94d" PartId="6594d9ce99454dc9a93c5d3fe6b4e387"/>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e879796e240b4b09b936e1f06f12e678"/>
        <Part Type="punktas" Nr="7.3" Abbr="7.3 p." DocPartId="a3eb64bd91b346c0adfab092796291bf" PartId="897fc65755394547b9ebf3ffa3652a00">
          <Part Type="punktas" Nr="7.3.1" Abbr="7.3.1 p." DocPartId="df0f91fa606445048d18a8fa7885d55e" PartId="ef4fcd4e68384534a051fd46e81c7207"/>
          <Part Type="punktas" Nr="7.3.2" Abbr="7.3.2 p." DocPartId="eb071e243ec84766adfde01b5e65c7a7" PartId="e55ef980f7384811b652b217ce938a15"/>
          <Part Type="punktas" Nr="7.3.3" Abbr="7.3.3 p." DocPartId="cf3660c224d94ace9ad16aa98f5ff2bd" PartId="11f4867138dd448887a509e539b1676e"/>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00423bd89826476d9fb989ea737d461e"/>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2abc174be845407a815d1cf662b22f48"/>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b1632f42f6de4ddc83e0dde69f75180c"/>
        <Part Type="papunktis" Nr="11.2" Abbr="11.2 pp." DocPartId="cdb1ba0d6873419598604fff89f1141a" PartId="9cc106c71d6646b190f53c86ae1da171">
          <Part Type="papunktis" Nr="11.2.1" Abbr="11.2.1 pp." DocPartId="9083abe12de049b8b97cdde970d5eab4" PartId="7bc446e9ac6f40fb97a14f7629a5c07b"/>
          <Part Type="papunktis" Nr="11.2.2" Abbr="11.2.2 pp." DocPartId="87ccdec0af654c4bad012ccfde38fc6d" PartId="5e959580ace4477f8562a42c308fc05f"/>
        </Part>
      </Part>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066495e1a3b14a7aabd93e6abeb9a7f3"/>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3e1adaaaa0354921ae235c8e4ce29f67"/>
        <Part Type="punktas" Nr="17.3" Abbr="17.3 p." DocPartId="909cc62865844281839ecef4dbb3cb6c" PartId="2fd925ec154a435a82780a87374337d7">
          <Part Type="punktas" Nr="17.3.1" Abbr="17.3.1 p." DocPartId="d6baded6f3d34c0bb75485db16805ecd" PartId="d43041db725e40c1b644129e56e4cdd4"/>
          <Part Type="punktas" Nr="17.3.2" Abbr="17.3.2 p." DocPartId="0c6a7f8a2cda4713a9443cfd45b27429" PartId="e8841a864f974265a698627aa95ce6fd"/>
        </Part>
        <Part Type="punktas" Nr="17.4" Abbr="17.4 p." DocPartId="b4b183afa9654f44b89d00c0bb8f9a96" PartId="fe37b86a42894be883d6a9a78d3f63d0"/>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9b6305730ec94accac51ec860d2924be">
    <Part Type="pabaiga" DocPartId="32120ab1a1fe4ab7985597ee6b1333b5" PartId="1d241ffe579c4749bd50bc73dd0122b7"/>
  </Part>
</Parts>
</file>

<file path=customXml/itemProps1.xml><?xml version="1.0" encoding="utf-8"?>
<ds:datastoreItem xmlns:ds="http://schemas.openxmlformats.org/officeDocument/2006/customXml" ds:itemID="{27C16C72-72D2-46E4-BFEF-4D6DB97C39E7}">
  <ds:schemaRefs>
    <ds:schemaRef ds:uri="http://lrs.lt/TAIS/DocParts"/>
  </ds:schemaRefs>
</ds:datastoreItem>
</file>

<file path=docProps/app.xml><?xml version="1.0" encoding="utf-8"?>
<Properties xmlns="http://schemas.openxmlformats.org/officeDocument/2006/extended-properties">
  <Template>Normal.dotm</Template>
  <TotalTime>45</TotalTime>
  <Pages>16</Pages>
  <Words>21952</Words>
  <Characters>12513</Characters>
  <Application>Microsoft Office Word</Application>
  <DocSecurity>0</DocSecurity>
  <Lines>104</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34397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2019-02-07T06:10:00Z</dcterms:modified>
  <revision>31</revision>
</coreProperties>
</file>