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2026-10-01 iki 2027-06-30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21417906c036486ca2a1dab1437078b6"/>
            <w:lock w:val="sdtLocked"/>
            <w:richText/>
          </w:sdtPr>
          <w:sdtContent>
            <w:p>
              <w:pPr>
                <w:ind w:firstLine="720"/>
                <w:jc w:val="both"/>
              </w:pPr>
              <w:r>
                <w:rPr>
                  <w:lang w:eastAsia="lt-LT"/>
                </w:rPr>
                <w:t>Vadovaudamasi Lietuvos Respublikos darbo kodekso 107 straipsnio 2 ir 3 dalimis, Lietuvos Respublikos diplomatinės tarnybos įstatymo 89 straipsnio 5 dalimi, Lietuvos Respublikos krašto apsaugos sistemos organizavimo ir karo tarnybos įstatymo 61</w:t>
              </w:r>
              <w:r>
                <w:rPr>
                  <w:vertAlign w:val="superscript"/>
                  <w:lang w:eastAsia="lt-LT"/>
                </w:rPr>
                <w:t xml:space="preserve">1 </w:t>
              </w:r>
              <w:r>
                <w:rPr>
                  <w:lang w:eastAsia="lt-LT"/>
                </w:rPr>
                <w:t>straipsnio 3 dalimi ir 68 straipsnio 9 dalimi, Lietuvos Respublikos prokuratūros įstatymo 52 straipsnio 9 dalimi, Lietuvos Respublikos regioninės plėtros įstatymo 25 straipsnio 6 dalimi, Lietuvos Respublikos saugios laivybos įstatymo 3 straipsnio 2 dalies 7 punktu, Lietuvos Respublikos teismų įstatymo 101 straipsnio 10 dalimi, Lietuvos Respublikos vadovybės apsaugos įstatymo 58 straipsnio 9 dalimi, Lietuvos Respublikos vidaus tarnybos statuto 71 straipsnio 3 dalimi, Lietuvos Respublikos vietos savivaldos įstatymo 12 straipsnio 4 dalimi ir Lietuvos Respublikos žvalgybos įstatymo 43 straipsnio 4, 10 ir 11 dalimis bei 64 straipsnio 19 dalimi, Lietuvos Respublikos Vyriausybė</w:t>
              </w:r>
              <w:r>
                <w:rPr>
                  <w:spacing w:val="40"/>
                  <w:lang w:eastAsia="lt-LT"/>
                </w:rPr>
                <w:t xml:space="preserve"> </w:t>
              </w:r>
              <w:r>
                <w:rPr>
                  <w:spacing w:val="60"/>
                  <w:lang w:eastAsia="lt-LT"/>
                </w:rPr>
                <w:t>nutari</w:t>
              </w:r>
              <w:r>
                <w:rPr>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9757068a111f1b53dfa020e517810">
                <w:r w:rsidRPr="00532B9F">
                  <w:rPr>
                    <w:rFonts w:ascii="Times New Roman" w:eastAsia="MS Mincho" w:hAnsi="Times New Roman"/>
                    <w:sz w:val="20"/>
                    <w:i/>
                    <w:iCs/>
                    <w:color w:val="0000FF" w:themeColor="hyperlink"/>
                    <w:u w:val="single"/>
                  </w:rPr>
                  <w:t>449</w:t>
                </w:r>
              </w:fldSimple>
              <w:r>
                <w:rPr>
                  <w:rFonts w:ascii="Times New Roman" w:eastAsia="MS Mincho" w:hAnsi="Times New Roman"/>
                  <w:sz w:val="20"/>
                  <w:i/>
                  <w:iCs/>
                </w:rPr>
                <w:t>,
2026-06-10,
paskelbta TAR 2026-06-15, i. k. 2026-10351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972ebd7b40d743fca1b2966e43ec8405"/>
                <w:lock w:val="sdtLocked"/>
                <w:richText/>
              </w:sdtPr>
              <w:sdtContent>
                <w:p>
                  <w:pPr>
                    <w:ind w:firstLine="720"/>
                    <w:jc w:val="both"/>
                    <w:rPr>
                      <w:lang w:eastAsia="lt-LT"/>
                    </w:rPr>
                  </w:pPr>
                  <w:sdt>
                    <w:sdtPr>
                      <w:alias w:val="Numeris"/>
                      <w:tag w:val="nr_972ebd7b40d743fca1b2966e43ec8405"/>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ir regionų plėtros tarybose</w:t>
                  </w:r>
                  <w:r>
                    <w:rPr>
                      <w:rFonts w:eastAsia="Calibri"/>
                      <w:b/>
                      <w:szCs w:val="22"/>
                      <w:lang w:eastAsia="lt-LT"/>
                    </w:rPr>
                    <w:t xml:space="preserve"> </w:t>
                  </w:r>
                  <w:r>
                    <w:rPr>
                      <w:rFonts w:eastAsia="Calibri"/>
                      <w:szCs w:val="22"/>
                      <w:lang w:eastAsia="lt-LT"/>
                    </w:rPr>
                    <w:t>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d8dc3adf95cf4b19b529a0d52b3b2333"/>
                <w:lock w:val="sdtLocked"/>
                <w:richText/>
              </w:sdtPr>
              <w:sdtContent>
                <w:p>
                  <w:pPr>
                    <w:ind w:firstLine="720"/>
                    <w:jc w:val="both"/>
                    <w:rPr>
                      <w:lang w:eastAsia="lt-LT"/>
                    </w:rPr>
                  </w:pPr>
                  <w:sdt>
                    <w:sdtPr>
                      <w:alias w:val="Numeris"/>
                      <w:tag w:val="nr_d8dc3adf95cf4b19b529a0d52b3b2333"/>
                      <w:lock w:val="sdtLocked"/>
                      <w:richText/>
                    </w:sdtPr>
                    <w:sdtContent>
                      <w:r>
                        <w:rPr>
                          <w:color w:val="000000"/>
                          <w:szCs w:val="24"/>
                          <w:lang w:eastAsia="lt-LT"/>
                        </w:rPr>
                        <w:t>2.1</w:t>
                      </w:r>
                    </w:sdtContent>
                  </w:sdt>
                  <w:r>
                    <w:rPr>
                      <w:color w:val="000000"/>
                      <w:szCs w:val="24"/>
                      <w:lang w:eastAsia="lt-LT"/>
                    </w:rPr>
                    <w:t>. Taisyklės taikomos ir valstybės tarnautojams, darbuotojams, žvalgybos pareigūnams bei vidaus tarnybos sistemos pareigūnams, perkeltiems į kitas pareigas Lietuvos Respublikos diplomatinėse atstovybėse užsienio valstybėse, Lietuvos Respublikos atstovybėse prie tarptautinių organizacijų, konsulinėse įstaigose ir specialiosiose misijose. Taisyklės taip pat taikomos valstybės tarnautojams, darbuotojams, žvalgybos pareigūnams ir vidaus tarnybos sistemos pareigūnams, laikinai perkeltiems į pareigas tarptautinėse organizacijose ar institucijose, Europos Sąjungos institucijose ar įstaigose, jeigu darbo užmokestį jiems moka Lietuvos Respublikos institucijos ar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1-1 pp."/>
                <w:tag w:val="part_2977e9e0bbf64be3be7ff3383ae0d91c"/>
                <w:lock w:val="sdtLocked"/>
                <w:richText/>
              </w:sdtPr>
              <w:sdtContent>
                <w:p>
                  <w:pPr>
                    <w:ind w:firstLine="720"/>
                    <w:jc w:val="both"/>
                    <w:rPr>
                      <w:lang w:eastAsia="lt-LT"/>
                    </w:rPr>
                  </w:pPr>
                  <w:sdt>
                    <w:sdtPr>
                      <w:alias w:val="Numeris"/>
                      <w:tag w:val="nr_2977e9e0bbf64be3be7ff3383ae0d91c"/>
                      <w:lock w:val="sdtLocked"/>
                      <w:richText/>
                    </w:sdtPr>
                    <w:sdtContent>
                      <w:r>
                        <w:rPr>
                          <w:lang w:eastAsia="lt-LT"/>
                        </w:rPr>
                        <w:t>2.1</w:t>
                      </w:r>
                      <w:r>
                        <w:rPr>
                          <w:vertAlign w:val="superscript"/>
                          <w:lang w:eastAsia="lt-LT"/>
                        </w:rPr>
                        <w:t>1</w:t>
                      </w:r>
                    </w:sdtContent>
                  </w:sdt>
                  <w:r>
                    <w:rPr>
                      <w:lang w:eastAsia="lt-LT"/>
                    </w:rPr>
                    <w:t>.</w:t>
                  </w:r>
                  <w:r>
                    <w:rPr>
                      <w:vertAlign w:val="superscript"/>
                      <w:lang w:eastAsia="lt-LT"/>
                    </w:rPr>
                    <w:t xml:space="preserve"> </w:t>
                  </w:r>
                  <w:r>
                    <w:rPr>
                      <w:lang w:eastAsia="lt-LT"/>
                    </w:rPr>
                    <w:t xml:space="preserve">Lietuvos pasirengimo pirmininkauti Europos Sąjungos Tarybai ir pirmininkavimo jai laikotarpiu Taisyklių nuostatos dėl tarnybinės komandiruotės išlaidų apmokėjimo </w:t>
                  </w:r>
                  <w:r>
                    <w:rPr>
                      <w:i/>
                      <w:iCs/>
                      <w:lang w:eastAsia="lt-LT"/>
                    </w:rPr>
                    <w:t>mutatis mutandis</w:t>
                  </w:r>
                  <w:r>
                    <w:rPr>
                      <w:lang w:eastAsia="lt-LT"/>
                    </w:rPr>
                    <w:t xml:space="preserve"> taikomos ir visuomeniniams konsultantams, pasitelktiems pirmininkavimo darbotvarkės klausimams spręsti, apmokant jų išvykimo tam tikram laikui įstaigos vadovo arba jo įgalioto asmens siuntimu teikti su darbotvarkės klausimais susijusių konsultacijų, pasiūlymų, išvadų ir kitos informacijos,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393106ed8ecf4ed69f5bbd83d46b2628"/>
                <w:lock w:val="sdtLocked"/>
                <w:richText/>
              </w:sdtPr>
              <w:sdtContent>
                <w:p>
                  <w:pPr>
                    <w:ind w:firstLine="720"/>
                    <w:jc w:val="both"/>
                  </w:pPr>
                  <w:sdt>
                    <w:sdtPr>
                      <w:alias w:val="Numeris"/>
                      <w:tag w:val="nr_393106ed8ecf4ed69f5bbd83d46b2628"/>
                      <w:lock w:val="sdtLocked"/>
                      <w:richText/>
                    </w:sdtPr>
                    <w:sdtContent>
                      <w:r>
                        <w:rPr>
                          <w:rFonts w:eastAsia="Calibri"/>
                          <w:color w:val="000000"/>
                          <w:szCs w:val="24"/>
                          <w:lang w:eastAsia="lt-LT"/>
                        </w:rPr>
                        <w:t>2.4</w:t>
                      </w:r>
                    </w:sdtContent>
                  </w:sdt>
                  <w:r>
                    <w:rPr>
                      <w:rFonts w:eastAsia="Calibri"/>
                      <w:color w:val="000000"/>
                      <w:szCs w:val="24"/>
                      <w:lang w:eastAsia="lt-LT"/>
                    </w:rPr>
                    <w:t xml:space="preserve">. Komandiruotės išlaidos neskaičiuojamos pagal Maksimalių dienpinigių dydžių sąrašą, Dienpinigių mokėjimo tvarkos aprašą ir Taisykles, kai valstybės politikui arba valstybės pareigūnui, arba teisėjui, arba žvalgybos pareigūnui, </w:t>
                  </w:r>
                  <w:r>
                    <w:rPr>
                      <w:rFonts w:eastAsia="Calibri"/>
                      <w:bCs/>
                      <w:color w:val="000000"/>
                      <w:szCs w:val="22"/>
                      <w:lang w:eastAsia="lt-LT"/>
                    </w:rPr>
                    <w:t>arba vidaus tarnybos sistemos pareigūnui,</w:t>
                  </w:r>
                  <w:r>
                    <w:rPr>
                      <w:rFonts w:eastAsia="Calibri"/>
                      <w:b/>
                      <w:bCs/>
                      <w:color w:val="000000"/>
                      <w:szCs w:val="22"/>
                      <w:lang w:eastAsia="lt-LT"/>
                    </w:rPr>
                    <w:t xml:space="preserve"> </w:t>
                  </w:r>
                  <w:r>
                    <w:rPr>
                      <w:rFonts w:eastAsia="Calibri"/>
                      <w:color w:val="000000"/>
                      <w:szCs w:val="24"/>
                      <w:lang w:eastAsia="lt-LT"/>
                    </w:rPr>
                    <w:t xml:space="preserve"> arba valstybės tarnautojui, arba darbuotojui, dirbančiam pagal darbo sutartį (toliau kartu – darbuotojas), 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Content>
        </w:sdt>
        <w:sdt>
          <w:sdtPr>
            <w:alias w:val="signatura"/>
            <w:tag w:val="part_d17dd63a4125491a933707d4dcadb13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aps/>
                </w:rPr>
              </w:pPr>
              <w:r>
                <w:rPr>
                  <w:caps/>
                </w:rPr>
                <w:t xml:space="preserve">pavaduojanti finansų ministrė </w:t>
                <w:tab/>
                <w:t>Dalia Grybauskaitė</w:t>
              </w:r>
            </w:p>
            <w:p>
              <w:pPr>
                <w:tabs>
                  <w:tab w:val="right" w:pos="9639"/>
                </w:tabs>
              </w:pPr>
            </w:p>
          </w:sdtContent>
        </w:sdt>
        <w:p/>
      </w:sdtContent>
    </w:sdt>
    <w:sdt>
      <w:sdtPr>
        <w:alias w:val="patvirtinta"/>
        <w:tag w:val="part_fa2a31a8f89f4c4ea6267607f6dae1f2"/>
        <w:lock w:val="sdtLocked"/>
        <w:richText/>
      </w:sdtPr>
      <w:sdtContent>
        <w:p>
          <w:pPr>
            <w:ind w:left="4820"/>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1134" w:bottom="1134" w:left="1701" w:header="709" w:footer="709" w:gutter="0"/>
              <w:pgNumType w:start="1"/>
              <w:cols w:space="1296"/>
              <w:titlePg/>
            </w:sectPr>
          </w:pPr>
        </w:p>
        <w:p>
          <w:pPr>
            <w:ind w:left="4820"/>
          </w:pPr>
          <w:r>
            <w:t>PATVIRTINTA</w:t>
          </w:r>
        </w:p>
        <w:p>
          <w:pPr>
            <w:ind w:left="4820"/>
          </w:pPr>
          <w:r>
            <w:t>Lietuvos Respublikos Vyriausybės</w:t>
          </w:r>
        </w:p>
        <w:p>
          <w:pPr>
            <w:ind w:left="4820"/>
          </w:pPr>
          <w:r>
            <w:t>2004 m. balandžio 29 d. nutarimu Nr. 526</w:t>
          </w:r>
        </w:p>
        <w:p>
          <w:pPr>
            <w:ind w:left="4820"/>
          </w:pPr>
          <w:r>
            <w:t xml:space="preserve">(Lietuvos Respublikos Vyriausybės </w:t>
          </w:r>
        </w:p>
        <w:p>
          <w:pPr>
            <w:ind w:left="4820"/>
            <w:rPr>
              <w:szCs w:val="24"/>
              <w:lang w:eastAsia="lt-LT"/>
            </w:rPr>
          </w:pPr>
          <w:r>
            <w:t xml:space="preserve">2023 m. birželio 28 d. nutarimo Nr. </w:t>
          </w:r>
          <w:r>
            <w:rPr>
              <w:szCs w:val="24"/>
              <w:lang w:eastAsia="lt-LT"/>
            </w:rPr>
            <w:t>504</w:t>
          </w:r>
        </w:p>
        <w:p>
          <w:pPr>
            <w:ind w:left="4820"/>
          </w:pPr>
          <w:r>
            <w:t>redakcija)</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rPr>
          </w:pPr>
          <w:sdt>
            <w:sdtPr>
              <w:alias w:val="Pavadinimas"/>
              <w:tag w:val="title_fa2a31a8f89f4c4ea6267607f6dae1f2"/>
              <w:lock w:val="sdtLocked"/>
              <w:richText/>
            </w:sdtPr>
            <w:sdtContent>
              <w:r>
                <w:rPr>
                  <w:b/>
                  <w:bCs/>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trPr>
              <w:tblHeader/>
            </w:trP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592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33 </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rPr>
                    <w:color w:val="000000"/>
                  </w:rP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1163" w:type="dxa"/>
                <w:tcBorders>
                  <w:top w:val="single" w:sz="4" w:space="0" w:color="auto"/>
                  <w:left w:val="single" w:sz="4" w:space="0" w:color="auto"/>
                  <w:bottom w:val="single" w:sz="4" w:space="0" w:color="auto"/>
                  <w:right w:val="single" w:sz="4" w:space="0" w:color="auto"/>
                </w:tcBorders>
                <w:hideMark/>
              </w:tcPr>
              <w:p>
                <w:pPr>
                  <w:jc w:val="center"/>
                </w:pPr>
                <w:r>
                  <w:t>44.</w:t>
                </w:r>
              </w:p>
            </w:tc>
            <w:tc>
              <w:tcPr>
                <w:tcW w:w="5925"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82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Libijos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28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rPr>
              <w:trHeight w:val="79"/>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pPr>
                <w:r>
                  <w:t>128.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33</w:t>
                </w:r>
              </w:p>
            </w:tc>
          </w:tr>
        </w:tbl>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pPr>
        </w:p>
        <w:sdt>
          <w:sdtPr>
            <w:alias w:val="pabaiga"/>
            <w:tag w:val="part_8b70477141ea4d35959a75b2aaa8a52a"/>
            <w:lock w:val="sdtLocked"/>
            <w:richText/>
          </w:sdtPr>
          <w:sdtContent>
            <w:p>
              <w:pPr>
                <w:tabs>
                  <w:tab w:val="center" w:pos="-7800"/>
                  <w:tab w:val="left" w:pos="6237"/>
                  <w:tab w:val="right" w:pos="8306"/>
                </w:tabs>
                <w:jc w:val="center"/>
                <w:rPr>
                  <w:szCs w:val="24"/>
                  <w:lang w:eastAsia="lt-LT"/>
                </w:rPr>
              </w:pPr>
              <w:r>
                <w:rPr>
                  <w:szCs w:val="24"/>
                  <w:lang w:eastAsia="lt-LT"/>
                </w:rPr>
                <w:t>___________________________</w:t>
              </w:r>
            </w:p>
            <w:p>
              <w:pPr>
                <w:tabs>
                  <w:tab w:val="center" w:pos="-7800"/>
                  <w:tab w:val="left" w:pos="6237"/>
                  <w:tab w:val="right" w:pos="8306"/>
                </w:tabs>
                <w:jc w:val="center"/>
              </w:pPr>
            </w:p>
          </w:sdtContent>
        </w:sdt>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409d1c3a9b0342b68ff16232269b2b67"/>
            <w:lock w:val="sdtLocked"/>
            <w:richText/>
          </w:sdtPr>
          <w:sdtContent>
            <w:p>
              <w:pPr>
                <w:ind w:firstLine="720"/>
                <w:jc w:val="both"/>
                <w:rPr>
                  <w:lang w:eastAsia="lt-LT"/>
                </w:rPr>
              </w:pPr>
              <w:sdt>
                <w:sdtPr>
                  <w:alias w:val="Numeris"/>
                  <w:tag w:val="nr_409d1c3a9b0342b68ff16232269b2b67"/>
                  <w:lock w:val="sdtLocked"/>
                  <w:richText/>
                </w:sdtPr>
                <w:sdtContent>
                  <w:r>
                    <w:rPr>
                      <w:szCs w:val="24"/>
                      <w:lang w:eastAsia="lt-LT"/>
                    </w:rPr>
                    <w:t>1</w:t>
                  </w:r>
                </w:sdtContent>
              </w:sdt>
              <w:r>
                <w:rPr>
                  <w:szCs w:val="24"/>
                  <w:lang w:eastAsia="lt-LT"/>
                </w:rPr>
                <w:t xml:space="preserve">. Dienpinigių mokėjimo tvarkos apraše nustatoma dienpinigių į komandiruotę vykstančiam valstybės politikui arba valstybės pareigūnui, arba teisėjui, arba žvalgybos pareigūnui, </w:t>
              </w:r>
              <w:r>
                <w:rPr>
                  <w:bCs/>
                  <w:color w:val="000000"/>
                  <w:lang w:eastAsia="lt-LT"/>
                </w:rPr>
                <w:t>arba vidaus tarnybos sistemos pareigūnui,</w:t>
              </w:r>
              <w:r>
                <w:rPr>
                  <w:szCs w:val="24"/>
                  <w:lang w:eastAsia="lt-LT"/>
                </w:rPr>
                <w:t xml:space="preserve"> arba valstybės tarnautojui, arba darbuotojui, dirbančiam pagal darbo sutartį (toliau kartu – darbuotojas), mokėjimo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 p."/>
            <w:tag w:val="part_04135a4210904dad995b12e38274d539"/>
            <w:lock w:val="sdtLocked"/>
            <w:richText/>
          </w:sdtPr>
          <w:sdtContent>
            <w:p>
              <w:pPr>
                <w:tabs>
                  <w:tab w:val="left" w:pos="1134"/>
                </w:tabs>
                <w:ind w:firstLine="720"/>
                <w:jc w:val="both"/>
                <w:rPr>
                  <w:szCs w:val="24"/>
                  <w:lang w:eastAsia="lt-LT"/>
                </w:rPr>
              </w:pPr>
              <w:sdt>
                <w:sdtPr>
                  <w:alias w:val="Numeris"/>
                  <w:tag w:val="nr_04135a4210904dad995b12e38274d539"/>
                  <w:lock w:val="sdtLocked"/>
                  <w:richText/>
                </w:sdtPr>
                <w:sdtContent>
                  <w:r>
                    <w:rPr>
                      <w:szCs w:val="24"/>
                      <w:lang w:eastAsia="lt-LT"/>
                    </w:rPr>
                    <w:t>2</w:t>
                  </w:r>
                </w:sdtContent>
              </w:sdt>
              <w:r>
                <w:rPr>
                  <w:szCs w:val="24"/>
                  <w:lang w:eastAsia="lt-LT"/>
                </w:rPr>
                <w:t xml:space="preserve">. </w:t>
              </w:r>
              <w:r>
                <w:rPr>
                  <w:lang w:eastAsia="lt-LT"/>
                </w:rPr>
                <w:t>Mokami dienpinigiai apskaičiuojami pagal šiuo Lietuvos Respublikos Vyriausybės nutarimu nustatytus maksimalius dienpinigių dydžius arba mažesnius dienpinigių dydžius, jeigu mažesni konkretūs dydžiai nustatyti kolektyvinėje sutartyje, o jei jos nėra, o komandiruotė trunka ne trumpiau kaip 7 dienas, – vietiniame norminiame arba vidaus administravimą reglamentuojančiame teisės akte, (toliau kartu – nustatyti dydžiai). Kolektyvinėje sutartyje negali būti nustatomi mažesni kaip 50 procentų, o vietiniame norminiame arba vidaus administravimą reglamentuojančiame teisės akte, jeigu komandiruotė trunka ne trumpiau kaip 7 dienas, negali būti nustatomi mažesni kaip 65 procentų šiame Vyriausybės nutarime nustatytų maksimalių dienpinigių dydžių dienpinigių dydžiai. Darbuotojai su nustatytais dydžiais, jeigu jie mažesni už šiame Vyriausybės nutarime nustatytus maksimalius dienpinigių dydžius, raštu supažindinami iki komandiruotės pradžios, o nustatyti dydžiai galioja iki atitinkamos komandiruotės pabaigos. Kai komandiruotės metu pasikeičia komandiruotės maršrutas ir valstybė (miestas), į kurią (kurį) komandiruojama, apskaičiuojant dienpinigius taikomas dienpinigių dydis pagal tą valstybę (miestą).</w:t>
              </w:r>
              <w:r>
                <w:rPr>
                  <w:szCs w:val="24"/>
                  <w:lang w:eastAsia="lt-LT"/>
                </w:rPr>
                <w:t xml:space="preserve"> </w:t>
              </w:r>
            </w:p>
            <w:p>
              <w:pPr>
                <w:tabs>
                  <w:tab w:val="left" w:pos="1134"/>
                </w:tabs>
                <w:ind w:firstLine="720"/>
                <w:jc w:val="both"/>
                <w:rPr>
                  <w:szCs w:val="24"/>
                  <w:lang w:eastAsia="lt-LT"/>
                </w:rPr>
              </w:pPr>
              <w:r>
                <w:rPr>
                  <w:szCs w:val="24"/>
                  <w:lang w:eastAsia="lt-LT"/>
                </w:rPr>
                <w:t>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dienpinigių.</w:t>
              </w:r>
            </w:p>
            <w:p>
              <w:pPr>
                <w:tabs>
                  <w:tab w:val="left" w:pos="1134"/>
                </w:tabs>
                <w:ind w:firstLine="720"/>
                <w:jc w:val="both"/>
              </w:pPr>
              <w:r>
                <w:rPr>
                  <w:szCs w:val="24"/>
                  <w:lang w:eastAsia="lt-LT"/>
                </w:rPr>
                <w:t>Prieš nustatant dienpinigių dydžius ir (ar) jų mokėjimo tvarką vietiniame norminiame arba vidaus administravimą reglamentuojančiame teisės akte, turi būti įvykdytos informavimo ir konsultavimo procedūros Lietuvos Respublikos darbo kodekso III dalies III skyriaus trečiajame skirsnyje nustatyta tvarka. Jeigu dienpinigių dydžiai nustatomi vietiniame norminiame arba vidaus administravimą reglamentuojančiame teisės akte, darbuotojai su juo turi būti supažindinti raštu, kaip numatyta Darbo kodekso 25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2-1 p."/>
            <w:tag w:val="part_2b57ee42f49e46608ced8f592c1dc9b2"/>
            <w:lock w:val="sdtLocked"/>
            <w:richText/>
          </w:sdtPr>
          <w:sdtContent>
            <w:p>
              <w:pPr>
                <w:ind w:firstLine="720"/>
                <w:jc w:val="both"/>
              </w:pPr>
              <w:sdt>
                <w:sdtPr>
                  <w:alias w:val="Numeris"/>
                  <w:tag w:val="nr_2b57ee42f49e46608ced8f592c1dc9b2"/>
                  <w:lock w:val="sdtLocked"/>
                  <w:richText/>
                </w:sdtPr>
                <w:sdtContent>
                  <w:r>
                    <w:rPr>
                      <w:lang w:eastAsia="lt-LT"/>
                    </w:rPr>
                    <w:t>2</w:t>
                  </w:r>
                  <w:r>
                    <w:rPr>
                      <w:vertAlign w:val="superscript"/>
                      <w:lang w:eastAsia="lt-LT"/>
                    </w:rPr>
                    <w:t>1</w:t>
                  </w:r>
                </w:sdtContent>
              </w:sdt>
              <w:r>
                <w:rPr>
                  <w:lang w:eastAsia="lt-LT"/>
                </w:rPr>
                <w:t>. Kai komandiruotės pirma ir (arba) paskutinė dienos trunka trumpiau negu 4 valandas, už šias dienas mokami dienpinigiai, apskaičiuoti taikant 20 procentų nustatytų dydžių. Į komandiruotės laiką įeina kelionės į darbdavio nurodytą darbo vietą ir atgal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2-2 p."/>
            <w:tag w:val="part_4a67bf69241548368e01196bf86276d7"/>
            <w:lock w:val="sdtLocked"/>
            <w:richText/>
          </w:sdtPr>
          <w:sdtContent>
            <w:p>
              <w:pPr>
                <w:ind w:firstLine="720"/>
                <w:jc w:val="both"/>
              </w:pPr>
              <w:sdt>
                <w:sdtPr>
                  <w:alias w:val="Numeris"/>
                  <w:tag w:val="nr_4a67bf69241548368e01196bf86276d7"/>
                  <w:lock w:val="sdtLocked"/>
                  <w:richText/>
                </w:sdtPr>
                <w:sdtContent>
                  <w:r>
                    <w:rPr>
                      <w:lang w:eastAsia="lt-LT"/>
                    </w:rPr>
                    <w:t>2</w:t>
                  </w:r>
                  <w:r>
                    <w:rPr>
                      <w:vertAlign w:val="superscript"/>
                      <w:lang w:eastAsia="lt-LT"/>
                    </w:rPr>
                    <w:t>2</w:t>
                  </w:r>
                </w:sdtContent>
              </w:sdt>
              <w:r>
                <w:rPr>
                  <w:lang w:eastAsia="lt-LT"/>
                </w:rPr>
                <w:t>. Kai darbuotojas siunčiamas į komandiruotę Lietuvos Respublikos teritorijoje, dienpinigiai mokami, jeigu komandiruotė trunka ilgiau negu 1 komandiruotės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3 p."/>
            <w:tag w:val="part_cc6013bd5b1e46289f07d5f8e86bf6e4"/>
            <w:lock w:val="sdtLocked"/>
            <w:richText/>
          </w:sdtPr>
          <w:sdtContent>
            <w:p>
              <w:pPr>
                <w:ind w:firstLine="720"/>
                <w:jc w:val="both"/>
                <w:rPr>
                  <w:lang w:eastAsia="lt-LT"/>
                </w:rPr>
              </w:pPr>
              <w:sdt>
                <w:sdtPr>
                  <w:alias w:val="Numeris"/>
                  <w:tag w:val="nr_cc6013bd5b1e46289f07d5f8e86bf6e4"/>
                  <w:lock w:val="sdtLocked"/>
                  <w:richText/>
                </w:sdtPr>
                <w:sdtContent>
                  <w:r>
                    <w:rPr>
                      <w:lang w:eastAsia="lt-LT"/>
                    </w:rPr>
                    <w:t>3</w:t>
                  </w:r>
                </w:sdtContent>
              </w:sdt>
              <w:r>
                <w:rPr>
                  <w:lang w:eastAsia="lt-LT"/>
                </w:rPr>
                <w:t>. Vykstant į komandiruotę į užsienį už komandiruotės dieną, kurią išvykstama, mokami dienpinigiai, apskaičiuoti pagal valstybei (miestui), į kurią (kurį) vykstama, nustatytą dydį.</w:t>
              </w:r>
            </w:p>
            <w:p>
              <w:pPr>
                <w:ind w:firstLine="720"/>
                <w:jc w:val="both"/>
                <w:rPr>
                  <w:lang w:eastAsia="lt-LT"/>
                </w:rPr>
              </w:pPr>
              <w:r>
                <w:rPr>
                  <w:lang w:eastAsia="lt-LT"/>
                </w:rPr>
                <w:t xml:space="preserve">Grįžtant iš komandiruotės iš užsienio už komandiruotės dieną, kurią grįžtama, mokami dienpinigiai, apskaičiuoti pagal valstybei (miestui), iš kurios (kurio) grįžtama, nustatytą dydį. </w:t>
              </w:r>
            </w:p>
            <w:p>
              <w:pPr>
                <w:ind w:firstLine="720"/>
                <w:jc w:val="both"/>
                <w:rPr>
                  <w:lang w:eastAsia="lt-LT"/>
                </w:rPr>
              </w:pPr>
              <w:r>
                <w:rPr>
                  <w:lang w:eastAsia="lt-LT"/>
                </w:rPr>
                <w:t>Vykstant į komandiruotę į kelias valstybes (miestus) už faktiškai konkrečioje valstybėje (mieste) išbūtas komandiruotės dienas nuo atvykimo į tą valstybę (miestą) dienos mokami dienpinigiai, apskaičiuoti pagal tai valstybei (miestui) nustatytą dydį.</w:t>
              </w:r>
            </w:p>
            <w:p>
              <w:pPr>
                <w:ind w:firstLine="720"/>
                <w:jc w:val="both"/>
                <w:rPr>
                  <w:lang w:eastAsia="lt-LT"/>
                </w:rPr>
              </w:pPr>
              <w:r>
                <w:rPr>
                  <w:lang w:eastAsia="lt-LT"/>
                </w:rPr>
                <w:t>Komandiruotės dieną vykstant į kelias valstybes (miestus) už tą komandiruotės dieną mokamas dienpinigių, apskaičiuotų pagal toms valstybėms (miestams) nustatytus dydžius, vidurkis, išskyrus atvejus, kai į kitą valstybę (miestą) patenkama dėl jungiamojo skrydžio ar atvykstama tranzitu kita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653b66c2e0e64ae4a965a7029200df63"/>
            <w:lock w:val="sdtLocked"/>
            <w:richText/>
          </w:sdtPr>
          <w:sdtContent>
            <w:p>
              <w:pPr>
                <w:ind w:firstLine="720"/>
                <w:jc w:val="both"/>
                <w:rPr>
                  <w:lang w:eastAsia="lt-LT"/>
                </w:rPr>
              </w:pPr>
              <w:sdt>
                <w:sdtPr>
                  <w:alias w:val="Numeris"/>
                  <w:tag w:val="nr_653b66c2e0e64ae4a965a7029200df63"/>
                  <w:lock w:val="sdtLocked"/>
                  <w:richText/>
                </w:sdtPr>
                <w:sdtContent>
                  <w:r>
                    <w:rPr>
                      <w:lang w:eastAsia="lt-LT"/>
                    </w:rPr>
                    <w:t>5</w:t>
                  </w:r>
                </w:sdtContent>
              </w:sdt>
              <w:r>
                <w:rPr>
                  <w:lang w:eastAsia="lt-LT"/>
                </w:rPr>
                <w:t xml:space="preserve">. Darbuotojui, perkeltam į rezidavimo vietą – į kitas pareigas Lietuvos Respublikos diplomatinėje atstovybėje užsienio valstybėje,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 </w:t>
              </w:r>
            </w:p>
            <w:sdt>
              <w:sdtPr>
                <w:alias w:val="5.1 pp."/>
                <w:tag w:val="part_1e9513c1907c400b81b318d27e1bf94d"/>
                <w:lock w:val="sdtLocked"/>
                <w:richText/>
              </w:sdtPr>
              <w:sdtContent>
                <w:p>
                  <w:pPr>
                    <w:ind w:firstLine="720"/>
                    <w:jc w:val="both"/>
                    <w:rPr>
                      <w:lang w:eastAsia="lt-LT"/>
                    </w:rPr>
                  </w:pPr>
                  <w:sdt>
                    <w:sdtPr>
                      <w:alias w:val="Numeris"/>
                      <w:tag w:val="nr_1e9513c1907c400b81b318d27e1bf94d"/>
                      <w:lock w:val="sdtLocked"/>
                      <w:richText/>
                    </w:sdtPr>
                    <w:sdtContent>
                      <w:r>
                        <w:rPr>
                          <w:lang w:eastAsia="lt-LT"/>
                        </w:rPr>
                        <w:t>5.1</w:t>
                      </w:r>
                    </w:sdtContent>
                  </w:sdt>
                  <w:r>
                    <w:rPr>
                      <w:lang w:eastAsia="lt-LT"/>
                    </w:rPr>
                    <w:t>. grįžtant į rezidavimo vietos valstybę (miestą) iš Lietuvos Respublikos už komandiruotės dieną, kurią grįžtama į rezidavimo vietos valstybę (miestą), mokami dienpinigiai, apskaičiuoti pagal rezidavimo vietos valstybei (miestui) nustatytą dydį;</w:t>
                  </w:r>
                </w:p>
              </w:sdtContent>
            </w:sdt>
            <w:sdt>
              <w:sdtPr>
                <w:alias w:val="5.2 pp."/>
                <w:tag w:val="part_a81238b2a68b43198e1a0f762fbb2934"/>
                <w:lock w:val="sdtLocked"/>
                <w:richText/>
              </w:sdtPr>
              <w:sdtContent>
                <w:p>
                  <w:pPr>
                    <w:ind w:firstLine="720"/>
                    <w:jc w:val="both"/>
                    <w:rPr>
                      <w:lang w:eastAsia="lt-LT"/>
                    </w:rPr>
                  </w:pPr>
                  <w:sdt>
                    <w:sdtPr>
                      <w:alias w:val="Numeris"/>
                      <w:tag w:val="nr_a81238b2a68b43198e1a0f762fbb2934"/>
                      <w:lock w:val="sdtLocked"/>
                      <w:richText/>
                    </w:sdtPr>
                    <w:sdtContent>
                      <w:r>
                        <w:rPr>
                          <w:lang w:eastAsia="lt-LT"/>
                        </w:rPr>
                        <w:t>5.2</w:t>
                      </w:r>
                    </w:sdtContent>
                  </w:sdt>
                  <w:r>
                    <w:rPr>
                      <w:lang w:eastAsia="lt-LT"/>
                    </w:rPr>
                    <w:t>. vykstant iš rezidavimo vietos valstybės (miesto) į Lietuvos Respubliką už komandiruotės dieną, kurią išvykstama iš rezidavimo vietos valstybės (miesto), mokami dienpinigiai, apskaičiuoti pagal rezidavimo vietos valstybei (miestui) nustatytą dydį;</w:t>
                  </w:r>
                </w:p>
              </w:sdtContent>
            </w:sdt>
            <w:sdt>
              <w:sdtPr>
                <w:alias w:val="5.3 pp."/>
                <w:tag w:val="part_0863ac5aff064b6c93a0b8c6820e5759"/>
                <w:lock w:val="sdtLocked"/>
                <w:richText/>
              </w:sdtPr>
              <w:sdtContent>
                <w:p>
                  <w:pPr>
                    <w:ind w:firstLine="720"/>
                    <w:jc w:val="both"/>
                    <w:rPr>
                      <w:lang w:eastAsia="lt-LT"/>
                    </w:rPr>
                  </w:pPr>
                  <w:sdt>
                    <w:sdtPr>
                      <w:alias w:val="Numeris"/>
                      <w:tag w:val="nr_0863ac5aff064b6c93a0b8c6820e5759"/>
                      <w:lock w:val="sdtLocked"/>
                      <w:richText/>
                    </w:sdtPr>
                    <w:sdtContent>
                      <w:r>
                        <w:rPr>
                          <w:lang w:eastAsia="lt-LT"/>
                        </w:rPr>
                        <w:t>5.3</w:t>
                      </w:r>
                    </w:sdtContent>
                  </w:sdt>
                  <w:r>
                    <w:rPr>
                      <w:lang w:eastAsia="lt-LT"/>
                    </w:rPr>
                    <w:t>. vykstant iš rezidavimo vietos valstybės (miesto) į kitą valstybę (miestą) už komandiruotės dieną, kurią išvykstama į kitą valstybę (miestą), mokami dienpinigiai, apskaičiuoti pagal valstybei (miestui), į kurią (kurį) vykstama, nustatytą dydį;</w:t>
                  </w:r>
                </w:p>
              </w:sdtContent>
            </w:sdt>
            <w:sdt>
              <w:sdtPr>
                <w:alias w:val="5.4 pp."/>
                <w:tag w:val="part_b5153d06876943b68ed917b50515cad1"/>
                <w:lock w:val="sdtLocked"/>
                <w:richText/>
              </w:sdtPr>
              <w:sdtContent>
                <w:p>
                  <w:pPr>
                    <w:ind w:firstLine="720"/>
                    <w:jc w:val="both"/>
                    <w:rPr>
                      <w:lang w:eastAsia="lt-LT"/>
                    </w:rPr>
                  </w:pPr>
                  <w:sdt>
                    <w:sdtPr>
                      <w:alias w:val="Numeris"/>
                      <w:tag w:val="nr_b5153d06876943b68ed917b50515cad1"/>
                      <w:lock w:val="sdtLocked"/>
                      <w:richText/>
                    </w:sdtPr>
                    <w:sdtContent>
                      <w:r>
                        <w:rPr>
                          <w:lang w:eastAsia="lt-LT"/>
                        </w:rPr>
                        <w:t>5.4</w:t>
                      </w:r>
                    </w:sdtContent>
                  </w:sdt>
                  <w:r>
                    <w:rPr>
                      <w:lang w:eastAsia="lt-LT"/>
                    </w:rPr>
                    <w:t xml:space="preserve">. grįžtant iš kitos valstybės (miesto) į rezidavimo vietos valstybę (miestą) už komandiruotės dieną, kurią atvykstama į rezidavimo vietos valstybę (miestą), mokami dienpinigiai, apskaičiuoti pagal valstybei (miestui), iš kurios (kurio) grįžtama, nustatytą dydį; </w:t>
                  </w:r>
                </w:p>
              </w:sdtContent>
            </w:sdt>
            <w:sdt>
              <w:sdtPr>
                <w:alias w:val="5.5 pp."/>
                <w:tag w:val="part_666080c02dca40f49742794c9ae8eb04"/>
                <w:lock w:val="sdtLocked"/>
                <w:richText/>
              </w:sdtPr>
              <w:sdtContent>
                <w:p>
                  <w:pPr>
                    <w:ind w:firstLine="720"/>
                    <w:jc w:val="both"/>
                    <w:rPr>
                      <w:lang w:eastAsia="lt-LT"/>
                    </w:rPr>
                  </w:pPr>
                  <w:sdt>
                    <w:sdtPr>
                      <w:alias w:val="Numeris"/>
                      <w:tag w:val="nr_666080c02dca40f49742794c9ae8eb04"/>
                      <w:lock w:val="sdtLocked"/>
                      <w:richText/>
                    </w:sdtPr>
                    <w:sdtContent>
                      <w:r>
                        <w:rPr>
                          <w:lang w:eastAsia="lt-LT"/>
                        </w:rPr>
                        <w:t>5.5</w:t>
                      </w:r>
                    </w:sdtContent>
                  </w:sdt>
                  <w:r>
                    <w:rPr>
                      <w:lang w:eastAsia="lt-LT"/>
                    </w:rPr>
                    <w:t>. vykstant rezidavimo vietos valstybėje (mieste) į komandiruotę, kuri trunka ilgiau negu 1 komandiruotės dieną, mokami dienpinigiai, apskaičiuoti pagal rezidavimo vietos valstybei (miestui) nustatytą dydį;</w:t>
                  </w:r>
                </w:p>
              </w:sdtContent>
            </w:sdt>
            <w:sdt>
              <w:sdtPr>
                <w:alias w:val="5.6 pp."/>
                <w:tag w:val="part_2fae222c5da34888b6622badc46e62cc"/>
                <w:lock w:val="sdtLocked"/>
                <w:richText/>
              </w:sdtPr>
              <w:sdtContent>
                <w:p>
                  <w:pPr>
                    <w:ind w:firstLine="720"/>
                    <w:jc w:val="both"/>
                    <w:rPr>
                      <w:lang w:eastAsia="lt-LT"/>
                    </w:rPr>
                  </w:pPr>
                  <w:sdt>
                    <w:sdtPr>
                      <w:alias w:val="Numeris"/>
                      <w:tag w:val="nr_2fae222c5da34888b6622badc46e62cc"/>
                      <w:lock w:val="sdtLocked"/>
                      <w:richText/>
                    </w:sdtPr>
                    <w:sdtContent>
                      <w:r>
                        <w:rPr>
                          <w:lang w:eastAsia="lt-LT"/>
                        </w:rPr>
                        <w:t>5.6</w:t>
                      </w:r>
                    </w:sdtContent>
                  </w:sdt>
                  <w:r>
                    <w:rPr>
                      <w:lang w:eastAsia="lt-LT"/>
                    </w:rPr>
                    <w:t>. vykstant iš rezidavimo vietos valstybės (miesto) į komandiruotę į kelias valstybes (miestus) už faktiškai konkrečioje valstybėje (mieste) išbūtas komandiruotės dienas nuo atvykimo į tą valstybę (miestą) dienos mokami dienpinigiai, apskaičiuoti pagal tai valstybei (miestui) nustatytą dydį;</w:t>
                  </w:r>
                </w:p>
              </w:sdtContent>
            </w:sdt>
            <w:sdt>
              <w:sdtPr>
                <w:alias w:val="5.7 pp."/>
                <w:tag w:val="part_826addef0e0d4485a5a7f3e8e29b0b1b"/>
                <w:lock w:val="sdtLocked"/>
                <w:richText/>
              </w:sdtPr>
              <w:sdtContent>
                <w:p>
                  <w:pPr>
                    <w:ind w:firstLine="720"/>
                    <w:jc w:val="both"/>
                  </w:pPr>
                  <w:sdt>
                    <w:sdtPr>
                      <w:alias w:val="Numeris"/>
                      <w:tag w:val="nr_826addef0e0d4485a5a7f3e8e29b0b1b"/>
                      <w:lock w:val="sdtLocked"/>
                      <w:richText/>
                    </w:sdtPr>
                    <w:sdtContent>
                      <w:r>
                        <w:rPr>
                          <w:lang w:eastAsia="lt-LT"/>
                        </w:rPr>
                        <w:t>5.7</w:t>
                      </w:r>
                    </w:sdtContent>
                  </w:sdt>
                  <w:r>
                    <w:rPr>
                      <w:lang w:eastAsia="lt-LT"/>
                    </w:rPr>
                    <w:t>. komandiruotės dieną vykstant į kelias valstybes (miestus) už tą komandiruotės dieną mokamas dienpinigių, apskaičiuotų pagal toms valstybėms (miestams) nustatytus dydžius, vidurkis, išskyrus atvejus, kai į kitą valstybę (miestą) patenkama dėl jungiamojo skrydžio ar atvykstama tranzitu kita transporto priemone.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d5b7f8da721042bf80bd1e20508dd362"/>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673762d1d1274a829afbf13c1fcc4546"/>
            <w:lock w:val="sdtLocked"/>
            <w:richText/>
          </w:sdtPr>
          <w:sdtContent>
            <w:p>
              <w:pPr>
                <w:tabs>
                  <w:tab w:val="left" w:pos="1134"/>
                </w:tabs>
                <w:ind w:firstLine="720"/>
                <w:jc w:val="both"/>
                <w:rPr>
                  <w:lang w:eastAsia="lt-LT"/>
                </w:rPr>
              </w:pPr>
              <w:sdt>
                <w:sdtPr>
                  <w:alias w:val="Numeris"/>
                  <w:tag w:val="nr_673762d1d1274a829afbf13c1fcc4546"/>
                  <w:lock w:val="sdtLocked"/>
                  <w:richText/>
                </w:sdtPr>
                <w:sdtContent>
                  <w:r>
                    <w:rPr>
                      <w:szCs w:val="24"/>
                      <w:lang w:eastAsia="lt-LT"/>
                    </w:rPr>
                    <w:t>9</w:t>
                  </w:r>
                </w:sdtContent>
              </w:sdt>
              <w:r>
                <w:rPr>
                  <w:szCs w:val="24"/>
                  <w:lang w:eastAsia="lt-LT"/>
                </w:rPr>
                <w:t>. Jeigu kolektyvinėje ar darbo sutartyje ir (arba) valstybės ar savivaldybės institucijos ar įstaigos vietiniame norminiame arba vidaus administravimą reglamentuojančiame teisės akte nenustatyta kitaip, ne vėliau kaip paskutinę darbo dieną iki komandiruotės pradžios darbuotojui privalo būti išmokėtas ne mažesnis kaip 50 procentų už komandiruotę apskaičiuotų dienpinigių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2 p."/>
            <w:tag w:val="part_429b6e2800564f72b1080163cabc5fae"/>
            <w:lock w:val="sdtLocked"/>
            <w:richText/>
          </w:sdtPr>
          <w:sdtContent>
            <w:p>
              <w:pPr>
                <w:ind w:firstLine="720"/>
                <w:jc w:val="both"/>
                <w:rPr>
                  <w:lang w:eastAsia="lt-LT"/>
                </w:rPr>
              </w:pPr>
              <w:sdt>
                <w:sdtPr>
                  <w:alias w:val="Numeris"/>
                  <w:tag w:val="nr_429b6e2800564f72b1080163cabc5fae"/>
                  <w:lock w:val="sdtLocked"/>
                  <w:richText/>
                </w:sdtPr>
                <w:sdtContent>
                  <w:r>
                    <w:rPr>
                      <w:color w:val="000000"/>
                      <w:szCs w:val="24"/>
                    </w:rPr>
                    <w:t>12</w:t>
                  </w:r>
                </w:sdtContent>
              </w:sdt>
              <w:r>
                <w:rPr>
                  <w:color w:val="000000"/>
                  <w:szCs w:val="24"/>
                </w:rPr>
                <w:t>. Neišmokėta dienpinigių už praėjusio kalendorinio mėnesio komandiruotės dienas dalis mokama kartu su darbo užmokesčiu nustatyta darbo užmokesčio mokėjimo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896e1fbc5caa416ab98925b4a8c61dba"/>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896e1fbc5caa416ab98925b4a8c61dba"/>
              <w:lock w:val="sdtLocked"/>
              <w:richText/>
            </w:sdtPr>
            <w:sdtContent>
              <w:r>
                <w:rPr>
                  <w:b/>
                  <w:szCs w:val="24"/>
                  <w:lang w:eastAsia="lt-LT"/>
                </w:rPr>
                <w:t xml:space="preserve">KOMANDIRUOČIŲ IŠLAIDŲ APMOKĖJIMO BIUDŽETINĖSE ĮSTAIGOSE IR REGIONŲ PLĖTROS TARYBOSE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b171f6821ba4239a12d0cf4ff82a76d"/>
                <w:lock w:val="sdtLocked"/>
                <w:richText/>
              </w:sdtPr>
              <w:sdtContent>
                <w:p>
                  <w:pPr>
                    <w:ind w:firstLine="720"/>
                    <w:jc w:val="both"/>
                    <w:rPr>
                      <w:szCs w:val="24"/>
                      <w:lang w:eastAsia="lt-LT"/>
                    </w:rPr>
                  </w:pPr>
                  <w:sdt>
                    <w:sdtPr>
                      <w:alias w:val="Numeris"/>
                      <w:tag w:val="nr_fb171f6821ba4239a12d0cf4ff82a76d"/>
                      <w:lock w:val="sdtLocked"/>
                      <w:richText/>
                    </w:sdtPr>
                    <w:sdtContent>
                      <w:r>
                        <w:rPr>
                          <w:szCs w:val="24"/>
                          <w:lang w:eastAsia="lt-LT"/>
                        </w:rPr>
                        <w:t>1</w:t>
                      </w:r>
                    </w:sdtContent>
                  </w:sdt>
                  <w:r>
                    <w:rPr>
                      <w:szCs w:val="24"/>
                      <w:lang w:eastAsia="lt-LT"/>
                    </w:rPr>
                    <w:t xml:space="preserve">. </w:t>
                  </w:r>
                  <w:r>
                    <w:rPr>
                      <w:lang w:eastAsia="lt-LT"/>
                    </w:rPr>
                    <w:t>Komandiruočių išlaidų apmokėjimo biudžetinėse įstaigose ir regionų plėtros tarybose taisyklės (toliau – Taisyklės) nustato komandiruočių išlaidų apmokėjimo biudžetinėse įstaigose ir regionų plėtros tarybose (toliau kartu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d83dff5a42ad4e84b41523ed43090679"/>
                    <w:lock w:val="sdtLocked"/>
                    <w:richText/>
                  </w:sdtPr>
                  <w:sdtContent>
                    <w:p>
                      <w:pPr>
                        <w:tabs>
                          <w:tab w:val="left" w:pos="1134"/>
                        </w:tabs>
                        <w:ind w:firstLine="720"/>
                        <w:jc w:val="both"/>
                        <w:rPr>
                          <w:lang w:eastAsia="lt-LT"/>
                        </w:rPr>
                      </w:pPr>
                      <w:sdt>
                        <w:sdtPr>
                          <w:alias w:val="Numeris"/>
                          <w:tag w:val="nr_d83dff5a42ad4e84b41523ed43090679"/>
                          <w:lock w:val="sdtLocked"/>
                          <w:richText/>
                        </w:sdtPr>
                        <w:sdtContent>
                          <w:r>
                            <w:rPr>
                              <w:szCs w:val="24"/>
                              <w:lang w:eastAsia="lt-LT"/>
                            </w:rPr>
                            <w:t>2.1</w:t>
                          </w:r>
                        </w:sdtContent>
                      </w:sdt>
                      <w:r>
                        <w:rPr>
                          <w:szCs w:val="24"/>
                          <w:lang w:eastAsia="lt-LT"/>
                        </w:rPr>
                        <w:t>. kaip ji apibrėžta Lietuvos Respublikos darbo kodekso (toliau – Kodeksas) 107 straipsnyje,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2 pp."/>
                    <w:tag w:val="part_237e1ddf74fa4106a94ca1bd5b3d2867"/>
                    <w:lock w:val="sdtLocked"/>
                    <w:richText/>
                  </w:sdtPr>
                  <w:sdtContent>
                    <w:p>
                      <w:pPr>
                        <w:ind w:firstLine="720"/>
                        <w:jc w:val="both"/>
                      </w:pPr>
                      <w:sdt>
                        <w:sdtPr>
                          <w:alias w:val="Numeris"/>
                          <w:tag w:val="nr_237e1ddf74fa4106a94ca1bd5b3d2867"/>
                          <w:lock w:val="sdtLocked"/>
                          <w:richText/>
                        </w:sdtPr>
                        <w:sdtContent>
                          <w:r>
                            <w:rPr>
                              <w:szCs w:val="24"/>
                              <w:lang w:eastAsia="lt-LT"/>
                            </w:rPr>
                            <w:t>2.2</w:t>
                          </w:r>
                        </w:sdtContent>
                      </w:sdt>
                      <w:r>
                        <w:rPr>
                          <w:szCs w:val="24"/>
                          <w:lang w:eastAsia="lt-LT"/>
                        </w:rPr>
                        <w:t>. valstybės politiko arba valstybės pareigūno, arba teisėjo, arba žvalgybos pareigūno, arba vidaus tarnybos sistemos pareigūno, arba valstybės tarnautojo, arba darbuotojo, dirbančio pagal darbo sutartį (toliau kartu – darbuotojas), išvykimas iš nuolatinės darbo vietos, kaip ji nurodyta Kodekso 34 straipsnio 4 dalyje, įstaigos vadovo arba jo įgalioto asmens siuntimu tobulinti kvalifikacijos ar mokytis,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9757068a111f1b53dfa020e517810">
                        <w:r w:rsidRPr="00532B9F">
                          <w:rPr>
                            <w:rFonts w:ascii="Times New Roman" w:eastAsia="MS Mincho" w:hAnsi="Times New Roman"/>
                            <w:sz w:val="20"/>
                            <w:i/>
                            <w:iCs/>
                            <w:color w:val="0000FF" w:themeColor="hyperlink"/>
                            <w:u w:val="single"/>
                          </w:rPr>
                          <w:t>449</w:t>
                        </w:r>
                      </w:fldSimple>
                      <w:r>
                        <w:rPr>
                          <w:rFonts w:ascii="Times New Roman" w:eastAsia="MS Mincho" w:hAnsi="Times New Roman"/>
                          <w:sz w:val="20"/>
                          <w:i/>
                          <w:iCs/>
                        </w:rPr>
                        <w:t>,
2026-06-10,
paskelbta TAR 2026-06-15, i. k. 2026-10351            </w:t>
                      </w:r>
                    </w:p>
                    <w:p/>
                  </w:sdtContent>
                </w:sdt>
                <w:sdt>
                  <w:sdtPr>
                    <w:alias w:val="2.3 pp."/>
                    <w:tag w:val="part_7725dbac9001431b8ff3e59bb829ff22"/>
                    <w:lock w:val="sdtLocked"/>
                    <w:richText/>
                  </w:sdtPr>
                  <w:sdtContent>
                    <w:p>
                      <w:pPr>
                        <w:tabs>
                          <w:tab w:val="center" w:pos="4153"/>
                          <w:tab w:val="right" w:pos="8306"/>
                        </w:tabs>
                        <w:ind w:firstLine="720"/>
                        <w:jc w:val="both"/>
                        <w:rPr>
                          <w:lang w:eastAsia="lt-LT"/>
                        </w:rPr>
                      </w:pPr>
                      <w:sdt>
                        <w:sdtPr>
                          <w:alias w:val="Numeris"/>
                          <w:tag w:val="nr_7725dbac9001431b8ff3e59bb829ff22"/>
                          <w:lock w:val="sdtLocked"/>
                          <w:richText/>
                        </w:sdtPr>
                        <w:sdtContent>
                          <w:r>
                            <w:rPr>
                              <w:szCs w:val="24"/>
                              <w:lang w:eastAsia="lt-LT"/>
                            </w:rPr>
                            <w:t>2.3</w:t>
                          </w:r>
                        </w:sdtContent>
                      </w:sdt>
                      <w:r>
                        <w:rPr>
                          <w:szCs w:val="24"/>
                          <w:lang w:eastAsia="lt-LT"/>
                        </w:rPr>
                        <w:t xml:space="preserve">. valstybės politiko, kuris yra regiono plėtros tarybos kolegijos narys, išvykimas už savivaldybės, kurios meras ar savivaldybės tarybos narys jis yra, ribų </w:t>
                      </w:r>
                      <w:r>
                        <w:rPr>
                          <w:color w:val="000000"/>
                        </w:rPr>
                        <w:t xml:space="preserve">atlikti </w:t>
                      </w:r>
                      <w:r>
                        <w:rPr>
                          <w:lang w:eastAsia="lt-LT"/>
                        </w:rPr>
                        <w:t>Lietuvos Respublikos regioninės plėtros</w:t>
                      </w:r>
                      <w:r>
                        <w:rPr>
                          <w:color w:val="000000"/>
                        </w:rPr>
                        <w:t xml:space="preserve"> įstatymo 24 straipsnio 2 dalies 4 punkte nustatytą kolegijos pirmininko pareigą, kolegijos sprendimu atstovauti regiono plėtros tarybai ar kolegijos sprendimu dalyvauti veikloje, skirtoje kolegijos nario pareigoms atlikti reikalingai kolegijos nario kvalifikacijai tobulinti,</w:t>
                      </w:r>
                      <w:r>
                        <w:rPr>
                          <w:szCs w:val="24"/>
                          <w:lang w:eastAsia="lt-LT"/>
                        </w:rPr>
                        <w:t xml:space="preserv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4 pp."/>
                    <w:tag w:val="part_cec9d9854c574e3483604c9a095adee6"/>
                    <w:lock w:val="sdtLocked"/>
                    <w:richText/>
                  </w:sdtPr>
                  <w:sdtContent>
                    <w:p>
                      <w:pPr>
                        <w:ind w:firstLine="720"/>
                        <w:jc w:val="both"/>
                        <w:rPr>
                          <w:szCs w:val="24"/>
                          <w:lang w:eastAsia="lt-LT"/>
                        </w:rPr>
                      </w:pPr>
                      <w:sdt>
                        <w:sdtPr>
                          <w:alias w:val="Numeris"/>
                          <w:tag w:val="nr_cec9d9854c574e3483604c9a095adee6"/>
                          <w:lock w:val="sdtLocked"/>
                          <w:richText/>
                        </w:sdtPr>
                        <w:sdtContent>
                          <w:r>
                            <w:rPr>
                              <w:szCs w:val="24"/>
                            </w:rPr>
                            <w:t>2.4</w:t>
                          </w:r>
                        </w:sdtContent>
                      </w:sdt>
                      <w:r>
                        <w:rPr>
                          <w:color w:val="000000"/>
                          <w:szCs w:val="24"/>
                          <w:lang w:eastAsia="lt-LT"/>
                        </w:rPr>
                        <w:t xml:space="preserve">. kario ar </w:t>
                      </w:r>
                      <w:r>
                        <w:rPr>
                          <w:bCs/>
                          <w:color w:val="000000"/>
                          <w:szCs w:val="24"/>
                        </w:rPr>
                        <w:t>krašto apsaugos sistemos valstybės tarnautojo, žvalgybos pareigūno</w:t>
                      </w:r>
                      <w:r>
                        <w:rPr>
                          <w:color w:val="000000"/>
                          <w:szCs w:val="24"/>
                          <w:lang w:eastAsia="lt-LT"/>
                        </w:rPr>
                        <w:t xml:space="preserve"> ar darbuotojo, </w:t>
                      </w:r>
                      <w:r>
                        <w:rPr>
                          <w:bCs/>
                          <w:color w:val="000000"/>
                          <w:szCs w:val="24"/>
                        </w:rPr>
                        <w:t>dirbančio pagal darbo sutartį,</w:t>
                      </w:r>
                      <w:r>
                        <w:rPr>
                          <w:color w:val="000000"/>
                          <w:szCs w:val="24"/>
                          <w:lang w:eastAsia="lt-LT"/>
                        </w:rPr>
                        <w:t xml:space="preserve"> išvykimas už Lietuvos Respublikos teritorijos ribų, kai karys </w:t>
                      </w:r>
                      <w:r>
                        <w:rPr>
                          <w:szCs w:val="24"/>
                        </w:rPr>
                        <w:t xml:space="preserve">ar </w:t>
                      </w:r>
                      <w:r>
                        <w:rPr>
                          <w:bCs/>
                          <w:szCs w:val="24"/>
                        </w:rPr>
                        <w:t xml:space="preserve">krašto apsaugos sistemos valstybės tarnautojas, žvalgybos pareigūnas ar </w:t>
                      </w:r>
                      <w:r>
                        <w:rPr>
                          <w:szCs w:val="24"/>
                        </w:rPr>
                        <w:t>darbuotojas</w:t>
                      </w:r>
                      <w:r>
                        <w:rPr>
                          <w:bCs/>
                          <w:szCs w:val="24"/>
                        </w:rPr>
                        <w:t xml:space="preserve">, dirbantis pagal darbo sutartį, </w:t>
                      </w:r>
                      <w:r>
                        <w:rPr>
                          <w:color w:val="000000"/>
                          <w:szCs w:val="24"/>
                          <w:lang w:eastAsia="lt-LT"/>
                        </w:rPr>
                        <w:t xml:space="preserve">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 </w:t>
                      </w:r>
                      <w:r>
                        <w:rPr>
                          <w:color w:val="000000"/>
                          <w:szCs w:val="24"/>
                        </w:rPr>
                        <w:t xml:space="preserve">Komandiruotės metu </w:t>
                      </w:r>
                      <w:r>
                        <w:rPr>
                          <w:bCs/>
                          <w:color w:val="000000"/>
                          <w:szCs w:val="24"/>
                        </w:rPr>
                        <w:t xml:space="preserve">krašto apsaugos sistemos valstybės tarnautojui, žvalgybos pareigūnui ar </w:t>
                      </w:r>
                      <w:r>
                        <w:rPr>
                          <w:color w:val="000000"/>
                          <w:szCs w:val="24"/>
                        </w:rPr>
                        <w:t>darbuotojui</w:t>
                      </w:r>
                      <w:r>
                        <w:rPr>
                          <w:bCs/>
                          <w:color w:val="000000"/>
                          <w:szCs w:val="24"/>
                        </w:rPr>
                        <w:t>, dirbančiam pagal darbo sutartį</w:t>
                      </w:r>
                      <w:r>
                        <w:rPr>
                          <w:color w:val="000000"/>
                          <w:szCs w:val="24"/>
                          <w:lang w:eastAsia="lt-LT"/>
                        </w:rPr>
                        <w:t>, kai jis siunčiamas vykdyti tarnybinių užduočių tarptautinės operacijos vietovėje, taikomas Lietuvos Respublikos krašto apsaugos sistemos organizavimo ir karo tarnybos įstatymo 61</w:t>
                      </w:r>
                      <w:r>
                        <w:rPr>
                          <w:color w:val="000000"/>
                          <w:szCs w:val="24"/>
                          <w:vertAlign w:val="superscript"/>
                          <w:lang w:eastAsia="lt-LT"/>
                        </w:rPr>
                        <w:t>2</w:t>
                      </w:r>
                      <w:r>
                        <w:rPr>
                          <w:color w:val="000000"/>
                          <w:szCs w:val="24"/>
                          <w:lang w:eastAsia="lt-LT"/>
                        </w:rPr>
                        <w:t> straipsnyje nustatytas tarnybos apmokėjimas.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85505029da11e9b66f85227a03f7a3">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2019-01-30,
paskelbta TAR 2019-02-06, i. k. 2019-01813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e8efa94e8a2543868d38bfaf62d262df"/>
                <w:lock w:val="sdtLocked"/>
                <w:richText/>
              </w:sdtPr>
              <w:sdtContent>
                <w:p>
                  <w:pPr>
                    <w:tabs>
                      <w:tab w:val="num" w:pos="993"/>
                      <w:tab w:val="num" w:pos="2880"/>
                    </w:tabs>
                    <w:ind w:firstLine="720"/>
                    <w:jc w:val="both"/>
                    <w:rPr>
                      <w:szCs w:val="24"/>
                      <w:lang w:eastAsia="lt-LT"/>
                    </w:rPr>
                  </w:pPr>
                  <w:sdt>
                    <w:sdtPr>
                      <w:alias w:val="Numeris"/>
                      <w:tag w:val="nr_e8efa94e8a2543868d38bfaf62d262df"/>
                      <w:lock w:val="sdtLocked"/>
                      <w:richText/>
                    </w:sdtPr>
                    <w:sdtContent>
                      <w:r>
                        <w:rPr>
                          <w:szCs w:val="24"/>
                          <w:lang w:eastAsia="lt-LT"/>
                        </w:rPr>
                        <w:t>3</w:t>
                      </w:r>
                    </w:sdtContent>
                  </w:sdt>
                  <w:r>
                    <w:rPr>
                      <w:szCs w:val="24"/>
                      <w:lang w:eastAsia="lt-LT"/>
                    </w:rPr>
                    <w:t xml:space="preserve">. Pasiųstam į komandiruotę darbuotojui per visą komandiruotės laiką paliekama darbo vieta (pareigos) ir darbo užmokestis. Regiono plėtros tarybos kolegijos nariui atlyginimas komandiruotės metu mokamas </w:t>
                  </w:r>
                  <w:r>
                    <w:rPr>
                      <w:color w:val="000000"/>
                    </w:rPr>
                    <w:t>už darbo laiką atliekant kolegijos nario pareigas, </w:t>
                  </w:r>
                  <w:r>
                    <w:rPr>
                      <w:szCs w:val="24"/>
                      <w:lang w:eastAsia="lt-LT"/>
                    </w:rPr>
                    <w:t>vadovaujantis Regioninės plėtros įstatymo 25 straipsnio 1–3 ir 5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4 p."/>
                <w:tag w:val="part_b47dbe7bb85340faa71338203f36115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2022-03-31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 p."/>
                <w:tag w:val="part_4dbef2ee2fab47db9146537a488fc596"/>
                <w:lock w:val="sdtLocked"/>
                <w:richText/>
              </w:sdtPr>
              <w:sdtContent>
                <w:p>
                  <w:pPr>
                    <w:ind w:firstLine="720"/>
                    <w:jc w:val="both"/>
                    <w:rPr>
                      <w:szCs w:val="24"/>
                      <w:lang w:eastAsia="lt-LT"/>
                    </w:rPr>
                  </w:pPr>
                  <w:sdt>
                    <w:sdtPr>
                      <w:alias w:val="Numeris"/>
                      <w:tag w:val="nr_4dbef2ee2fab47db9146537a488fc596"/>
                      <w:lock w:val="sdtLocked"/>
                      <w:richText/>
                    </w:sdtPr>
                    <w:sdtContent>
                      <w:r>
                        <w:rPr>
                          <w:lang w:eastAsia="lt-LT"/>
                        </w:rPr>
                        <w:t>5</w:t>
                      </w:r>
                    </w:sdtContent>
                  </w:sdt>
                  <w:r>
                    <w:rPr>
                      <w:lang w:eastAsia="lt-LT"/>
                    </w:rPr>
                    <w:t>. Siuntimas į komandiruotę įstaigoje turi būti įformintas taip, kad būtų aiškus sprendimą dėl siuntimo į komandiruotę priėmęs subjektas (įstaigos vadovas ar kitas jo įgaliotas asmuo arba, kai į komandiruotę siunčiamas regiono plėtros tarybos kolegijos narys, – atitinkamos regiono plėtros tarybos kolegija), komandiruojamas asmuo (vardas, pavardė, pareigos), komandiruotės dienos, vieta (vietos), į kurią (kurias) komandiruojama, komandiruotės tikslas, su komandiruote susijusios išlaidos (toliau – komandiruotės išlaidos), kurias apmoka įstaiga, jeigu bus 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1 p."/>
                <w:tag w:val="part_fff2c708463a4fcd8e41178e365cc2d1"/>
                <w:lock w:val="sdtLocked"/>
                <w:richText/>
              </w:sdtPr>
              <w:sdtContent>
                <w:p>
                  <w:pPr>
                    <w:ind w:firstLine="720"/>
                    <w:jc w:val="both"/>
                    <w:rPr>
                      <w:szCs w:val="24"/>
                      <w:lang w:eastAsia="lt-LT"/>
                    </w:rPr>
                  </w:pPr>
                  <w:sdt>
                    <w:sdtPr>
                      <w:alias w:val="Numeris"/>
                      <w:tag w:val="nr_fff2c708463a4fcd8e41178e365cc2d1"/>
                      <w:lock w:val="sdtLocked"/>
                      <w:richText/>
                    </w:sdtPr>
                    <w:sdtContent>
                      <w:r>
                        <w:rPr>
                          <w:lang w:eastAsia="lt-LT"/>
                        </w:rPr>
                        <w:t>5</w:t>
                      </w:r>
                      <w:r>
                        <w:rPr>
                          <w:vertAlign w:val="superscript"/>
                          <w:lang w:eastAsia="lt-LT"/>
                        </w:rPr>
                        <w:t>1</w:t>
                      </w:r>
                    </w:sdtContent>
                  </w:sdt>
                  <w:r>
                    <w:rPr>
                      <w:lang w:eastAsia="lt-LT"/>
                    </w:rPr>
                    <w:t>.</w:t>
                  </w:r>
                  <w:r>
                    <w:rPr>
                      <w:vertAlign w:val="superscript"/>
                      <w:lang w:eastAsia="lt-LT"/>
                    </w:rPr>
                    <w:t xml:space="preserve"> </w:t>
                  </w:r>
                  <w:r>
                    <w:rPr>
                      <w:lang w:eastAsia="lt-LT"/>
                    </w:rPr>
                    <w:t>Jeigu dėl objektyvių priežasčių iš komandiruotės grįžtama vėliau negu sprendime dėl siuntimo į komandiruotę nurodytą komandiruotės paskutinę dieną, į komandiruotės laiką įskaitomas faktinio grįžimo iš komandiruotės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6 p."/>
                <w:tag w:val="part_89f85ba73e364db3b56f22df09e6ba69"/>
                <w:lock w:val="sdtLocked"/>
                <w:richText/>
              </w:sdtPr>
              <w:sdtContent>
                <w:p>
                  <w:pPr>
                    <w:tabs>
                      <w:tab w:val="num" w:pos="709"/>
                      <w:tab w:val="left" w:pos="993"/>
                      <w:tab w:val="num" w:pos="2880"/>
                    </w:tabs>
                    <w:ind w:firstLine="720"/>
                    <w:jc w:val="both"/>
                    <w:rPr>
                      <w:lang w:eastAsia="lt-LT"/>
                    </w:rPr>
                  </w:pPr>
                  <w:sdt>
                    <w:sdtPr>
                      <w:alias w:val="Numeris"/>
                      <w:tag w:val="nr_89f85ba73e364db3b56f22df09e6ba69"/>
                      <w:lock w:val="sdtLocked"/>
                      <w:richText/>
                    </w:sdtPr>
                    <w:sdtContent>
                      <w:r>
                        <w:rPr>
                          <w:lang w:eastAsia="lt-LT"/>
                        </w:rPr>
                        <w:t>6</w:t>
                      </w:r>
                    </w:sdtContent>
                  </w:sdt>
                  <w:r>
                    <w:rPr>
                      <w:lang w:eastAsia="lt-LT"/>
                    </w:rPr>
                    <w:t>. Grįžęs iš komandiruotės darbuotojas privalo jį komandiravusiai įstaigai pateikti:</w:t>
                  </w:r>
                </w:p>
                <w:sdt>
                  <w:sdtPr>
                    <w:alias w:val="6.1 pp."/>
                    <w:tag w:val="part_c8395646f7a648a68cfa071142196509"/>
                    <w:lock w:val="sdtLocked"/>
                    <w:richText/>
                  </w:sdtPr>
                  <w:sdtContent>
                    <w:p>
                      <w:pPr>
                        <w:ind w:firstLine="720"/>
                        <w:jc w:val="both"/>
                        <w:rPr>
                          <w:lang w:eastAsia="lt-LT"/>
                        </w:rPr>
                      </w:pPr>
                      <w:sdt>
                        <w:sdtPr>
                          <w:alias w:val="Numeris"/>
                          <w:tag w:val="nr_c8395646f7a648a68cfa071142196509"/>
                          <w:lock w:val="sdtLocked"/>
                          <w:richText/>
                        </w:sdtPr>
                        <w:sdtContent>
                          <w:r>
                            <w:rPr>
                              <w:lang w:eastAsia="lt-LT"/>
                            </w:rPr>
                            <w:t>6.1</w:t>
                          </w:r>
                        </w:sdtContent>
                      </w:sdt>
                      <w:r>
                        <w:rPr>
                          <w:lang w:eastAsia="lt-LT"/>
                        </w:rPr>
                        <w:t>. per 3 darbo dienas – komandiruotės metu patirtų faktinių išlaidų ataskaitą ir šių išlaidų pagrindimo dokumentus, o jeigu darbuotojui buvo išmokėtas komandiruotės išlaidų avansas, – grąžinti nepanaudotą avanso likutį;</w:t>
                      </w:r>
                    </w:p>
                  </w:sdtContent>
                </w:sdt>
                <w:sdt>
                  <w:sdtPr>
                    <w:alias w:val="6.2 pp."/>
                    <w:tag w:val="part_418dd04b68964abea7eab1120d30c74c"/>
                    <w:lock w:val="sdtLocked"/>
                    <w:richText/>
                  </w:sdtPr>
                  <w:sdtContent>
                    <w:p>
                      <w:pPr>
                        <w:ind w:firstLine="720"/>
                        <w:jc w:val="both"/>
                        <w:rPr>
                          <w:szCs w:val="24"/>
                          <w:lang w:eastAsia="lt-LT"/>
                        </w:rPr>
                      </w:pPr>
                      <w:sdt>
                        <w:sdtPr>
                          <w:alias w:val="Numeris"/>
                          <w:tag w:val="nr_418dd04b68964abea7eab1120d30c74c"/>
                          <w:lock w:val="sdtLocked"/>
                          <w:richText/>
                        </w:sdtPr>
                        <w:sdtContent>
                          <w:r>
                            <w:rPr>
                              <w:lang w:eastAsia="lt-LT"/>
                            </w:rPr>
                            <w:t>6.2</w:t>
                          </w:r>
                        </w:sdtContent>
                      </w:sdt>
                      <w:r>
                        <w:rPr>
                          <w:lang w:eastAsia="lt-LT"/>
                        </w:rPr>
                        <w:t>. atliktų užduočių, įvykdytų pavedimų ir pasiektų komandiruotės tikslų ataskaitą, kurios pateikimo tvarką ir terminą nustato komandiravusi įstaiga vietiniame norminiame arba vidaus administravimą reglamentuojančiame teisės akte, išskyrus ataskaitas, teikiamas pagal Europos Sąjungos reikalų koordinavimo taisykles, patvirtintas Lietuvos Respublikos Vyriausybės 2004 m. sausio 9 d. nutarimu Nr. 21 „Dėl Europos Sąjungos reikalų koordinavimo“.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26afe2e8b2c24cba85b397c7db5658d4"/>
                <w:lock w:val="sdtLocked"/>
                <w:richText/>
              </w:sdtPr>
              <w:sdtContent>
                <w:p>
                  <w:pPr>
                    <w:ind w:firstLine="720"/>
                    <w:jc w:val="both"/>
                    <w:rPr>
                      <w:lang w:eastAsia="lt-LT"/>
                    </w:rPr>
                  </w:pPr>
                  <w:sdt>
                    <w:sdtPr>
                      <w:alias w:val="Numeris"/>
                      <w:tag w:val="nr_26afe2e8b2c24cba85b397c7db5658d4"/>
                      <w:lock w:val="sdtLocked"/>
                      <w:richText/>
                    </w:sdtPr>
                    <w:sdtContent>
                      <w:r>
                        <w:rPr>
                          <w:lang w:eastAsia="lt-LT"/>
                        </w:rPr>
                        <w:t>7</w:t>
                      </w:r>
                    </w:sdtContent>
                  </w:sdt>
                  <w:r>
                    <w:rPr>
                      <w:lang w:eastAsia="lt-LT"/>
                    </w:rPr>
                    <w:t>. Kai darbuotojas siunčiamas į komandiruotę į užsienio valstybę (valstybes, miestą), jam apmokamos šios komandiruotės išlaidos:</w:t>
                  </w:r>
                </w:p>
                <w:sdt>
                  <w:sdtPr>
                    <w:alias w:val="7.1 pp."/>
                    <w:tag w:val="part_59f8ca4c4c1b44cb829d53b0667f0e21"/>
                    <w:lock w:val="sdtLocked"/>
                    <w:richText/>
                  </w:sdtPr>
                  <w:sdtContent>
                    <w:p>
                      <w:pPr>
                        <w:ind w:firstLine="720"/>
                        <w:jc w:val="both"/>
                        <w:rPr>
                          <w:lang w:eastAsia="lt-LT"/>
                        </w:rPr>
                      </w:pPr>
                      <w:sdt>
                        <w:sdtPr>
                          <w:alias w:val="Numeris"/>
                          <w:tag w:val="nr_59f8ca4c4c1b44cb829d53b0667f0e21"/>
                          <w:lock w:val="sdtLocked"/>
                          <w:richText/>
                        </w:sdtPr>
                        <w:sdtContent>
                          <w:r>
                            <w:rPr>
                              <w:lang w:eastAsia="lt-LT"/>
                            </w:rPr>
                            <w:t>7.1</w:t>
                          </w:r>
                        </w:sdtContent>
                      </w:sdt>
                      <w:r>
                        <w:rPr>
                          <w:lang w:eastAsia="lt-LT"/>
                        </w:rPr>
                        <w:t>. dienpinigiai pagal šiuo Lietuvos Respublikos Vyriausybės nutarimu patvirtintus Maksimalių dienpinigių dydžių sąrašą ir Dienpinigių mokėjimo tvarkos aprašą;</w:t>
                      </w:r>
                    </w:p>
                  </w:sdtContent>
                </w:sdt>
                <w:sdt>
                  <w:sdtPr>
                    <w:alias w:val="7.2 pp."/>
                    <w:tag w:val="part_a86dcda9bc7b4542948dd145d0794953"/>
                    <w:lock w:val="sdtLocked"/>
                    <w:richText/>
                  </w:sdtPr>
                  <w:sdtContent>
                    <w:p>
                      <w:pPr>
                        <w:ind w:firstLine="720"/>
                        <w:jc w:val="both"/>
                        <w:rPr>
                          <w:lang w:eastAsia="lt-LT"/>
                        </w:rPr>
                      </w:pPr>
                      <w:sdt>
                        <w:sdtPr>
                          <w:alias w:val="Numeris"/>
                          <w:tag w:val="nr_a86dcda9bc7b4542948dd145d0794953"/>
                          <w:lock w:val="sdtLocked"/>
                          <w:richText/>
                        </w:sdtPr>
                        <w:sdtContent>
                          <w:r>
                            <w:rPr>
                              <w:lang w:eastAsia="lt-LT"/>
                            </w:rPr>
                            <w:t>7.2</w:t>
                          </w:r>
                        </w:sdtContent>
                      </w:sdt>
                      <w:r>
                        <w:rPr>
                          <w:lang w:eastAsia="lt-LT"/>
                        </w:rPr>
                        <w:t xml:space="preserve">. gyvenamojo ploto nuomos išlaidos pagal Taisyklių priede nustatytas gyvenamojo ploto nuomos išlaidų normas (įskaitant į apgyvendinimo paslaugas teikiančių fizinių ar juridinių asmenų išrašytus finansinės apskaitos dokumentus, kaip jie apibrėžiami Lietuvos Respublikos finansinės apskaitos įstatyme, (toliau – finansinės apskaitos dokumentai) įtrauktas pusryčių išlaidas, jeigu bendra finansinės apskaitos dokumente nurodyta suma neviršija Taisyklių priede nustatytos gyvenamojo ploto nuomos išlaidų normos), išskyrus Taisyklių 11.2 papunktyje nurodytus atvejus; </w:t>
                      </w:r>
                    </w:p>
                  </w:sdtContent>
                </w:sdt>
                <w:sdt>
                  <w:sdtPr>
                    <w:alias w:val="7.3 pp."/>
                    <w:tag w:val="part_71b3f3c0a58848898bc0a51b6049ee40"/>
                    <w:lock w:val="sdtLocked"/>
                    <w:richText/>
                  </w:sdtPr>
                  <w:sdtContent>
                    <w:p>
                      <w:pPr>
                        <w:ind w:firstLine="720"/>
                        <w:jc w:val="both"/>
                        <w:rPr>
                          <w:lang w:eastAsia="lt-LT"/>
                        </w:rPr>
                      </w:pPr>
                      <w:sdt>
                        <w:sdtPr>
                          <w:alias w:val="Numeris"/>
                          <w:tag w:val="nr_71b3f3c0a58848898bc0a51b6049ee40"/>
                          <w:lock w:val="sdtLocked"/>
                          <w:richText/>
                        </w:sdtPr>
                        <w:sdtContent>
                          <w:r>
                            <w:rPr>
                              <w:lang w:eastAsia="lt-LT"/>
                            </w:rPr>
                            <w:t>7.3</w:t>
                          </w:r>
                        </w:sdtContent>
                      </w:sdt>
                      <w:r>
                        <w:rPr>
                          <w:lang w:eastAsia="lt-LT"/>
                        </w:rPr>
                        <w:t>. transporto išlaidos, susijusios su komandiruotės tikslais:</w:t>
                      </w:r>
                    </w:p>
                    <w:sdt>
                      <w:sdtPr>
                        <w:alias w:val="7.3.1 pp."/>
                        <w:tag w:val="part_e28d14ca01e3425aafda6b1ee5892e1f"/>
                        <w:lock w:val="sdtLocked"/>
                        <w:richText/>
                      </w:sdtPr>
                      <w:sdtContent>
                        <w:p>
                          <w:pPr>
                            <w:ind w:firstLine="720"/>
                            <w:jc w:val="both"/>
                            <w:rPr>
                              <w:lang w:eastAsia="lt-LT"/>
                            </w:rPr>
                          </w:pPr>
                          <w:sdt>
                            <w:sdtPr>
                              <w:alias w:val="Numeris"/>
                              <w:tag w:val="nr_e28d14ca01e3425aafda6b1ee5892e1f"/>
                              <w:lock w:val="sdtLocked"/>
                              <w:richText/>
                            </w:sdtPr>
                            <w:sdtContent>
                              <w:r>
                                <w:rPr>
                                  <w:lang w:eastAsia="lt-LT"/>
                                </w:rPr>
                                <w:t>7.3.1</w:t>
                              </w:r>
                            </w:sdtContent>
                          </w:sdt>
                          <w:r>
                            <w:rPr>
                              <w:lang w:eastAsia="lt-LT"/>
                            </w:rPr>
                            <w:t>. kelionės į užsienio valstybę (valstybes, miestą) ir grįžimo iš jos (jų, jo) komandiruotės dienomis visų rūšių transporto priemonėmis, išskyrus lengvuosius automobilius taksi</w:t>
                          </w:r>
                          <w:r>
                            <w:rPr>
                              <w:b/>
                              <w:bCs/>
                              <w:lang w:eastAsia="lt-LT"/>
                            </w:rPr>
                            <w:t xml:space="preserve"> </w:t>
                          </w:r>
                          <w:r>
                            <w:rPr>
                              <w:lang w:eastAsia="lt-LT"/>
                            </w:rPr>
                            <w:t>ir lengvuosius automobilius, kuriais vykdoma keleivių vežimo už atlygį pagal užsakymą veikla</w:t>
                          </w:r>
                          <w:r>
                            <w:rPr>
                              <w:b/>
                              <w:bCs/>
                              <w:lang w:eastAsia="lt-LT"/>
                            </w:rPr>
                            <w:t xml:space="preserve"> </w:t>
                          </w:r>
                          <w:r>
                            <w:rPr>
                              <w:lang w:eastAsia="lt-LT"/>
                            </w:rPr>
                            <w:t>ar kurie naudojami dalijimosi automobiliu paslaugai, leidžiančiai išsinuomoti ir grąžinti automobilį mieste esančiuose viešuose automobilių laikymo punktuose, (toliau – dalijimosi automobiliu paslauga);</w:t>
                          </w:r>
                        </w:p>
                      </w:sdtContent>
                    </w:sdt>
                    <w:sdt>
                      <w:sdtPr>
                        <w:alias w:val="7.3.2 pp."/>
                        <w:tag w:val="part_43a21fd1c1e3400ca5662a5ebce107f6"/>
                        <w:lock w:val="sdtLocked"/>
                        <w:richText/>
                      </w:sdtPr>
                      <w:sdtContent>
                        <w:p>
                          <w:pPr>
                            <w:ind w:firstLine="720"/>
                            <w:jc w:val="both"/>
                            <w:rPr>
                              <w:lang w:eastAsia="lt-LT"/>
                            </w:rPr>
                          </w:pPr>
                          <w:sdt>
                            <w:sdtPr>
                              <w:alias w:val="Numeris"/>
                              <w:tag w:val="nr_43a21fd1c1e3400ca5662a5ebce107f6"/>
                              <w:lock w:val="sdtLocked"/>
                              <w:richText/>
                            </w:sdtPr>
                            <w:sdtContent>
                              <w:r>
                                <w:rPr>
                                  <w:lang w:eastAsia="lt-LT"/>
                                </w:rPr>
                                <w:t>7.3.2</w:t>
                              </w:r>
                            </w:sdtContent>
                          </w:sdt>
                          <w:r>
                            <w:rPr>
                              <w:lang w:eastAsia="lt-LT"/>
                            </w:rPr>
                            <w:t>. užsienio valstybės (miesto) teritorijoje visų rūšių transporto priemonėmis;</w:t>
                          </w:r>
                        </w:p>
                      </w:sdtContent>
                    </w:sdt>
                    <w:sdt>
                      <w:sdtPr>
                        <w:alias w:val="7.3.3 pp."/>
                        <w:tag w:val="part_1575e7de08b240d895a6cb0ae31b9787"/>
                        <w:lock w:val="sdtLocked"/>
                        <w:richText/>
                      </w:sdtPr>
                      <w:sdtContent>
                        <w:p>
                          <w:pPr>
                            <w:ind w:firstLine="720"/>
                            <w:jc w:val="both"/>
                            <w:rPr>
                              <w:lang w:eastAsia="lt-LT"/>
                            </w:rPr>
                          </w:pPr>
                          <w:sdt>
                            <w:sdtPr>
                              <w:alias w:val="Numeris"/>
                              <w:tag w:val="nr_1575e7de08b240d895a6cb0ae31b9787"/>
                              <w:lock w:val="sdtLocked"/>
                              <w:richText/>
                            </w:sdtPr>
                            <w:sdtContent>
                              <w:r>
                                <w:rPr>
                                  <w:lang w:eastAsia="lt-LT"/>
                                </w:rPr>
                                <w:t>7.3.3</w:t>
                              </w:r>
                            </w:sdtContent>
                          </w:sdt>
                          <w:r>
                            <w:rPr>
                              <w:lang w:eastAsia="lt-LT"/>
                            </w:rPr>
                            <w:t>. nuvykimo visų rūšių transporto priemonėmis Lietuvos Respublikos teritorijoje, o darbuotojams, perkeltiems į rezidavimo vietą – į kitas pareigas Lietuvos Respublikos diplomatinėse atstovybėse, konsulinėse įstaigose ir specialiosiose misijose,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(lengvuoju automobiliu taksi ir lengvuoju automobiliu, kuriuo vykdoma keleivių vežimo už atlygį pagal užsakymą veikla ar kuris naudojamas dalijimosi automobiliu paslaugai, – tik kiek tai susiję su nuvykimu į oro ar jūrų uostą, geležinkelio ar autobusų stotį savivaldybės, kurioje jie yra, ir su ja besiribojančių savivaldybių teritorijose ir parvykimu iš jų, jeigu sprendimą dėl siuntimo į komandiruotę priėmęs subjektas (įstaigos vadovas ar kitas jo įgaliotas asmuo arba, kai į komandiruotę siunčiamas regiono plėtros tarybos kolegijos narys, – atitinkamos regiono plėtros tarybos kolegija), vadovaudamasis kolektyvinėje sutartyje, o jeigu jos nėra, – vietiniame norminiame arba vidaus administravimą reglamentuojančiame teisės akte nustatytais atvejais ir tvarka, nenusprendžia kitaip). Apmokant Lietuvos Respublikos saugios laivybos įstatymo 4 straipsnio 3 dalyje nurodytas darbuotojo išlaidas, netaikomas šiame papunktyje nustatytas apribojimas dėl naudojimosi lengvaisiais automobiliais taksi, lengvaisiais automobiliais, kuriais vykdoma keleivių vežimo už atlygį pagal užsakymą veikla ar kurie naudojami dalijimosi automobiliu paslaugai;</w:t>
                          </w:r>
                        </w:p>
                      </w:sdtContent>
                    </w:sdt>
                  </w:sdtContent>
                </w:sdt>
                <w:sdt>
                  <w:sdtPr>
                    <w:alias w:val="7.4 pp."/>
                    <w:tag w:val="part_709ef67b8a7e460ba07da63c2f5459c5"/>
                    <w:lock w:val="sdtLocked"/>
                    <w:richText/>
                  </w:sdtPr>
                  <w:sdtContent>
                    <w:p>
                      <w:pPr>
                        <w:ind w:firstLine="720"/>
                        <w:jc w:val="both"/>
                        <w:rPr>
                          <w:lang w:eastAsia="lt-LT"/>
                        </w:rPr>
                      </w:pPr>
                      <w:sdt>
                        <w:sdtPr>
                          <w:alias w:val="Numeris"/>
                          <w:tag w:val="nr_709ef67b8a7e460ba07da63c2f5459c5"/>
                          <w:lock w:val="sdtLocked"/>
                          <w:richText/>
                        </w:sdtPr>
                        <w:sdtContent>
                          <w:r>
                            <w:rPr>
                              <w:lang w:eastAsia="lt-LT"/>
                            </w:rPr>
                            <w:t>7.4</w:t>
                          </w:r>
                        </w:sdtContent>
                      </w:sdt>
                      <w:r>
                        <w:rPr>
                          <w:lang w:eastAsia="lt-LT"/>
                        </w:rPr>
                        <w:t>. 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p."/>
                    <w:tag w:val="part_4bb9df8d28dd4a2aa64b0ca0d3e623f0"/>
                    <w:lock w:val="sdtLocked"/>
                    <w:richText/>
                  </w:sdtPr>
                  <w:sdtContent>
                    <w:p>
                      <w:pPr>
                        <w:ind w:firstLine="720"/>
                        <w:jc w:val="both"/>
                        <w:rPr>
                          <w:lang w:eastAsia="lt-LT"/>
                        </w:rPr>
                      </w:pPr>
                      <w:sdt>
                        <w:sdtPr>
                          <w:alias w:val="Numeris"/>
                          <w:tag w:val="nr_4bb9df8d28dd4a2aa64b0ca0d3e623f0"/>
                          <w:lock w:val="sdtLocked"/>
                          <w:richText/>
                        </w:sdtPr>
                        <w:sdtContent>
                          <w:r>
                            <w:rPr>
                              <w:lang w:eastAsia="lt-LT"/>
                            </w:rPr>
                            <w:t>7.5</w:t>
                          </w:r>
                        </w:sdtContent>
                      </w:sdt>
                      <w:r>
                        <w:rPr>
                          <w:lang w:eastAsia="lt-LT"/>
                        </w:rPr>
                        <w:t>. mokėjimo už kelius, taip pat transporto priemonės draudimo ir transporto priemonių savininkų ir valdytojų civilinės atsakomybės draudimo išlaidos;</w:t>
                      </w:r>
                    </w:p>
                  </w:sdtContent>
                </w:sdt>
                <w:sdt>
                  <w:sdtPr>
                    <w:alias w:val="7.6 pp."/>
                    <w:tag w:val="part_e5868cdb96cd4fdf8cfc0b70b44daf38"/>
                    <w:lock w:val="sdtLocked"/>
                    <w:richText/>
                  </w:sdtPr>
                  <w:sdtContent>
                    <w:p>
                      <w:pPr>
                        <w:ind w:firstLine="720"/>
                        <w:jc w:val="both"/>
                        <w:rPr>
                          <w:rFonts w:eastAsia="Calibri"/>
                          <w:szCs w:val="22"/>
                          <w:lang w:eastAsia="lt-LT"/>
                        </w:rPr>
                      </w:pPr>
                      <w:sdt>
                        <w:sdtPr>
                          <w:alias w:val="Numeris"/>
                          <w:tag w:val="nr_e5868cdb96cd4fdf8cfc0b70b44daf38"/>
                          <w:lock w:val="sdtLocked"/>
                          <w:richText/>
                        </w:sdtPr>
                        <w:sdtContent>
                          <w:r>
                            <w:rPr>
                              <w:rFonts w:eastAsia="Calibri"/>
                              <w:szCs w:val="22"/>
                              <w:lang w:eastAsia="lt-LT"/>
                            </w:rPr>
                            <w:t>7.6</w:t>
                          </w:r>
                        </w:sdtContent>
                      </w:sdt>
                      <w:r>
                        <w:rPr>
                          <w:rFonts w:eastAsia="Calibri"/>
                          <w:szCs w:val="22"/>
                          <w:lang w:eastAsia="lt-LT"/>
                        </w:rPr>
                        <w:t>. komandiruotės metu sunaudotų degalų ar elektros energijos įsigijimo išlaidos, atsižvelgiant į komandiruotės metu nuvažiuotų kilometrų skaičių ir įstaigos patvirtintas degalų ir elektros energijos sunaudojimo normas atitinkamai transporto priemonei pagal atitinkamos transporto priemonės gamintojo nurodytus transporto priemonės techninius duomenis (degalų ar elektros energijos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p>
                  </w:sdtContent>
                </w:sdt>
                <w:sdt>
                  <w:sdtPr>
                    <w:alias w:val="7.7 pp."/>
                    <w:tag w:val="part_aecfae6d12e945b8a21d0f91c554ea66"/>
                    <w:lock w:val="sdtLocked"/>
                    <w:richText/>
                  </w:sdtPr>
                  <w:sdtContent>
                    <w:p>
                      <w:pPr>
                        <w:ind w:firstLine="720"/>
                        <w:jc w:val="both"/>
                        <w:rPr>
                          <w:rFonts w:eastAsia="Calibri"/>
                          <w:szCs w:val="22"/>
                          <w:lang w:eastAsia="lt-LT"/>
                        </w:rPr>
                      </w:pPr>
                      <w:sdt>
                        <w:sdtPr>
                          <w:alias w:val="Numeris"/>
                          <w:tag w:val="nr_aecfae6d12e945b8a21d0f91c554ea66"/>
                          <w:lock w:val="sdtLocked"/>
                          <w:richText/>
                        </w:sdtPr>
                        <w:sdtContent>
                          <w:r>
                            <w:rPr>
                              <w:rFonts w:eastAsia="Calibri"/>
                              <w:szCs w:val="22"/>
                              <w:lang w:eastAsia="lt-LT"/>
                            </w:rPr>
                            <w:t>7.7</w:t>
                          </w:r>
                        </w:sdtContent>
                      </w:sdt>
                      <w:r>
                        <w:rPr>
                          <w:rFonts w:eastAsia="Calibri"/>
                          <w:szCs w:val="22"/>
                          <w:lang w:eastAsia="lt-LT"/>
                        </w:rPr>
                        <w:t>. ryšių (pašto ir telekomunikacijų) išlaidos;</w:t>
                      </w:r>
                    </w:p>
                  </w:sdtContent>
                </w:sdt>
                <w:sdt>
                  <w:sdtPr>
                    <w:alias w:val="7.8 pp."/>
                    <w:tag w:val="part_cef253b40c1c473b8900b1b074c85811"/>
                    <w:lock w:val="sdtLocked"/>
                    <w:richText/>
                  </w:sdtPr>
                  <w:sdtContent>
                    <w:p>
                      <w:pPr>
                        <w:ind w:firstLine="720"/>
                        <w:jc w:val="both"/>
                        <w:rPr>
                          <w:rFonts w:eastAsia="Calibri"/>
                          <w:szCs w:val="22"/>
                          <w:lang w:eastAsia="lt-LT"/>
                        </w:rPr>
                      </w:pPr>
                      <w:sdt>
                        <w:sdtPr>
                          <w:alias w:val="Numeris"/>
                          <w:tag w:val="nr_cef253b40c1c473b8900b1b074c85811"/>
                          <w:lock w:val="sdtLocked"/>
                          <w:richText/>
                        </w:sdtPr>
                        <w:sdtContent>
                          <w:r>
                            <w:rPr>
                              <w:rFonts w:eastAsia="Calibri"/>
                              <w:szCs w:val="22"/>
                              <w:lang w:eastAsia="lt-LT"/>
                            </w:rPr>
                            <w:t>7.8</w:t>
                          </w:r>
                        </w:sdtContent>
                      </w:sdt>
                      <w:r>
                        <w:rPr>
                          <w:rFonts w:eastAsia="Calibri"/>
                          <w:szCs w:val="22"/>
                          <w:lang w:eastAsia="lt-LT"/>
                        </w:rPr>
                        <w:t>. automobilių stovėjimo ir saugojimo aikštelėse užsienio valstybėje (valstybėse, mieste) išlaidos;</w:t>
                      </w:r>
                    </w:p>
                  </w:sdtContent>
                </w:sdt>
                <w:sdt>
                  <w:sdtPr>
                    <w:alias w:val="7.9 pp."/>
                    <w:tag w:val="part_5ba5e8005c2642bdb13ff5857d918366"/>
                    <w:lock w:val="sdtLocked"/>
                    <w:richText/>
                  </w:sdtPr>
                  <w:sdtContent>
                    <w:p>
                      <w:pPr>
                        <w:ind w:firstLine="720"/>
                        <w:jc w:val="both"/>
                        <w:rPr>
                          <w:rFonts w:eastAsia="Calibri"/>
                          <w:szCs w:val="22"/>
                          <w:lang w:eastAsia="lt-LT"/>
                        </w:rPr>
                      </w:pPr>
                      <w:sdt>
                        <w:sdtPr>
                          <w:alias w:val="Numeris"/>
                          <w:tag w:val="nr_5ba5e8005c2642bdb13ff5857d918366"/>
                          <w:lock w:val="sdtLocked"/>
                          <w:richText/>
                        </w:sdtPr>
                        <w:sdtContent>
                          <w:r>
                            <w:rPr>
                              <w:rFonts w:eastAsia="Calibri"/>
                              <w:szCs w:val="22"/>
                              <w:lang w:eastAsia="lt-LT"/>
                            </w:rPr>
                            <w:t>7.9</w:t>
                          </w:r>
                        </w:sdtContent>
                      </w:sdt>
                      <w:r>
                        <w:rPr>
                          <w:rFonts w:eastAsia="Calibri"/>
                          <w:szCs w:val="22"/>
                          <w:lang w:eastAsia="lt-LT"/>
                        </w:rPr>
                        <w:t>. vykstant į konferenciją, simpoziumą, parodą ar kitą renginį, – registravimosi renginyje mokesčio ar bilietų į renginį pirkimo išlaidos;</w:t>
                      </w:r>
                    </w:p>
                  </w:sdtContent>
                </w:sdt>
                <w:sdt>
                  <w:sdtPr>
                    <w:alias w:val="7.10 pp."/>
                    <w:tag w:val="part_bb91de4305aa47d3a8bd8fda36715edb"/>
                    <w:lock w:val="sdtLocked"/>
                    <w:richText/>
                  </w:sdtPr>
                  <w:sdtContent>
                    <w:p>
                      <w:pPr>
                        <w:ind w:firstLine="720"/>
                        <w:jc w:val="both"/>
                        <w:rPr>
                          <w:rFonts w:eastAsia="Calibri"/>
                          <w:szCs w:val="22"/>
                          <w:lang w:eastAsia="lt-LT"/>
                        </w:rPr>
                      </w:pPr>
                      <w:sdt>
                        <w:sdtPr>
                          <w:alias w:val="Numeris"/>
                          <w:tag w:val="nr_bb91de4305aa47d3a8bd8fda36715edb"/>
                          <w:lock w:val="sdtLocked"/>
                          <w:richText/>
                        </w:sdtPr>
                        <w:sdtContent>
                          <w:r>
                            <w:rPr>
                              <w:rFonts w:eastAsia="Calibri"/>
                              <w:szCs w:val="22"/>
                              <w:lang w:eastAsia="lt-LT"/>
                            </w:rPr>
                            <w:t>7.10</w:t>
                          </w:r>
                        </w:sdtContent>
                      </w:sdt>
                      <w:r>
                        <w:rPr>
                          <w:rFonts w:eastAsia="Calibri"/>
                          <w:szCs w:val="22"/>
                          <w:lang w:eastAsia="lt-LT"/>
                        </w:rPr>
                        <w:t>. valiutos keitimo kredito įstaigoje išlaidos, kai ši valiuta skirta Taisyklių 7.1–7.9 ir 7.11 papunkčiuose nurodytoms komandiruotės išlaidoms apmokėti;</w:t>
                      </w:r>
                    </w:p>
                  </w:sdtContent>
                </w:sdt>
                <w:sdt>
                  <w:sdtPr>
                    <w:alias w:val="7.11 pp."/>
                    <w:tag w:val="part_b08dbdb333c44ebd888ce83322599ff6"/>
                    <w:lock w:val="sdtLocked"/>
                    <w:richText/>
                  </w:sdtPr>
                  <w:sdtContent>
                    <w:p>
                      <w:pPr>
                        <w:tabs>
                          <w:tab w:val="left" w:pos="1134"/>
                        </w:tabs>
                        <w:ind w:firstLine="720"/>
                        <w:jc w:val="both"/>
                        <w:rPr>
                          <w:szCs w:val="24"/>
                          <w:lang w:eastAsia="lt-LT"/>
                        </w:rPr>
                      </w:pPr>
                      <w:sdt>
                        <w:sdtPr>
                          <w:alias w:val="Numeris"/>
                          <w:tag w:val="nr_b08dbdb333c44ebd888ce83322599ff6"/>
                          <w:lock w:val="sdtLocked"/>
                          <w:richText/>
                        </w:sdtPr>
                        <w:sdtContent>
                          <w:r>
                            <w:rPr>
                              <w:lang w:eastAsia="lt-LT"/>
                            </w:rPr>
                            <w:t>7.11</w:t>
                          </w:r>
                        </w:sdtContent>
                      </w:sdt>
                      <w:r>
                        <w:rPr>
                          <w:lang w:eastAsia="lt-LT"/>
                        </w:rPr>
                        <w:t xml:space="preserve">.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sėdimosios vietos pasirinkimo transporto priemonėje, būtinų skiepų, testų ir vaistų nuo užkrečiamųjų ligų išlaidos, greitosios patikros oro uoste paslaugų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8 p."/>
                <w:tag w:val="part_3e88a89d76674aa88517915fd2a7d3d7"/>
                <w:lock w:val="sdtLocked"/>
                <w:richText/>
              </w:sdtPr>
              <w:sdtContent>
                <w:p>
                  <w:pPr>
                    <w:ind w:firstLine="720"/>
                    <w:jc w:val="both"/>
                    <w:rPr>
                      <w:szCs w:val="24"/>
                      <w:lang w:eastAsia="lt-LT"/>
                    </w:rPr>
                  </w:pPr>
                  <w:sdt>
                    <w:sdtPr>
                      <w:alias w:val="Numeris"/>
                      <w:tag w:val="nr_3e88a89d76674aa88517915fd2a7d3d7"/>
                      <w:lock w:val="sdtLocked"/>
                      <w:richText/>
                    </w:sdtPr>
                    <w:sdtContent>
                      <w:r>
                        <w:rPr>
                          <w:lang w:eastAsia="lt-LT"/>
                        </w:rPr>
                        <w:t>8</w:t>
                      </w:r>
                    </w:sdtContent>
                  </w:sdt>
                  <w:r>
                    <w:rPr>
                      <w:lang w:eastAsia="lt-LT"/>
                    </w:rPr>
                    <w:t xml:space="preserve">. Neapmokamos į apgyvendinimo paslaugas teikiančių fizinių ar juridinių asmenų išrašytus finansinės apskaitos dokumentus įtrauktos papildomo maitinimo (išskyrus Taisyklių 7.2 papunktyje nurodytas pusryčių išlaidas), asmens higienos, grožio, sveikatinimosi ir įvairių asmeninių paslaugų išlaidos.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9 p."/>
                <w:tag w:val="part_ea9c5d1c6a0f41d882b64258da530899"/>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af77acb146104270af327f6c86dd2cee"/>
                    <w:lock w:val="sdtLocked"/>
                    <w:richText/>
                  </w:sdtPr>
                  <w:sdtContent>
                    <w:p>
                      <w:pPr>
                        <w:tabs>
                          <w:tab w:val="left" w:pos="1134"/>
                        </w:tabs>
                        <w:ind w:firstLine="720"/>
                        <w:jc w:val="both"/>
                        <w:rPr>
                          <w:lang w:eastAsia="lt-LT"/>
                        </w:rPr>
                      </w:pPr>
                      <w:sdt>
                        <w:sdtPr>
                          <w:alias w:val="Numeris"/>
                          <w:tag w:val="nr_af77acb146104270af327f6c86dd2cee"/>
                          <w:lock w:val="sdtLocked"/>
                          <w:richText/>
                        </w:sdtPr>
                        <w:sdtContent>
                          <w:r>
                            <w:rPr>
                              <w:szCs w:val="24"/>
                              <w:lang w:eastAsia="lt-LT"/>
                            </w:rPr>
                            <w:t>11.1</w:t>
                          </w:r>
                        </w:sdtContent>
                      </w:sdt>
                      <w:r>
                        <w:rPr>
                          <w:szCs w:val="24"/>
                          <w:lang w:eastAsia="lt-LT"/>
                        </w:rPr>
                        <w:t>. pagal Taisyklių priede nustatytas gyvenamojo ploto nuomos išlaidų normas, išskyrus Taisyklių 11.2 papunktyje ir 11</w:t>
                      </w:r>
                      <w:r>
                        <w:rPr>
                          <w:szCs w:val="24"/>
                          <w:vertAlign w:val="superscript"/>
                          <w:lang w:eastAsia="lt-LT"/>
                        </w:rPr>
                        <w:t>1</w:t>
                      </w:r>
                      <w:r>
                        <w:rPr>
                          <w:szCs w:val="24"/>
                          <w:lang w:eastAsia="lt-LT"/>
                        </w:rPr>
                        <w:t xml:space="preserve">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192eb02703ba4e259fcd333365745e8e"/>
                        <w:lock w:val="sdtLocked"/>
                        <w:richText/>
                      </w:sdtPr>
                      <w:sdtContent>
                        <w:p>
                          <w:pPr>
                            <w:tabs>
                              <w:tab w:val="left" w:pos="1134"/>
                            </w:tabs>
                            <w:ind w:firstLine="720"/>
                            <w:jc w:val="both"/>
                            <w:rPr>
                              <w:lang w:eastAsia="lt-LT"/>
                            </w:rPr>
                          </w:pPr>
                          <w:sdt>
                            <w:sdtPr>
                              <w:alias w:val="Numeris"/>
                              <w:tag w:val="nr_192eb02703ba4e259fcd333365745e8e"/>
                              <w:lock w:val="sdtLocked"/>
                              <w:richText/>
                            </w:sdtPr>
                            <w:sdtContent>
                              <w:r>
                                <w:rPr>
                                  <w:szCs w:val="24"/>
                                  <w:lang w:eastAsia="lt-LT"/>
                                </w:rPr>
                                <w:t>11.2.1</w:t>
                              </w:r>
                            </w:sdtContent>
                          </w:sdt>
                          <w:r>
                            <w:rPr>
                              <w:szCs w:val="24"/>
                              <w:lang w:eastAsia="lt-LT"/>
                            </w:rPr>
                            <w:t>. valstybinių ar vyriausybinių delegacijų nariams ir jų šeimos nariams, kai jie vyksta į užsienio valstybę 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darbo vizitus, sesijas, seminarus, posėdžius, konferencijas ir kitus vizitus į užsienio valstybes), ir juos lydintiems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1 p."/>
                <w:tag w:val="part_6b9eb97977ca42b8a949b076810fb84c"/>
                <w:lock w:val="sdtLocked"/>
                <w:richText/>
              </w:sdtPr>
              <w:sdtContent>
                <w:p>
                  <w:pPr>
                    <w:ind w:firstLine="720"/>
                    <w:jc w:val="both"/>
                    <w:rPr>
                      <w:szCs w:val="24"/>
                      <w:lang w:eastAsia="lt-LT"/>
                    </w:rPr>
                  </w:pPr>
                  <w:sdt>
                    <w:sdtPr>
                      <w:alias w:val="Numeris"/>
                      <w:tag w:val="nr_6b9eb97977ca42b8a949b076810fb84c"/>
                      <w:lock w:val="sdtLocked"/>
                      <w:richText/>
                    </w:sdtPr>
                    <w:sdtContent>
                      <w:r>
                        <w:rPr>
                          <w:rFonts w:eastAsia="Calibri"/>
                          <w:szCs w:val="22"/>
                          <w:lang w:eastAsia="lt-LT"/>
                        </w:rPr>
                        <w:t>11</w:t>
                      </w:r>
                      <w:r>
                        <w:rPr>
                          <w:rFonts w:eastAsia="Calibri"/>
                          <w:szCs w:val="22"/>
                          <w:vertAlign w:val="superscript"/>
                          <w:lang w:eastAsia="lt-LT"/>
                        </w:rPr>
                        <w:t>1</w:t>
                      </w:r>
                    </w:sdtContent>
                  </w:sdt>
                  <w:r>
                    <w:rPr>
                      <w:rFonts w:eastAsia="Calibri"/>
                      <w:szCs w:val="22"/>
                      <w:lang w:eastAsia="lt-LT"/>
                    </w:rPr>
                    <w:t>. Darbuotojui, vykstančiam į komandiruotę į užsienio valstybę (valstybes, miestą), gali būti apmokamos iki 50 procentų didesnės nei Taisyklių priede nustatytos gyvenamojo ploto nuomos išlaidos, jeigu su tuo sutinka įstaigos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2 p."/>
                <w:tag w:val="part_6ebfa684219b49feacaa2af300029650"/>
                <w:lock w:val="sdtLocked"/>
                <w:richText/>
              </w:sdtPr>
              <w:sdtContent>
                <w:p>
                  <w:pPr>
                    <w:tabs>
                      <w:tab w:val="left" w:pos="1134"/>
                    </w:tabs>
                    <w:ind w:firstLine="720"/>
                    <w:jc w:val="both"/>
                    <w:rPr>
                      <w:szCs w:val="24"/>
                      <w:lang w:eastAsia="lt-LT"/>
                    </w:rPr>
                  </w:pPr>
                  <w:sdt>
                    <w:sdtPr>
                      <w:alias w:val="Numeris"/>
                      <w:tag w:val="nr_6ebfa684219b49feacaa2af300029650"/>
                      <w:lock w:val="sdtLocked"/>
                      <w:richText/>
                    </w:sdtPr>
                    <w:sdtContent>
                      <w:r>
                        <w:rPr>
                          <w:lang w:eastAsia="lt-LT"/>
                        </w:rPr>
                        <w:t>12</w:t>
                      </w:r>
                    </w:sdtContent>
                  </w:sdt>
                  <w:r>
                    <w:rPr>
                      <w:lang w:eastAsia="lt-LT"/>
                    </w:rPr>
                    <w:t>. Komandiruotės išlaidos, nurodytos Taisyklių 7.2–7.11 papunkčiuose, apmokamos, jeigu yra pateikti išlaidas įrodantys finansinės apskaitos dokumentai. Kai išlaidas įrodantys finansinės apskaitos dokumentai darbuotojui neišrašomi, šios išlaidos gali būti apmokamos, jeigu yra pateikti išlaidų pagrindimo dokumentai (paaiškinimai), kuriais galima pagrįsti komandiruočių išlaidų tikrumą ir pobūdį, ir įstaiga, vadovaudamasi vietiniame norminiame arba vidaus administravimą reglamentuojančiame teisės akte nustatyta tvarka, priima sprendimą tokius dokumentus laikyti tinkamais patirtoms komandiruočių išlaidoms pagrįsti.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3 p."/>
                <w:tag w:val="part_5fa18a29b1cb4536aa59026c06323a62"/>
                <w:lock w:val="sdtLocked"/>
                <w:richText/>
              </w:sdtPr>
              <w:sdtContent>
                <w:p>
                  <w:pPr>
                    <w:tabs>
                      <w:tab w:val="left" w:pos="1134"/>
                    </w:tabs>
                    <w:ind w:firstLine="720"/>
                    <w:jc w:val="both"/>
                    <w:rPr>
                      <w:szCs w:val="24"/>
                      <w:lang w:eastAsia="lt-LT"/>
                    </w:rPr>
                  </w:pPr>
                  <w:sdt>
                    <w:sdtPr>
                      <w:alias w:val="Numeris"/>
                      <w:tag w:val="nr_5fa18a29b1cb4536aa59026c06323a62"/>
                      <w:lock w:val="sdtLocked"/>
                      <w:richText/>
                    </w:sdtPr>
                    <w:sdtContent>
                      <w:r>
                        <w:rPr>
                          <w:lang w:eastAsia="lt-LT"/>
                        </w:rPr>
                        <w:t>13</w:t>
                      </w:r>
                    </w:sdtContent>
                  </w:sdt>
                  <w:r>
                    <w:rPr>
                      <w:lang w:eastAsia="lt-LT"/>
                    </w:rPr>
                    <w:t>. Komandiruojamam į užsienio valstybę (valstybes</w:t>
                  </w:r>
                  <w:r>
                    <w:rPr>
                      <w:b/>
                      <w:bCs/>
                      <w:lang w:eastAsia="lt-LT"/>
                    </w:rPr>
                    <w:t xml:space="preserve">, </w:t>
                  </w:r>
                  <w:r>
                    <w:rPr>
                      <w:lang w:eastAsia="lt-LT"/>
                    </w:rPr>
                    <w:t>miestą)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4 p."/>
                <w:tag w:val="part_f3b2a43c63084d2f84fbab7f7c0c8cb2"/>
                <w:lock w:val="sdtLocked"/>
                <w:richText/>
              </w:sdtPr>
              <w:sdtContent>
                <w:p>
                  <w:pPr>
                    <w:ind w:firstLine="720"/>
                    <w:jc w:val="both"/>
                    <w:rPr>
                      <w:lang w:eastAsia="lt-LT"/>
                    </w:rPr>
                  </w:pPr>
                  <w:sdt>
                    <w:sdtPr>
                      <w:alias w:val="Numeris"/>
                      <w:tag w:val="nr_f3b2a43c63084d2f84fbab7f7c0c8cb2"/>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miestą)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 xml:space="preserve">Lietuvos Respublikos diplomatinių atstovybių, </w:t>
                  </w:r>
                  <w:r>
                    <w:rPr>
                      <w:szCs w:val="24"/>
                      <w:lang w:eastAsia="lt-LT"/>
                    </w:rPr>
                    <w:t>konsulinių įstaigų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5 p."/>
                <w:tag w:val="part_f4ea056b4a614d5c9d16d0db369705c5"/>
                <w:lock w:val="sdtLocked"/>
                <w:richText/>
              </w:sdtPr>
              <w:sdtContent>
                <w:p>
                  <w:pPr>
                    <w:tabs>
                      <w:tab w:val="left" w:pos="1134"/>
                    </w:tabs>
                    <w:ind w:firstLine="720"/>
                    <w:jc w:val="both"/>
                    <w:rPr>
                      <w:szCs w:val="24"/>
                      <w:lang w:eastAsia="lt-LT"/>
                    </w:rPr>
                  </w:pPr>
                  <w:sdt>
                    <w:sdtPr>
                      <w:alias w:val="Numeris"/>
                      <w:tag w:val="nr_f4ea056b4a614d5c9d16d0db369705c5"/>
                      <w:lock w:val="sdtLocked"/>
                      <w:richText/>
                    </w:sdtPr>
                    <w:sdtContent>
                      <w:r>
                        <w:rPr>
                          <w:lang w:eastAsia="lt-LT"/>
                        </w:rPr>
                        <w:t>15</w:t>
                      </w:r>
                    </w:sdtContent>
                  </w:sdt>
                  <w:r>
                    <w:rPr>
                      <w:lang w:eastAsia="lt-LT"/>
                    </w:rPr>
                    <w:t>. Jeigu avansas į komandiruotę į užsienio valstybę (valstybes, miestą)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(valstybes, miestą)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6 p."/>
                <w:tag w:val="part_6e3c0059d1e846198d9a813a7a48d27b"/>
                <w:lock w:val="sdtLocked"/>
                <w:richText/>
              </w:sdtPr>
              <w:sdtContent>
                <w:p>
                  <w:pPr>
                    <w:tabs>
                      <w:tab w:val="left" w:pos="1134"/>
                    </w:tabs>
                    <w:ind w:firstLine="720"/>
                    <w:jc w:val="both"/>
                  </w:pPr>
                  <w:sdt>
                    <w:sdtPr>
                      <w:alias w:val="Numeris"/>
                      <w:tag w:val="nr_6e3c0059d1e846198d9a813a7a48d27b"/>
                      <w:lock w:val="sdtLocked"/>
                      <w:richText/>
                    </w:sdtPr>
                    <w:sdtContent>
                      <w:r>
                        <w:rPr>
                          <w:lang w:eastAsia="lt-LT"/>
                        </w:rPr>
                        <w:t>16</w:t>
                      </w:r>
                    </w:sdtContent>
                  </w:sdt>
                  <w:r>
                    <w:rPr>
                      <w:lang w:eastAsia="lt-LT"/>
                    </w:rPr>
                    <w:t>. Siunčiant darbuotoją į komandiruotę į užsienio valstybę (valstybes, miestą) ekvivalentinių nevaliutinių pasikeitimų sąlygomis, viena valstybė moka kitos valstybės specialistų išlaikymo išlaidas vidaus valiuta pagal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15ddff5573a341039943990b3d73d954"/>
                    <w:lock w:val="sdtLocked"/>
                    <w:richText/>
                  </w:sdtPr>
                  <w:sdtContent>
                    <w:p>
                      <w:pPr>
                        <w:tabs>
                          <w:tab w:val="left" w:pos="1134"/>
                        </w:tabs>
                        <w:ind w:firstLine="720"/>
                        <w:jc w:val="both"/>
                        <w:rPr>
                          <w:szCs w:val="24"/>
                          <w:lang w:eastAsia="lt-LT"/>
                        </w:rPr>
                      </w:pPr>
                      <w:sdt>
                        <w:sdtPr>
                          <w:alias w:val="Numeris"/>
                          <w:tag w:val="nr_15ddff5573a341039943990b3d73d954"/>
                          <w:lock w:val="sdtLocked"/>
                          <w:richText/>
                        </w:sdtPr>
                        <w:sdtContent>
                          <w:r>
                            <w:rPr>
                              <w:lang w:eastAsia="lt-LT"/>
                            </w:rPr>
                            <w:t>17.1</w:t>
                          </w:r>
                        </w:sdtContent>
                      </w:sdt>
                      <w:r>
                        <w:rPr>
                          <w:lang w:eastAsia="lt-LT"/>
                        </w:rPr>
                        <w:t>. dienpinigiai pagal šiuo Lietuvos Respublikos Vyriausybės nutarimu patvirtintus 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7.2 p."/>
                    <w:tag w:val="part_4b70801a38f44ab48cc9fe8713117b1a"/>
                    <w:lock w:val="sdtLocked"/>
                    <w:richText/>
                  </w:sdtPr>
                  <w:sdtContent>
                    <w:p>
                      <w:pPr>
                        <w:tabs>
                          <w:tab w:val="left" w:pos="1134"/>
                        </w:tabs>
                        <w:ind w:firstLine="720"/>
                        <w:jc w:val="both"/>
                        <w:rPr>
                          <w:szCs w:val="24"/>
                          <w:lang w:eastAsia="lt-LT"/>
                        </w:rPr>
                      </w:pPr>
                      <w:sdt>
                        <w:sdtPr>
                          <w:alias w:val="Numeris"/>
                          <w:tag w:val="nr_4b70801a38f44ab48cc9fe8713117b1a"/>
                          <w:lock w:val="sdtLocked"/>
                          <w:richText/>
                        </w:sdtPr>
                        <w:sdtContent>
                          <w:r>
                            <w:rPr>
                              <w:lang w:eastAsia="lt-LT"/>
                            </w:rPr>
                            <w:t>17.2</w:t>
                          </w:r>
                        </w:sdtContent>
                      </w:sdt>
                      <w:r>
                        <w:rPr>
                          <w:lang w:eastAsia="lt-LT"/>
                        </w:rPr>
                        <w:t>. gyvenamojo ploto nuomos išlaidos pagal Taisyklių priede nustatytas gyvenamojo ploto nuomos išlaidų normas (įskaitant į apgyvendinimo paslaugas teikiančių fizinių ar juridinių asmenų išrašytus finansinės apskaitos dokumentus įtrauktas pusryčių išlaidas, jeigu bendra finansinės apskaitos dokumente nurodyta suma neviršija Taisyklių priede nustatytos gyvenamojo ploto nuomos išlaidų normos). Išlaidos, tiesiogiai nesusijusios su gyvenamojo ploto nuoma, tačiau įtrauktos į apgyvendinimo paslaugas teikiančių fizinių ar juridinių asmenų išrašytus finansinės apskaitos dokumentus, (papildomo maitinimo, išskyrus šiame papunktyje nurodytas pusryčių išlaidas, asmens higienos, grožio, sveikatinimosi ir įvairių asmeninių paslaugų)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d1f35b10489d4069bbe0abf8aa2f81f4"/>
                        <w:lock w:val="sdtLocked"/>
                        <w:richText/>
                      </w:sdtPr>
                      <w:sdtContent>
                        <w:p>
                          <w:pPr>
                            <w:tabs>
                              <w:tab w:val="left" w:pos="1134"/>
                            </w:tabs>
                            <w:ind w:firstLine="720"/>
                            <w:jc w:val="both"/>
                            <w:rPr>
                              <w:szCs w:val="24"/>
                              <w:lang w:eastAsia="lt-LT"/>
                            </w:rPr>
                          </w:pPr>
                          <w:sdt>
                            <w:sdtPr>
                              <w:alias w:val="Numeris"/>
                              <w:tag w:val="nr_d1f35b10489d4069bbe0abf8aa2f81f4"/>
                              <w:lock w:val="sdtLocked"/>
                              <w:richText/>
                            </w:sdtPr>
                            <w:sdtContent>
                              <w:r>
                                <w:rPr>
                                  <w:lang w:eastAsia="lt-LT"/>
                                </w:rPr>
                                <w:t>17.3.1</w:t>
                              </w:r>
                            </w:sdtContent>
                          </w:sdt>
                          <w:r>
                            <w:rPr>
                              <w:lang w:eastAsia="lt-LT"/>
                            </w:rPr>
                            <w:t>. kelionės į komandiruotės vietą (vietas) ir grįžimo iš jos (jų) visų rūšių transporto priemonėmis, išskyrus lengvuosius automobilius taksi ir lengvuosius automobilius, kuriais vykdoma keleivių vežimo už atlygį pagal užsakymą veikla ar kurie naudojami dalijimosi automobiliu paslaugai;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
                      <w:sdtPr>
                        <w:alias w:val="17.3.3 pp."/>
                        <w:tag w:val="part_3a94552a04884de18aea352965c1116d"/>
                        <w:lock w:val="sdtLocked"/>
                        <w:richText/>
                      </w:sdtPr>
                      <w:sdtContent>
                        <w:p>
                          <w:pPr>
                            <w:ind w:firstLine="720"/>
                            <w:jc w:val="both"/>
                            <w:rPr>
                              <w:szCs w:val="24"/>
                              <w:lang w:eastAsia="lt-LT"/>
                            </w:rPr>
                          </w:pPr>
                          <w:sdt>
                            <w:sdtPr>
                              <w:alias w:val="Numeris"/>
                              <w:tag w:val="nr_3a94552a04884de18aea352965c1116d"/>
                              <w:lock w:val="sdtLocked"/>
                              <w:richText/>
                            </w:sdtPr>
                            <w:sdtContent>
                              <w:r>
                                <w:rPr>
                                  <w:rFonts w:eastAsia="Calibri"/>
                                  <w:szCs w:val="22"/>
                                  <w:lang w:eastAsia="lt-LT"/>
                                </w:rPr>
                                <w:t>17.3.3</w:t>
                              </w:r>
                            </w:sdtContent>
                          </w:sdt>
                          <w:r>
                            <w:rPr>
                              <w:rFonts w:eastAsia="Calibri"/>
                              <w:szCs w:val="22"/>
                              <w:lang w:eastAsia="lt-LT"/>
                            </w:rPr>
                            <w:t>. nuvykimo visų rūšių transporto priemonėmis Lietuvos Respublikos teritorijoje į geležinkelio ar autobusų stotį ir parvykimo iš jos komandiruotės dienomis (lengvuoju automobiliu taksi ir lengvuoju automobiliu, kuriuo vykdoma keleivių vežimo už atlygį pagal užsakymą veikla ar kuris naudojamas dalijimosi automobiliu paslaugai) – tik kiek tai susiję su nuvykimu į geležinkelio ar autobusų stotį miesto, kuriame ji yra, teritorijoje ir parvykimu iš jos, jeigu sprendimą dėl siuntimo į komandiruotę priėmęs subjektas (įstaigos vadovas ar kitas jo įgaliotas asmuo arba, kai į komandiruotę siunčiamas regiono plėtros tarybos kolegijos narys, – atitinkamos regiono plėtros tarybos kolegija), vadovaudamasis kolektyvinėje sutartyje, o jeigu jos nėra, – vietiniame norminiame arba vidaus administravimą reglamentuojančiame teisės akte nustatytais atvejais ir tvarka, nenusprendžia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Content>
                </w:sdt>
                <w:sdt>
                  <w:sdtPr>
                    <w:alias w:val="17.4 p."/>
                    <w:tag w:val="part_90396872a7bc4d09bb06c0a589af91b4"/>
                    <w:lock w:val="sdtLocked"/>
                    <w:richText/>
                  </w:sdtPr>
                  <w:sdtContent>
                    <w:p>
                      <w:pPr>
                        <w:tabs>
                          <w:tab w:val="left" w:pos="1134"/>
                        </w:tabs>
                        <w:ind w:firstLine="720"/>
                        <w:jc w:val="both"/>
                        <w:rPr>
                          <w:szCs w:val="24"/>
                          <w:lang w:eastAsia="lt-LT"/>
                        </w:rPr>
                      </w:pPr>
                      <w:sdt>
                        <w:sdtPr>
                          <w:alias w:val="Numeris"/>
                          <w:tag w:val="nr_90396872a7bc4d09bb06c0a589af91b4"/>
                          <w:lock w:val="sdtLocked"/>
                          <w:richText/>
                        </w:sdtPr>
                        <w:sdtContent>
                          <w:r>
                            <w:rPr>
                              <w:lang w:eastAsia="lt-LT"/>
                            </w:rPr>
                            <w:t>17.4</w:t>
                          </w:r>
                        </w:sdtContent>
                      </w:sdt>
                      <w:r>
                        <w:rPr>
                          <w:lang w:eastAsia="lt-LT"/>
                        </w:rPr>
                        <w:t>. komandiruotės metu sunaudotų degalų ar elektros energijos įsigijimo išlaidos, atsižvelgiant į komandiruotės metu nuvažiuotų kilometrų skaičių ir įstaigos patvirtintas degalų ir elektros energijos sunaudojimo normas atitinkamai transporto priemonei pagal atitinkamos transporto priemonės gamintojo nurodytus transporto priemonės techninius duomenis (degalų ar elektros energijos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3908da7e162249feb082bbe19146b72d"/>
                <w:lock w:val="sdtLocked"/>
                <w:richText/>
              </w:sdtPr>
              <w:sdtContent>
                <w:p>
                  <w:pPr>
                    <w:tabs>
                      <w:tab w:val="left" w:pos="1134"/>
                    </w:tabs>
                    <w:ind w:firstLine="720"/>
                    <w:jc w:val="both"/>
                  </w:pPr>
                  <w:sdt>
                    <w:sdtPr>
                      <w:alias w:val="Numeris"/>
                      <w:tag w:val="nr_3908da7e162249feb082bbe19146b72d"/>
                      <w:lock w:val="sdtLocked"/>
                      <w:richText/>
                    </w:sdtPr>
                    <w:sdtContent>
                      <w:r>
                        <w:rPr>
                          <w:lang w:eastAsia="lt-LT"/>
                        </w:rPr>
                        <w:t>18</w:t>
                      </w:r>
                    </w:sdtContent>
                  </w:sdt>
                  <w:r>
                    <w:rPr>
                      <w:lang w:eastAsia="lt-LT"/>
                    </w:rPr>
                    <w:t>. Visos Taisyklių 17.2–17.8 papunkčiuose nurodytos komandiruočių išlaidos apmokamos, jeigu yra pateikti išlaidas įrodantys finansinės apskaitos dokumentai. Kai išlaidas įrodantys finansinės apskaitos dokumentai darbuotojui neišrašomi, šios išlaidos gali būti apmokamos, jeigu yra pateikti išlaidų pagrindimo dokumentai (paaiškinimai), kuriais galima pagrįsti komandiruočių išlaidų tikrumą ir pobūdį, ir įstaiga, vadovaudamasi vietiniame norminiame arba vidaus administravimą reglamentuojančiame teisės akte nustatyta tvarka, priima sprendimą tokius dokumentus laikyti tinkamais patirtoms komandiruočių išlaidoms pagrįsti.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skyrius"/>
            <w:tag w:val="part_96dc14b9f8e048ae852073e4542f2491"/>
            <w:lock w:val="sdtLocked"/>
            <w:richText/>
          </w:sdtPr>
          <w:sdtContent>
            <w:p>
              <w:pPr>
                <w:tabs>
                  <w:tab w:val="center" w:pos="-7800"/>
                  <w:tab w:val="left" w:pos="6237"/>
                  <w:tab w:val="right" w:pos="8306"/>
                </w:tabs>
                <w:jc w:val="center"/>
                <w:rPr>
                  <w:b/>
                  <w:bCs/>
                  <w:lang w:eastAsia="lt-LT"/>
                </w:rPr>
              </w:pPr>
              <w:sdt>
                <w:sdtPr>
                  <w:alias w:val="Numeris"/>
                  <w:tag w:val="nr_96dc14b9f8e048ae852073e4542f2491"/>
                  <w:lock w:val="sdtLocked"/>
                  <w:richText/>
                </w:sdtPr>
                <w:sdtContent>
                  <w:r>
                    <w:rPr>
                      <w:b/>
                      <w:bCs/>
                      <w:lang w:eastAsia="lt-LT"/>
                    </w:rPr>
                    <w:t>IV</w:t>
                  </w:r>
                </w:sdtContent>
              </w:sdt>
              <w:r>
                <w:rPr>
                  <w:b/>
                  <w:bCs/>
                  <w:lang w:eastAsia="lt-LT"/>
                </w:rPr>
                <w:t xml:space="preserve"> SKYRIUS</w:t>
              </w:r>
            </w:p>
            <w:p>
              <w:pPr>
                <w:tabs>
                  <w:tab w:val="center" w:pos="-7800"/>
                  <w:tab w:val="center" w:pos="4153"/>
                  <w:tab w:val="left" w:pos="6237"/>
                  <w:tab w:val="right" w:pos="8306"/>
                </w:tabs>
                <w:jc w:val="center"/>
                <w:rPr>
                  <w:b/>
                  <w:bCs/>
                  <w:lang w:eastAsia="lt-LT"/>
                </w:rPr>
              </w:pPr>
              <w:sdt>
                <w:sdtPr>
                  <w:alias w:val="Pavadinimas"/>
                  <w:tag w:val="title_96dc14b9f8e048ae852073e4542f2491"/>
                  <w:lock w:val="sdtLocked"/>
                  <w:richText/>
                </w:sdtPr>
                <w:sdtContent>
                  <w:r>
                    <w:rPr>
                      <w:b/>
                      <w:bCs/>
                      <w:lang w:eastAsia="lt-LT"/>
                    </w:rPr>
                    <w:t>KOMANDIRUOČIŲ IŠLAIDŲ DARBUOTOJAMS, KURIŲ NUOLATINĖ DARBO VIETA YRA UŽSIENIO VALSTYBĖJE, APMOKĖJIMAS</w:t>
                  </w:r>
                </w:sdtContent>
              </w:sdt>
            </w:p>
            <w:p>
              <w:pPr>
                <w:tabs>
                  <w:tab w:val="center" w:pos="-7800"/>
                  <w:tab w:val="center" w:pos="4153"/>
                  <w:tab w:val="left" w:pos="6237"/>
                  <w:tab w:val="right" w:pos="8306"/>
                </w:tabs>
                <w:rPr>
                  <w:lang w:eastAsia="lt-LT"/>
                </w:rPr>
              </w:pPr>
            </w:p>
            <w:sdt>
              <w:sdtPr>
                <w:alias w:val="21 p."/>
                <w:tag w:val="part_6bedef24cc5341699fcf341cc1805bed"/>
                <w:lock w:val="sdtLocked"/>
                <w:richText/>
              </w:sdtPr>
              <w:sdtContent>
                <w:p>
                  <w:pPr>
                    <w:tabs>
                      <w:tab w:val="center" w:pos="-7800"/>
                      <w:tab w:val="left" w:pos="6237"/>
                      <w:tab w:val="right" w:pos="8306"/>
                    </w:tabs>
                    <w:ind w:firstLine="720"/>
                    <w:jc w:val="both"/>
                    <w:rPr>
                      <w:lang w:eastAsia="lt-LT"/>
                    </w:rPr>
                  </w:pPr>
                  <w:sdt>
                    <w:sdtPr>
                      <w:alias w:val="Numeris"/>
                      <w:tag w:val="nr_6bedef24cc5341699fcf341cc1805bed"/>
                      <w:lock w:val="sdtLocked"/>
                      <w:richText/>
                    </w:sdtPr>
                    <w:sdtContent>
                      <w:r>
                        <w:rPr>
                          <w:lang w:eastAsia="lt-LT"/>
                        </w:rPr>
                        <w:t>21</w:t>
                      </w:r>
                    </w:sdtContent>
                  </w:sdt>
                  <w:r>
                    <w:rPr>
                      <w:lang w:eastAsia="lt-LT"/>
                    </w:rPr>
                    <w:t>. Kai darbuotojas, kurio nuolatinė darbo vieta yra užsienio valstybėje (mieste), siunčiamas į komandiruotę į kitą užsienio valstybę (valstybes, miestą), jam apmokamos Taisyklių 7 punkte nurodytos komandiruotės išlaidos.</w:t>
                  </w:r>
                </w:p>
              </w:sdtContent>
            </w:sdt>
            <w:sdt>
              <w:sdtPr>
                <w:alias w:val="22 p."/>
                <w:tag w:val="part_d20818d02830473baff15afa3ccb39e4"/>
                <w:lock w:val="sdtLocked"/>
                <w:richText/>
              </w:sdtPr>
              <w:sdtContent>
                <w:p>
                  <w:pPr>
                    <w:tabs>
                      <w:tab w:val="center" w:pos="-7800"/>
                      <w:tab w:val="left" w:pos="6237"/>
                      <w:tab w:val="right" w:pos="8306"/>
                    </w:tabs>
                    <w:ind w:firstLine="720"/>
                    <w:jc w:val="both"/>
                    <w:rPr>
                      <w:szCs w:val="24"/>
                      <w:u w:val="single"/>
                      <w:lang w:eastAsia="lt-LT"/>
                    </w:rPr>
                  </w:pPr>
                  <w:sdt>
                    <w:sdtPr>
                      <w:alias w:val="Numeris"/>
                      <w:tag w:val="nr_d20818d02830473baff15afa3ccb39e4"/>
                      <w:lock w:val="sdtLocked"/>
                      <w:richText/>
                    </w:sdtPr>
                    <w:sdtContent>
                      <w:r>
                        <w:rPr>
                          <w:lang w:eastAsia="lt-LT"/>
                        </w:rPr>
                        <w:t>22</w:t>
                      </w:r>
                    </w:sdtContent>
                  </w:sdt>
                  <w:r>
                    <w:rPr>
                      <w:lang w:eastAsia="lt-LT"/>
                    </w:rPr>
                    <w:t>. Kai darbuotojas, kurio nuolatinė darbo vieta yra užsienio valstybėje, siunčiamas į komandiruotę tos užsienio valstybės teritorijoje, jam apmokamos Taisyklių 17 punkte nurodytos komandiruotės išlaidos.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21dc3e2256e442198b3b47f7bb93ad98"/>
        <w:lock w:val="sdtLocked"/>
        <w:richText/>
      </w:sdtPr>
      <w:sdtContent>
        <w:p>
          <w:pPr>
            <w:ind w:left="5103"/>
            <w:sectPr>
              <w:pgSz w:w="11906" w:h="16838" w:code="9"/>
              <w:pgMar w:top="1134" w:right="1134" w:bottom="1134" w:left="1701" w:header="709" w:footer="709" w:gutter="0"/>
              <w:pgNumType w:start="1"/>
              <w:cols w:space="1296"/>
              <w:titlePg/>
            </w:sectPr>
          </w:pPr>
        </w:p>
        <w:p>
          <w:pPr>
            <w:ind w:left="5103"/>
          </w:pPr>
          <w:r>
            <w:t xml:space="preserve">Komandiruočių išlaidų apmokėjimo </w:t>
          </w:r>
        </w:p>
        <w:p>
          <w:pPr>
            <w:ind w:left="5103"/>
          </w:pPr>
          <w:r>
            <w:t xml:space="preserve">biudžetinėse įstaigose ir regionų plėtros </w:t>
          </w:r>
        </w:p>
        <w:p>
          <w:pPr>
            <w:ind w:left="5103"/>
          </w:pPr>
          <w:r>
            <w:t>tarybose taisyklių</w:t>
          </w:r>
        </w:p>
        <w:p>
          <w:pPr>
            <w:ind w:left="5103"/>
          </w:pPr>
          <w:r>
            <w:t>priedas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21dc3e2256e442198b3b47f7bb93ad98"/>
              <w:lock w:val="sdtLocked"/>
              <w:richText/>
            </w:sdtPr>
            <w:sdtContent>
              <w:r>
                <w:rPr>
                  <w:b/>
                </w:rPr>
                <w:t xml:space="preserve">GYVENAMOJO PLOTO NUOMOS IŠLAIDŲ NORMŲ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trPr>
              <w:tblHeader/>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06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rPr>
              <w:trHeight w:val="265"/>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Fidžio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320</w:t>
                </w:r>
              </w:p>
            </w:tc>
          </w:tr>
          <w:tr>
            <w:trPr>
              <w:trHeight w:val="233"/>
            </w:trPr>
            <w:tc>
              <w:tcPr>
                <w:tcW w:w="1021" w:type="dxa"/>
                <w:tcBorders>
                  <w:top w:val="single" w:sz="4" w:space="0" w:color="auto"/>
                  <w:left w:val="single" w:sz="4" w:space="0" w:color="auto"/>
                  <w:bottom w:val="single" w:sz="4" w:space="0" w:color="auto"/>
                  <w:right w:val="single" w:sz="4" w:space="0" w:color="auto"/>
                </w:tcBorders>
                <w:hideMark/>
              </w:tcPr>
              <w:p>
                <w:pPr>
                  <w:jc w:val="center"/>
                </w:pPr>
                <w:r>
                  <w:t>45.</w:t>
                </w:r>
              </w:p>
            </w:tc>
            <w:tc>
              <w:tcPr>
                <w:tcW w:w="606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 (išskyrus Londoną)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Londonas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 Los Andželą ir San Fransiską)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 Los Andželas ir San Fransiskas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 (išskyrus Dubajų)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Dubajus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rPr>
                </w:pPr>
                <w:r>
                  <w:rPr>
                    <w:color w:val="000000"/>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Libijos Valstybė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FF0000"/>
                  </w:rPr>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92. </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Mikronezijos Federacinės Valstijos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rPr>
              <w:trHeight w:val="137"/>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Nauru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Palau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 (išskyrus Paryžių)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188 </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Paryžius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Saliamono Salos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Samoa Nepriklausomoji Valstybė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109"/>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Tongos Karalystė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r>
                  <w:rPr>
                    <w:highlight w:val="yellow"/>
                  </w:rPr>
                  <w:t xml:space="preserve"> </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Tuvalu</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Vanuatu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145</w:t>
                </w:r>
              </w:p>
            </w:tc>
          </w:tr>
        </w:tbl>
        <w:p>
          <w:pPr>
            <w:tabs>
              <w:tab w:val="left" w:pos="6237"/>
            </w:tabs>
            <w:rPr>
              <w:szCs w:val="24"/>
              <w:lang w:eastAsia="lt-LT"/>
            </w:rPr>
          </w:pPr>
        </w:p>
        <w:p>
          <w:pPr>
            <w:tabs>
              <w:tab w:val="left" w:pos="6237"/>
            </w:tabs>
            <w:rPr>
              <w:szCs w:val="24"/>
              <w:lang w:eastAsia="lt-LT"/>
            </w:rPr>
          </w:pPr>
        </w:p>
        <w:p>
          <w:pPr>
            <w:tabs>
              <w:tab w:val="left" w:pos="6237"/>
              <w:tab w:val="right" w:pos="8306"/>
            </w:tabs>
            <w:rPr>
              <w:color w:val="000000"/>
              <w:szCs w:val="24"/>
              <w:lang w:eastAsia="lt-LT"/>
            </w:rPr>
          </w:pPr>
        </w:p>
        <w:sdt>
          <w:sdtPr>
            <w:alias w:val="pabaiga"/>
            <w:tag w:val="part_3414241abccc4ba48bf1f2e3dca8224e"/>
            <w:lock w:val="sdtLocked"/>
            <w:richText/>
          </w:sdtPr>
          <w:sdtContent>
            <w:p>
              <w:pPr>
                <w:tabs>
                  <w:tab w:val="left" w:pos="6237"/>
                  <w:tab w:val="right" w:pos="8306"/>
                </w:tabs>
                <w:jc w:val="center"/>
                <w:rPr>
                  <w:color w:val="000000"/>
                  <w:szCs w:val="24"/>
                  <w:lang w:eastAsia="lt-LT"/>
                </w:rPr>
              </w:pPr>
              <w:r>
                <w:rPr>
                  <w:color w:val="000000"/>
                  <w:szCs w:val="24"/>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b85505029da11e9b66f85227a03f7a3">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2019-01-30,
paskelbta TAR 2019-02-06, i. k. 2019-01813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f9e7c10b03611ec8d9390588bf2de65">
            <w:r w:rsidRPr="00532B9F">
              <w:rPr>
                <w:rFonts w:ascii="Times New Roman" w:eastAsia="MS Mincho" w:hAnsi="Times New Roman"/>
                <w:sz w:val="20"/>
                <w:iCs/>
                <w:color w:val="0000FF" w:themeColor="hyperlink"/>
                <w:u w:val="single"/>
              </w:rPr>
              <w:t>277</w:t>
            </w:r>
          </w:fldSimple>
          <w:r>
            <w:rPr>
              <w:rFonts w:ascii="Times New Roman" w:eastAsia="MS Mincho" w:hAnsi="Times New Roman"/>
              <w:sz w:val="20"/>
              <w:iCs/>
            </w:rPr>
            <w:t>,
2022-03-30,
paskelbta TAR 2022-03-30, i. k. 2022-06330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824fa10167d11ee9f7ec2ffce8b47bc">
            <w:r w:rsidRPr="00532B9F">
              <w:rPr>
                <w:rFonts w:ascii="Times New Roman" w:eastAsia="MS Mincho" w:hAnsi="Times New Roman"/>
                <w:sz w:val="20"/>
                <w:iCs/>
                <w:color w:val="0000FF" w:themeColor="hyperlink"/>
                <w:u w:val="single"/>
              </w:rPr>
              <w:t>504</w:t>
            </w:r>
          </w:fldSimple>
          <w:r>
            <w:rPr>
              <w:rFonts w:ascii="Times New Roman" w:eastAsia="MS Mincho" w:hAnsi="Times New Roman"/>
              <w:sz w:val="20"/>
              <w:iCs/>
            </w:rPr>
            <w:t>,
2023-06-28,
paskelbta TAR 2023-06-29, i. k. 2023-13154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35420011f111efbcbfb318996800a8">
            <w:r w:rsidRPr="00532B9F">
              <w:rPr>
                <w:rFonts w:ascii="Times New Roman" w:eastAsia="MS Mincho" w:hAnsi="Times New Roman"/>
                <w:sz w:val="20"/>
                <w:iCs/>
                <w:color w:val="0000FF" w:themeColor="hyperlink"/>
                <w:u w:val="single"/>
              </w:rPr>
              <w:t>339</w:t>
            </w:r>
          </w:fldSimple>
          <w:r>
            <w:rPr>
              <w:rFonts w:ascii="Times New Roman" w:eastAsia="MS Mincho" w:hAnsi="Times New Roman"/>
              <w:sz w:val="20"/>
              <w:iCs/>
            </w:rPr>
            <w:t>,
2024-05-08,
paskelbta TAR 2024-05-14, i. k. 2024-08803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0b9757068a111f1b53dfa020e517810">
            <w:r w:rsidRPr="00532B9F">
              <w:rPr>
                <w:rFonts w:ascii="Times New Roman" w:eastAsia="MS Mincho" w:hAnsi="Times New Roman"/>
                <w:sz w:val="20"/>
                <w:iCs/>
                <w:color w:val="0000FF" w:themeColor="hyperlink"/>
                <w:u w:val="single"/>
              </w:rPr>
              <w:t>449</w:t>
            </w:r>
          </w:fldSimple>
          <w:r>
            <w:rPr>
              <w:rFonts w:ascii="Times New Roman" w:eastAsia="MS Mincho" w:hAnsi="Times New Roman"/>
              <w:sz w:val="20"/>
              <w:iCs/>
            </w:rPr>
            <w:t>,
2026-06-10,
paskelbta TAR 2026-06-15, i. k. 2026-10351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90df81276b311f1b53dfa020e517810">
            <w:r w:rsidRPr="00532B9F">
              <w:rPr>
                <w:rFonts w:ascii="Times New Roman" w:eastAsia="MS Mincho" w:hAnsi="Times New Roman"/>
                <w:sz w:val="20"/>
                <w:iCs/>
                <w:color w:val="0000FF" w:themeColor="hyperlink"/>
                <w:u w:val="single"/>
              </w:rPr>
              <w:t>518</w:t>
            </w:r>
          </w:fldSimple>
          <w:r>
            <w:rPr>
              <w:rFonts w:ascii="Times New Roman" w:eastAsia="MS Mincho" w:hAnsi="Times New Roman"/>
              <w:sz w:val="20"/>
              <w:iCs/>
            </w:rPr>
            <w:t>,
2026-07-01,
paskelbta TAR 2026-07-03, i. k. 2026-11506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E2681"/>
  <w15:docId w15:val="{F9F7395C-331F-43D0-9DE4-B86B4C4C60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49.xml"/>
  <Relationship Id="rId15" Type="http://schemas.openxmlformats.org/officeDocument/2006/relationships/header" Target="header50.xml"/>
  <Relationship Id="rId16" Type="http://schemas.openxmlformats.org/officeDocument/2006/relationships/footer" Target="footer49.xml"/>
  <Relationship Id="rId17" Type="http://schemas.openxmlformats.org/officeDocument/2006/relationships/footer" Target="footer50.xml"/>
  <Relationship Id="rId18" Type="http://schemas.openxmlformats.org/officeDocument/2006/relationships/header" Target="header51.xml"/>
  <Relationship Id="rId19" Type="http://schemas.openxmlformats.org/officeDocument/2006/relationships/footer" Target="footer51.xml"/>
  <Relationship Id="rId2" Type="http://schemas.openxmlformats.org/officeDocument/2006/relationships/header" Target="header26.xml"/>
  <Relationship Id="rId20"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21417906c036486ca2a1dab1437078b6"/>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972ebd7b40d743fca1b2966e43ec8405"/>
    </Part>
    <Part Type="punktas" Nr="2" Abbr="2 p." DocPartId="490b677a91aa443ba5125d291dae5d42" PartId="be8be108ffbf4064945b8c0aaaf9887b">
      <Part Type="papunktis" Nr="2.1" Abbr="2.1 pp." DocPartId="f01e71fc91234d58b6943538949b4b12" PartId="d8dc3adf95cf4b19b529a0d52b3b2333"/>
      <Part Type="papunktis" Nr="2.1-1" Abbr="2.1-1 pp." DocPartId="929cb60cd7154cdeaa8ecb105d4e3351" PartId="2977e9e0bbf64be3be7ff3383ae0d91c"/>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393106ed8ecf4ed69f5bbd83d46b2628"/>
    </Part>
    <Part Type="signatura" DocPartId="126271ec361548f598c816bb116292f9" PartId="d17dd63a4125491a933707d4dcadb135"/>
  </Part>
  <Part Type="patvirtinta" Title="MAKSIMALIŲ DIENPINIGIŲ DYDŽIŲ SĄRAŠAS" DocPartId="e7e4c04a2b0146a081e6a3f8415c4a62" PartId="fa2a31a8f89f4c4ea6267607f6dae1f2">
    <Part Type="pabaiga" DocPartId="2d557bb3915e43bc8dcf59215c01b951" PartId="8b70477141ea4d35959a75b2aaa8a52a"/>
  </Part>
  <Part Type="patvirtinta" Title="DIENPINIGIŲ MOKĖJIMO TVARKOS APRAŠAS" DocPartId="748ff036378d4e7baffae8b11295a8f1" PartId="4f032b180f764e5c85d2b77ac58ae217">
    <Part Type="punktas" Nr="1" Abbr="1 p." DocPartId="e0ec049bea6a431d89cd564e8962ddf1" PartId="409d1c3a9b0342b68ff16232269b2b67"/>
    <Part Type="punktas" Nr="2" Abbr="2 p." DocPartId="0963e0f32413489ca847eeb674d0e221" PartId="04135a4210904dad995b12e38274d539"/>
    <Part Type="punktas" Nr="2-1" Abbr="2-1 p." DocPartId="e85c1a30c1d648f2a9cdf9110f6327ba" PartId="2b57ee42f49e46608ced8f592c1dc9b2"/>
    <Part Type="punktas" Nr="2-2" Abbr="2-2 p." DocPartId="5ae58a7a4314474a8fd8ec0a3dd800e9" PartId="4a67bf69241548368e01196bf86276d7"/>
    <Part Type="punktas" Nr="3" Abbr="3 p." DocPartId="cd6826fb6bed42fb9f409aa81a62a93c" PartId="cc6013bd5b1e46289f07d5f8e86bf6e4"/>
    <Part Type="punktas" Nr="4" Abbr="4 p." DocPartId="46bc11d2cf3c4eb3bc3a905240707da3" PartId="91c15626f2f84d25a8e36fcf3611a903"/>
    <Part Type="punktas" Nr="5" Abbr="5 p." DocPartId="5ddc266cf01a4aba9526c331852b2fb0" PartId="653b66c2e0e64ae4a965a7029200df63">
      <Part Type="papunktis" Nr="5.1" Abbr="5.1 pp." DocPartId="059f298961c546979f34795fffba4ca1" PartId="1e9513c1907c400b81b318d27e1bf94d"/>
      <Part Type="papunktis" Nr="5.2" Abbr="5.2 pp." DocPartId="e0cb7a9c6c724a58a283674663e7619b" PartId="a81238b2a68b43198e1a0f762fbb2934"/>
      <Part Type="papunktis" Nr="5.3" Abbr="5.3 pp." DocPartId="1b603e0fe5ed4066a03e873e66669d50" PartId="0863ac5aff064b6c93a0b8c6820e5759"/>
      <Part Type="papunktis" Nr="5.4" Abbr="5.4 pp." DocPartId="f99153d192a340d98120d83c1b8e1efa" PartId="b5153d06876943b68ed917b50515cad1"/>
      <Part Type="papunktis" Nr="5.5" Abbr="5.5 pp." DocPartId="2a48dd7a15064d00971b9f20d3d71715" PartId="666080c02dca40f49742794c9ae8eb04"/>
      <Part Type="papunktis" Nr="5.6" Abbr="5.6 pp." DocPartId="dc1ac69f3cef48aabc13441a8a33c640" PartId="2fae222c5da34888b6622badc46e62cc"/>
      <Part Type="papunktis" Nr="5.7" Abbr="5.7 pp." DocPartId="d1c446c4e9004021a8e92cac7555e4c4" PartId="826addef0e0d4485a5a7f3e8e29b0b1b"/>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d5b7f8da721042bf80bd1e20508dd362"/>
    <Part Type="punktas" Nr="9" Abbr="9 p." DocPartId="cf00b499bb894ea1b2db7442d91e9307" PartId="673762d1d1274a829afbf13c1fcc4546"/>
    <Part Type="punktas" Nr="10" Abbr="10 p." DocPartId="ce219c39cd81476f83b6eb0e8beb3f65" PartId="398f3af70914438d87e05ea8a81efcf0"/>
    <Part Type="punktas" Nr="11" Abbr="11 p." DocPartId="ee50f04e278e48f09271918e3bd51241" PartId="354f9c15b87b4b319e2d105cedeacae8"/>
    <Part Type="punktas" Nr="12" Abbr="12 p." DocPartId="fd103c88bee944bea71201e6da1449b5" PartId="429b6e2800564f72b1080163cabc5fae"/>
    <Part Type="pabaiga" DocPartId="9a4f94aa3c0d436a8c6e77cdd2a2c0f0" PartId="7fb303a620754a9791c9e04335acc62e"/>
  </Part>
  <Part Type="patvirtinta" Title="„KOMANDIRUOČIŲ IŠLAIDŲ APMOKĖJIMO BIUDŽETINĖSE ĮSTAIGOSE IR REGIONŲ PLĖTROS TARYBOSE TAISYKLĖS“." DocPartId="62d20288e7794d87a3f9ebf2dec6a798" PartId="896e1fbc5caa416ab98925b4a8c61dba">
    <Part Type="skyrius" Nr="1" Title="BENDROSIOS NUOSTATOS" DocPartId="6801ae71e92e44ae9877ab05598381c1" PartId="5db28a573dd644dc91287bdbce8c2167">
      <Part Type="punktas" Nr="1" Abbr="1 p." DocPartId="64cda68935bb4379814e6b5db32b6aaf" PartId="fb171f6821ba4239a12d0cf4ff82a76d"/>
      <Part Type="punktas" Nr="2" Abbr="2 p." DocPartId="c032f2fd5d3c413088437fb1feb23226" PartId="e931329ecd7f48fb82f47f35c6a446b0">
        <Part Type="papunktis" Nr="2.1" Abbr="2.1 pp." DocPartId="5aa06f613cf74e558cc398cc8476f5fb" PartId="d83dff5a42ad4e84b41523ed43090679"/>
        <Part Type="papunktis" Nr="2.2" Abbr="2.2 pp." DocPartId="1c3b22ad880e4338abe3b251ba5faa5a" PartId="237e1ddf74fa4106a94ca1bd5b3d2867"/>
        <Part Type="papunktis" Nr="2.3" Abbr="2.3 pp." DocPartId="96ec093b82fc423f91b89433dcddabe2" PartId="7725dbac9001431b8ff3e59bb829ff22"/>
        <Part Type="papunktis" Nr="2.4" Abbr="2.4 pp." DocPartId="46e97dc41db94984a72f8b6b7b947596" PartId="cec9d9854c574e3483604c9a095adee6"/>
      </Part>
      <Part Type="punktas" Nr="3" Abbr="3 p." DocPartId="bd8373c4d5cd48689cc533ba10beeaed" PartId="e8efa94e8a2543868d38bfaf62d262df"/>
      <Part Type="punktas" Nr="4" Abbr="4 p." DocPartId="c9c6944f0be44cd2b06d8383130c4a52" PartId="b47dbe7bb85340faa71338203f361154"/>
      <Part Type="punktas" Nr="5" Abbr="5 p." DocPartId="55b8b7aac876470b86d1137f5457a94d" PartId="4dbef2ee2fab47db9146537a488fc596"/>
      <Part Type="punktas" Nr="5-1" Abbr="5-1 p." DocPartId="9b3f8e7df062405c931fd06f2ca91a93" PartId="fff2c708463a4fcd8e41178e365cc2d1"/>
      <Part Type="punktas" Nr="6" Abbr="6 p." DocPartId="3b4dcf380c4f4c22b221f33d58d8a3f0" PartId="89f85ba73e364db3b56f22df09e6ba69">
        <Part Type="papunktis" Nr="6.1" Abbr="6.1 pp." DocPartId="6dd8999909ac427f8f3b1e48e2587805" PartId="c8395646f7a648a68cfa071142196509"/>
        <Part Type="papunktis" Nr="6.2" Abbr="6.2 pp." DocPartId="16d0b811dc9543ddbd68322a075c57b2" PartId="418dd04b68964abea7eab1120d30c74c"/>
      </Part>
    </Part>
    <Part Type="skyrius" Nr="2" Title="KOMANDIRUOČIŲ Į UŽSIENIO VALSTYBES IŠLAIDŲ APMOKĖJIMAS" DocPartId="4160ffa152c0438c83eb314eba1b1a34" PartId="850f8ea79ba8490aa31657042428e8f2">
      <Part Type="punktas" Nr="7" Abbr="7 p." DocPartId="ed51aa17d7f04ca7b851019ea38f731d" PartId="26afe2e8b2c24cba85b397c7db5658d4">
        <Part Type="papunktis" Nr="7.1" Abbr="7.1 pp." DocPartId="e2ad11f2b2774fa8a49707d70205d74e" PartId="59f8ca4c4c1b44cb829d53b0667f0e21"/>
        <Part Type="papunktis" Nr="7.2" Abbr="7.2 pp." DocPartId="1a287c6430d94d5b8b5d779cfded6f9c" PartId="a86dcda9bc7b4542948dd145d0794953"/>
        <Part Type="papunktis" Nr="7.3" Abbr="7.3 pp." DocPartId="3f566644ff814e269116979b473a7c18" PartId="71b3f3c0a58848898bc0a51b6049ee40">
          <Part Type="papunktis" Nr="7.3.1" Abbr="7.3.1 pp." DocPartId="0c05b17eea9d4d948065a2818be02c3b" PartId="e28d14ca01e3425aafda6b1ee5892e1f"/>
          <Part Type="papunktis" Nr="7.3.2" Abbr="7.3.2 pp." DocPartId="2cfb06bb14d04cc490ea3b82d49b0be6" PartId="43a21fd1c1e3400ca5662a5ebce107f6"/>
          <Part Type="papunktis" Nr="7.3.3" Abbr="7.3.3 pp." DocPartId="c7da7a1c7e714e88a32d7facf250fdcb" PartId="1575e7de08b240d895a6cb0ae31b9787"/>
        </Part>
        <Part Type="papunktis" Nr="7.4" Abbr="7.4 pp." DocPartId="bad00b0e390c4908a32c73721ffff566" PartId="709ef67b8a7e460ba07da63c2f5459c5"/>
        <Part Type="papunktis" Nr="7.5" Abbr="7.5 pp." DocPartId="2aa36d80b99542528738cf3b2d65fb02" PartId="4bb9df8d28dd4a2aa64b0ca0d3e623f0"/>
        <Part Type="papunktis" Nr="7.6" Abbr="7.6 pp." DocPartId="f05a5ad4720349aeb4b12b88684a8558" PartId="e5868cdb96cd4fdf8cfc0b70b44daf38"/>
        <Part Type="papunktis" Nr="7.7" Abbr="7.7 pp." DocPartId="b3ce6a2fc86e434294f26e7e9714b230" PartId="aecfae6d12e945b8a21d0f91c554ea66"/>
        <Part Type="papunktis" Nr="7.8" Abbr="7.8 pp." DocPartId="4e313b8b47e941179f58eb59f44ff35e" PartId="cef253b40c1c473b8900b1b074c85811"/>
        <Part Type="papunktis" Nr="7.9" Abbr="7.9 pp." DocPartId="fb0632d5b458466dbd66cc5720aedae8" PartId="5ba5e8005c2642bdb13ff5857d918366"/>
        <Part Type="papunktis" Nr="7.10" Abbr="7.10 pp." DocPartId="8e339af1311749d1ad783bd679c27937" PartId="bb91de4305aa47d3a8bd8fda36715edb"/>
        <Part Type="papunktis" Nr="7.11" Abbr="7.11 pp." DocPartId="ac0dbe677baa40808783e926388e427b" PartId="b08dbdb333c44ebd888ce83322599ff6"/>
      </Part>
      <Part Type="punktas" Nr="8" Abbr="8 p." DocPartId="432d3b8ff8e94ff593a90c02efcdabe2" PartId="3e88a89d76674aa88517915fd2a7d3d7"/>
      <Part Type="punktas" Nr="9" Abbr="9 p." DocPartId="837f82590b9f4b00bfe30866fc1969d7" PartId="ea9c5d1c6a0f41d882b64258da530899"/>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af77acb146104270af327f6c86dd2cee"/>
        <Part Type="papunktis" Nr="11.2" Abbr="11.2 pp." DocPartId="cdb1ba0d6873419598604fff89f1141a" PartId="9cc106c71d6646b190f53c86ae1da171">
          <Part Type="papunktis" Nr="11.2.1" Abbr="11.2.1 pp." DocPartId="9083abe12de049b8b97cdde970d5eab4" PartId="192eb02703ba4e259fcd333365745e8e"/>
          <Part Type="papunktis" Nr="11.2.2" Abbr="11.2.2 pp." DocPartId="87ccdec0af654c4bad012ccfde38fc6d" PartId="5e959580ace4477f8562a42c308fc05f"/>
        </Part>
      </Part>
      <Part Type="punktas" Nr="11-1" Abbr="11-1 p." DocPartId="e27a751e157140179265bbf0ebbebaeb" PartId="6b9eb97977ca42b8a949b076810fb84c"/>
      <Part Type="punktas" Nr="12" Abbr="12 p." DocPartId="5d60d92955184f8ca6099745ac67efb1" PartId="6ebfa684219b49feacaa2af300029650"/>
      <Part Type="punktas" Nr="13" Abbr="13 p." DocPartId="c8ef929d3baa434c8ca40c41edfc151f" PartId="5fa18a29b1cb4536aa59026c06323a62"/>
      <Part Type="punktas" Nr="14" Abbr="14 p." DocPartId="0a014153c1ce4730b4d3cb3d307cc677" PartId="f3b2a43c63084d2f84fbab7f7c0c8cb2"/>
      <Part Type="punktas" Nr="15" Abbr="15 p." DocPartId="7bba86d4ea6a40bfb3eae0966a1d3e85" PartId="f4ea056b4a614d5c9d16d0db369705c5"/>
      <Part Type="punktas" Nr="16" Abbr="16 p." DocPartId="e2a49f1766564f018a8e89268a6ca07e" PartId="6e3c0059d1e846198d9a813a7a48d27b"/>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15ddff5573a341039943990b3d73d954"/>
        <Part Type="punktas" Nr="17.2" Abbr="17.2 p." DocPartId="772840f537c34a0780820313f94272d6" PartId="4b70801a38f44ab48cc9fe8713117b1a"/>
        <Part Type="punktas" Nr="17.3" Abbr="17.3 p." DocPartId="909cc62865844281839ecef4dbb3cb6c" PartId="2fd925ec154a435a82780a87374337d7">
          <Part Type="punktas" Nr="17.3.1" Abbr="17.3.1 p." DocPartId="d6baded6f3d34c0bb75485db16805ecd" PartId="d1f35b10489d4069bbe0abf8aa2f81f4"/>
          <Part Type="punktas" Nr="17.3.2" Abbr="17.3.2 p." DocPartId="0c6a7f8a2cda4713a9443cfd45b27429" PartId="e8841a864f974265a698627aa95ce6fd"/>
          <Part Type="papunktis" Nr="17.3.3" Abbr="17.3.3 pp." DocPartId="3d334988f0614540a3b4e1f9ec78ca1a" PartId="3a94552a04884de18aea352965c1116d"/>
        </Part>
        <Part Type="punktas" Nr="17.4" Abbr="17.4 p." DocPartId="b4b183afa9654f44b89d00c0bb8f9a96" PartId="90396872a7bc4d09bb06c0a589af91b4"/>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3908da7e162249feb082bbe19146b72d"/>
      <Part Type="punktas" Nr="19" Abbr="19 p." DocPartId="04a13d4489d148398f505114c9c1063e" PartId="e29ce1181b2b4d4284bd0ddff6925f00"/>
      <Part Type="punktas" Nr="20" Abbr="20 p." DocPartId="4fdb0a09bf194167947f7564a34ca281" PartId="864dcb0164da42e2a863fc87b7581772"/>
    </Part>
    <Part Type="skyrius" Nr="4" Title="KOMANDIRUOČIŲ IŠLAIDŲ DARBUOTOJAMS, KURIŲ NUOLATINĖ DARBO VIETA YRA UŽSIENIO VALSTYBĖJE, APMOKĖJIMAS" DocPartId="40adb02d25c8451ba1833c240e89eb7c" PartId="96dc14b9f8e048ae852073e4542f2491">
      <Part Type="punktas" Nr="21" Abbr="21 p." DocPartId="b279b8240628428db5d73bb0756de452" PartId="6bedef24cc5341699fcf341cc1805bed"/>
      <Part Type="punktas" Nr="22" Abbr="22 p." DocPartId="768f433efd5544049254a942966dd1eb" PartId="d20818d02830473baff15afa3ccb39e4"/>
    </Part>
    <Part Type="pabaiga" DocPartId="c2a9729831e34d7a994b7d2f953f7cbd" PartId="90979e423f15435fa50478b4cab12b01"/>
  </Part>
  <Part Type="priedas" Abbr="pr." Title="GYVENAMOJO PLOTO NUOMOS IŠLAIDŲ NORMŲ SĄRAŠAS" DocPartId="81f118035a134a529ca486e1211942f6" PartId="21dc3e2256e442198b3b47f7bb93ad98">
    <Part Type="pabaiga" DocPartId="860c5094d1d04e609096eccef86b4d84" PartId="3414241abccc4ba48bf1f2e3dca8224e"/>
  </Part>
</Parts>
</file>

<file path=customXml/itemProps1.xml><?xml version="1.0" encoding="utf-8"?>
<ds:datastoreItem xmlns:ds="http://schemas.openxmlformats.org/officeDocument/2006/customXml" ds:itemID="{5F6B3A69-12A3-4227-AAB8-E1229122A510}">
  <ds:schemaRefs>
    <ds:schemaRef ds:uri="http://lrs.lt/TAIS/DocParts"/>
  </ds:schemaRefs>
</ds:datastoreItem>
</file>

<file path=docProps/app.xml><?xml version="1.0" encoding="utf-8"?>
<Properties xmlns="http://schemas.openxmlformats.org/officeDocument/2006/extended-properties">
  <Template>Normal</Template>
  <TotalTime>86</TotalTime>
  <Pages>22</Pages>
  <Words>37675</Words>
  <Characters>21475</Characters>
  <Application>Microsoft Office Word</Application>
  <DocSecurity>0</DocSecurity>
  <Lines>178</Lines>
  <Paragraphs>118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59032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JŪRĖNIENĖ Jolanta</lastModifiedBy>
  <dcterms:modified xsi:type="dcterms:W3CDTF">2026-07-08T08:30:00Z</dcterms:modified>
  <revision>44</revision>
</coreProperties>
</file>