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2016-10-07 iki 2017-09-30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0a0f068ddaa4ee88b46198e515e1862"/>
                    <w:lock w:val="sdtLocked"/>
                    <w:richText/>
                  </w:sdtPr>
                  <w:sdtContent>
                    <w:p>
                      <w:pPr>
                        <w:widowControl w:val="0"/>
                        <w:suppressAutoHyphens/>
                        <w:ind w:firstLine="709"/>
                        <w:jc w:val="both"/>
                        <w:rPr>
                          <w:color w:val="000000"/>
                        </w:rPr>
                      </w:pPr>
                      <w:sdt>
                        <w:sdtPr>
                          <w:alias w:val="Numeris"/>
                          <w:tag w:val="nr_c0a0f068ddaa4ee88b46198e515e1862"/>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1b5d1c4b585b44c7872aad792553a479"/>
                    <w:lock w:val="sdtLocked"/>
                    <w:richText/>
                  </w:sdtPr>
                  <w:sdtContent>
                    <w:p>
                      <w:pPr>
                        <w:widowControl w:val="0"/>
                        <w:ind w:firstLine="720"/>
                        <w:jc w:val="both"/>
                        <w:rPr>
                          <w:color w:val="000000"/>
                        </w:rPr>
                      </w:pPr>
                      <w:sdt>
                        <w:sdtPr>
                          <w:alias w:val="Numeris"/>
                          <w:tag w:val="nr_1b5d1c4b585b44c7872aad792553a479"/>
                          <w:lock w:val="sdtLocked"/>
                          <w:richText/>
                        </w:sdtPr>
                        <w:sdtContent>
                          <w:r>
                            <w:rPr>
                              <w:bCs/>
                              <w:szCs w:val="24"/>
                            </w:rPr>
                            <w:t>2</w:t>
                          </w:r>
                        </w:sdtContent>
                      </w:sdt>
                      <w:r>
                        <w:rPr>
                          <w:bCs/>
                          <w:szCs w:val="24"/>
                        </w:rPr>
                        <w:t>. Šis Įstatymas taikomas Lietuvos Respublikos piliečiams, kitos Europos Sąjungos valstybės narės ar Europos ekonominės erdvės susitarimą sudariusios valstybės piliečiams ir jų šeimos nariams, kuriems teisės aktų nustatyta tvarka išduoti dokumentai, patvirtinantys jų teisę gyventi Lietuvos Respublikoje, asmenims, kuriems, vadovaujantis Europos Sąjungos socialinės apsaugos sistemų koordinavimo reglamentais, turi būti taikomas šis Įstatymas, ir užsieniečiams, turintiems Lietuvos Respublikos ilgalaikio gyventojo leidimą gyventi Europos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3b56036826594933ae84ebe383eaed2d"/>
                    <w:lock w:val="sdtLocked"/>
                    <w:richText/>
                  </w:sdtPr>
                  <w:sdtContent>
                    <w:p>
                      <w:pPr>
                        <w:widowControl w:val="0"/>
                        <w:suppressAutoHyphens/>
                        <w:ind w:firstLine="708"/>
                        <w:jc w:val="both"/>
                        <w:rPr>
                          <w:color w:val="000000"/>
                        </w:rPr>
                      </w:pPr>
                      <w:sdt>
                        <w:sdtPr>
                          <w:alias w:val="Numeris"/>
                          <w:tag w:val="nr_3b56036826594933ae84ebe383eaed2d"/>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ir kitas valstybės institucijas ir įstaigas.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05592146fa6c4cdfb4d860d99b596edb"/>
                    <w:lock w:val="sdtLocked"/>
                    <w:richText/>
                  </w:sdtPr>
                  <w:sdtContent>
                    <w:p>
                      <w:pPr>
                        <w:widowControl w:val="0"/>
                        <w:suppressAutoHyphens/>
                        <w:ind w:firstLine="708"/>
                        <w:jc w:val="both"/>
                        <w:rPr>
                          <w:bCs/>
                          <w:color w:val="000000"/>
                        </w:rPr>
                      </w:pPr>
                      <w:sdt>
                        <w:sdtPr>
                          <w:alias w:val="Numeris"/>
                          <w:tag w:val="nr_05592146fa6c4cdfb4d860d99b596edb"/>
                          <w:lock w:val="sdtLocked"/>
                          <w:richText/>
                        </w:sdtPr>
                        <w:sdtContent>
                          <w:r>
                            <w:rPr>
                              <w:color w:val="000000"/>
                            </w:rPr>
                            <w:t>1</w:t>
                          </w:r>
                        </w:sdtContent>
                      </w:sdt>
                      <w:r>
                        <w:rPr>
                          <w:color w:val="000000"/>
                        </w:rPr>
                        <w:t>. Už neįgaliųjų integravimą į kultūrinę veiklą, poilsį ir sportą ir lygių galimybių jiems dalyvauti šiose gyvenimo srityse kartu su kitais visuomenės nariais sudarymą atsako Lietuvos Respublikos Vyriausybė arba jos įgaliotos institucijos ir savivaldybių institucijos. Lietuvos Respublikos Vyriausybė arba jos įgaliotos institucijos iš valstybės biudžeto lėšų, savivaldybių institucijos iš savivaldybių biudžetų lėšų remia neįgaliųjų asociacijų įgyvendinamas kultūros, kūno kultūros ir sporto programas ir kitas priemones, skirtas visiems atitinkamoje savivaldybės teritorijoje gyvenantiems neįgaliesiems.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b078f362aea94ee085fed2e8a04b808a"/>
                    <w:lock w:val="sdtLocked"/>
                    <w:richText/>
                  </w:sdtPr>
                  <w:sdtContent>
                    <w:p>
                      <w:pPr>
                        <w:widowControl w:val="0"/>
                        <w:ind w:firstLine="720"/>
                        <w:jc w:val="both"/>
                        <w:rPr>
                          <w:szCs w:val="24"/>
                        </w:rPr>
                      </w:pPr>
                      <w:sdt>
                        <w:sdtPr>
                          <w:alias w:val="Numeris"/>
                          <w:tag w:val="nr_b078f362aea94ee085fed2e8a04b808a"/>
                          <w:lock w:val="sdtLocked"/>
                          <w:richText/>
                        </w:sdtPr>
                        <w:sdtContent>
                          <w:r>
                            <w:rPr>
                              <w:szCs w:val="24"/>
                            </w:rPr>
                            <w:t>2</w:t>
                          </w:r>
                        </w:sdtContent>
                      </w:sdt>
                      <w:r>
                        <w:rPr>
                          <w:szCs w:val="24"/>
                        </w:rPr>
                        <w:t>. Neįgaliųjų socialinės integracijos politiką formuoja ir įgyvendina:</w:t>
                      </w:r>
                    </w:p>
                    <w:sdt>
                      <w:sdtPr>
                        <w:alias w:val="16 str. 2 d. 1 p."/>
                        <w:tag w:val="part_867da54d761a4500a85568d562a6a591"/>
                        <w:lock w:val="sdtLocked"/>
                        <w:richText/>
                      </w:sdtPr>
                      <w:sdtContent>
                        <w:p>
                          <w:pPr>
                            <w:widowControl w:val="0"/>
                            <w:ind w:firstLine="720"/>
                            <w:jc w:val="both"/>
                            <w:rPr>
                              <w:szCs w:val="24"/>
                            </w:rPr>
                          </w:pPr>
                          <w:sdt>
                            <w:sdtPr>
                              <w:alias w:val="Numeris"/>
                              <w:tag w:val="nr_867da54d761a4500a85568d562a6a591"/>
                              <w:lock w:val="sdtLocked"/>
                              <w:richText/>
                            </w:sdtPr>
                            <w:sdtContent>
                              <w:r>
                                <w:rPr>
                                  <w:szCs w:val="24"/>
                                </w:rPr>
                                <w:t>1</w:t>
                              </w:r>
                            </w:sdtContent>
                          </w:sdt>
                          <w:r>
                            <w:rPr>
                              <w:szCs w:val="24"/>
                            </w:rPr>
                            <w:t>) Lietuvos Respublikos Vyriausybė nustato neįgaliųjų socialinės integracijos politikos plėtros</w:t>
                          </w:r>
                          <w:r>
                            <w:rPr>
                              <w:color w:val="FF0000"/>
                              <w:szCs w:val="24"/>
                            </w:rPr>
                            <w:t xml:space="preserve"> </w:t>
                          </w:r>
                          <w:r>
                            <w:rPr>
                              <w:szCs w:val="24"/>
                            </w:rPr>
                            <w:t>kryptis;</w:t>
                          </w:r>
                        </w:p>
                      </w:sdtContent>
                    </w:sdt>
                    <w:sdt>
                      <w:sdtPr>
                        <w:alias w:val="16 str. 2 d. 2 p."/>
                        <w:tag w:val="part_6b342cd00c034da09e0aae2ac2f4874a"/>
                        <w:lock w:val="sdtLocked"/>
                        <w:richText/>
                      </w:sdtPr>
                      <w:sdtContent>
                        <w:p>
                          <w:pPr>
                            <w:widowControl w:val="0"/>
                            <w:ind w:firstLine="720"/>
                            <w:jc w:val="both"/>
                            <w:rPr>
                              <w:szCs w:val="24"/>
                            </w:rPr>
                          </w:pPr>
                          <w:sdt>
                            <w:sdtPr>
                              <w:alias w:val="Numeris"/>
                              <w:tag w:val="nr_6b342cd00c034da09e0aae2ac2f4874a"/>
                              <w:lock w:val="sdtLocked"/>
                              <w:richText/>
                            </w:sdtPr>
                            <w:sdtContent>
                              <w:r>
                                <w:rPr>
                                  <w:szCs w:val="24"/>
                                </w:rPr>
                                <w:t>2</w:t>
                              </w:r>
                            </w:sdtContent>
                          </w:sdt>
                          <w:r>
                            <w:rPr>
                              <w:szCs w:val="24"/>
                            </w:rPr>
                            <w:t>) Socialinės apsaugos ir darbo ministerija formuoja neįgaliųjų socialinės integracijos politiką, organizuoja, koordinuoja ir kontroliuoja jos įgyvendinimą;</w:t>
                          </w:r>
                        </w:p>
                      </w:sdtContent>
                    </w:sdt>
                    <w:sdt>
                      <w:sdtPr>
                        <w:alias w:val="16 str. 2 d. 3 p."/>
                        <w:tag w:val="part_13d7587d136e4d5cbf588e573f8030df"/>
                        <w:lock w:val="sdtLocked"/>
                        <w:richText/>
                      </w:sdtPr>
                      <w:sdtContent>
                        <w:p>
                          <w:pPr>
                            <w:widowControl w:val="0"/>
                            <w:ind w:firstLine="720"/>
                            <w:jc w:val="both"/>
                            <w:rPr>
                              <w:szCs w:val="24"/>
                            </w:rPr>
                          </w:pPr>
                          <w:sdt>
                            <w:sdtPr>
                              <w:alias w:val="Numeris"/>
                              <w:tag w:val="nr_13d7587d136e4d5cbf588e573f8030df"/>
                              <w:lock w:val="sdtLocked"/>
                              <w:richText/>
                            </w:sdtPr>
                            <w:sdtContent>
                              <w:r>
                                <w:rPr>
                                  <w:szCs w:val="24"/>
                                </w:rPr>
                                <w:t>3</w:t>
                              </w:r>
                            </w:sdtContent>
                          </w:sdt>
                          <w:r>
                            <w:rPr>
                              <w:szCs w:val="24"/>
                            </w:rPr>
                            <w:t>) ministerijos pagal kompetenciją formuoja neįgaliųjų socialinės integracijos politiką, organizuoja, koordinuoja ir kontroliuoja jos įgyvendinimą;</w:t>
                          </w:r>
                        </w:p>
                      </w:sdtContent>
                    </w:sdt>
                    <w:sdt>
                      <w:sdtPr>
                        <w:alias w:val="16 str. 2 d. 4 p."/>
                        <w:tag w:val="part_ae1761842f7b4433b5e6f0e0f371d403"/>
                        <w:lock w:val="sdtLocked"/>
                        <w:richText/>
                      </w:sdtPr>
                      <w:sdtContent>
                        <w:p>
                          <w:pPr>
                            <w:widowControl w:val="0"/>
                            <w:ind w:firstLine="720"/>
                            <w:jc w:val="both"/>
                            <w:rPr>
                              <w:szCs w:val="24"/>
                            </w:rPr>
                          </w:pPr>
                          <w:sdt>
                            <w:sdtPr>
                              <w:alias w:val="Numeris"/>
                              <w:tag w:val="nr_ae1761842f7b4433b5e6f0e0f371d403"/>
                              <w:lock w:val="sdtLocked"/>
                              <w:richText/>
                            </w:sdtPr>
                            <w:sdtContent>
                              <w:r>
                                <w:rPr>
                                  <w:szCs w:val="24"/>
                                </w:rPr>
                                <w:t>4</w:t>
                              </w:r>
                            </w:sdtContent>
                          </w:sdt>
                          <w:r>
                            <w:rPr>
                              <w:szCs w:val="24"/>
                            </w:rPr>
                            <w:t>) Neįgaliųjų reikalų departamentas prie Socialinės apsaugos ir darbo ministerijos (toliau – Neįgaliųjų reikalų departamentas) pagal kompetenciją organizuoja neįgaliųjų socialinės integracijos politikos įgyvendinimą ir, įtraukdamas neįgaliųjų asociacijas, organizuoja neįgaliųjų socialinės integracijos veiklos rezultatų stebėseną, rengia Jungtinių Tautų neįgaliųjų teisių konvencijos ir jos Fakultatyvaus protokolo įgyvendinimo stebėsenos ataskaitas;</w:t>
                          </w:r>
                        </w:p>
                      </w:sdtContent>
                    </w:sdt>
                    <w:sdt>
                      <w:sdtPr>
                        <w:alias w:val="16 str. 2 d. 5 p."/>
                        <w:tag w:val="part_1b14c040b9e04e519d7f9ef157517237"/>
                        <w:lock w:val="sdtLocked"/>
                        <w:richText/>
                      </w:sdtPr>
                      <w:sdtContent>
                        <w:p>
                          <w:pPr>
                            <w:widowControl w:val="0"/>
                            <w:tabs>
                              <w:tab w:val="left" w:pos="0"/>
                              <w:tab w:val="left" w:pos="1701"/>
                            </w:tabs>
                            <w:ind w:firstLine="720"/>
                            <w:jc w:val="both"/>
                            <w:rPr>
                              <w:szCs w:val="24"/>
                            </w:rPr>
                          </w:pPr>
                          <w:sdt>
                            <w:sdtPr>
                              <w:alias w:val="Numeris"/>
                              <w:tag w:val="nr_1b14c040b9e04e519d7f9ef157517237"/>
                              <w:lock w:val="sdtLocked"/>
                              <w:richText/>
                            </w:sdtPr>
                            <w:sdtContent>
                              <w:r>
                                <w:rPr>
                                  <w:szCs w:val="24"/>
                                </w:rPr>
                                <w:t>5</w:t>
                              </w:r>
                            </w:sdtContent>
                          </w:sdt>
                          <w:r>
                            <w:rPr>
                              <w:szCs w:val="24"/>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ir specialiųjų poreikių nustatymo;</w:t>
                          </w:r>
                        </w:p>
                      </w:sdtContent>
                    </w:sdt>
                    <w:sdt>
                      <w:sdtPr>
                        <w:alias w:val="16 str. 2 d. 6 p."/>
                        <w:tag w:val="part_e609ed36c9a44888a80b296d9e4a6eb8"/>
                        <w:lock w:val="sdtLocked"/>
                        <w:richText/>
                      </w:sdtPr>
                      <w:sdtContent>
                        <w:p>
                          <w:pPr>
                            <w:widowControl w:val="0"/>
                            <w:tabs>
                              <w:tab w:val="left" w:pos="0"/>
                              <w:tab w:val="left" w:pos="1701"/>
                            </w:tabs>
                            <w:ind w:firstLine="720"/>
                            <w:jc w:val="both"/>
                            <w:rPr>
                              <w:szCs w:val="24"/>
                            </w:rPr>
                          </w:pPr>
                          <w:sdt>
                            <w:sdtPr>
                              <w:alias w:val="Numeris"/>
                              <w:tag w:val="nr_e609ed36c9a44888a80b296d9e4a6eb8"/>
                              <w:lock w:val="sdtLocked"/>
                              <w:richText/>
                            </w:sdtPr>
                            <w:sdtContent>
                              <w:r>
                                <w:rPr>
                                  <w:szCs w:val="24"/>
                                </w:rPr>
                                <w:t>6</w:t>
                              </w:r>
                            </w:sdtContent>
                          </w:sdt>
                          <w:r>
                            <w:rPr>
                              <w:szCs w:val="24"/>
                            </w:rPr>
                            <w:t>) savivaldybės vykdo neįgaliųjų socialinės integracijos, neįgaliųjų specialiųjų poreikių tenkinimo teikiant bendrąsias ir specialiąsias socialines paslaugas, sąlygų neįgaliesiems integruotis į bendruomenę sudarymo ir bendradarbiavimo su neįgaliųjų asociacijomis srityse veiklą ir planuoja ją savivaldybės strateginio planavimo dokumentuose;</w:t>
                          </w:r>
                        </w:p>
                      </w:sdtContent>
                    </w:sdt>
                    <w:sdt>
                      <w:sdtPr>
                        <w:alias w:val="16 str. 2 d. 7 p."/>
                        <w:tag w:val="part_eb14c2f40cc84e31a8f7b0fab4b2db15"/>
                        <w:lock w:val="sdtLocked"/>
                        <w:richText/>
                      </w:sdtPr>
                      <w:sdtContent>
                        <w:p>
                          <w:pPr>
                            <w:ind w:firstLine="720"/>
                            <w:jc w:val="both"/>
                            <w:rPr>
                              <w:b/>
                              <w:color w:val="000000"/>
                            </w:rPr>
                          </w:pPr>
                          <w:sdt>
                            <w:sdtPr>
                              <w:alias w:val="Numeris"/>
                              <w:tag w:val="nr_eb14c2f40cc84e31a8f7b0fab4b2db15"/>
                              <w:lock w:val="sdtLocked"/>
                              <w:richText/>
                            </w:sdtPr>
                            <w:sdtContent>
                              <w:r>
                                <w:t>7</w:t>
                              </w:r>
                            </w:sdtContent>
                          </w:sdt>
                          <w:r>
                            <w:t>) neįgaliųjų asociacijos atstovauja neįgaliųjų interesams, padeda įgyvendinti neįgaliųjų socialinės integracijos priemones: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7fabf84c0f5c4fc1a00ac001fda9c82a"/>
                    <w:lock w:val="sdtLocked"/>
                    <w:richText/>
                  </w:sdtPr>
                  <w:sdtContent>
                    <w:p>
                      <w:pPr>
                        <w:widowControl w:val="0"/>
                        <w:ind w:firstLine="720"/>
                        <w:jc w:val="both"/>
                        <w:rPr>
                          <w:color w:val="000000"/>
                        </w:rPr>
                      </w:pPr>
                      <w:sdt>
                        <w:sdtPr>
                          <w:alias w:val="Numeris"/>
                          <w:tag w:val="nr_7fabf84c0f5c4fc1a00ac001fda9c82a"/>
                          <w:lock w:val="sdtLocked"/>
                          <w:richText/>
                        </w:sdtPr>
                        <w:sdtContent>
                          <w:r>
                            <w:rPr>
                              <w:szCs w:val="24"/>
                            </w:rPr>
                            <w:t>1</w:t>
                          </w:r>
                        </w:sdtContent>
                      </w:sdt>
                      <w:r>
                        <w:rPr>
                          <w:szCs w:val="24"/>
                        </w:rPr>
                        <w:t>. Neįgalumo lygį ir darbingumo lygį nustato</w:t>
                      </w:r>
                      <w:r>
                        <w:rPr>
                          <w:b/>
                          <w:szCs w:val="24"/>
                        </w:rPr>
                        <w:t xml:space="preserve"> </w:t>
                      </w:r>
                      <w:r>
                        <w:rPr>
                          <w:szCs w:val="24"/>
                        </w:rPr>
                        <w:t>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d08f03d511cd4149966e076e1868662a"/>
                    <w:lock w:val="sdtLocked"/>
                    <w:richText/>
                  </w:sdtPr>
                  <w:sdtContent>
                    <w:p>
                      <w:pPr>
                        <w:ind w:firstLine="708"/>
                        <w:jc w:val="both"/>
                        <w:rPr>
                          <w:color w:val="000000"/>
                        </w:rPr>
                      </w:pPr>
                      <w:sdt>
                        <w:sdtPr>
                          <w:alias w:val="Numeris"/>
                          <w:tag w:val="nr_d08f03d511cd4149966e076e1868662a"/>
                          <w:lock w:val="sdtLocked"/>
                          <w:richText/>
                        </w:sdtPr>
                        <w:sdtContent>
                          <w:r>
                            <w:rPr>
                              <w:color w:val="000000"/>
                            </w:rPr>
                            <w:t>5</w:t>
                          </w:r>
                        </w:sdtContent>
                      </w:sdt>
                      <w:r>
                        <w:rPr>
                          <w:color w:val="000000"/>
                        </w:rPr>
                        <w:t xml:space="preserve">. Neįgalumo lygio nustatymo kriterijus ir tvarką nustato Sveikatos apsaugos ministerija kartu su Socialinės apsaugos ir darbo ministerija bei Švietimo ir mokslo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8c09b5ec01d740d8b2b25a8981a09218"/>
                        <w:lock w:val="sdtLocked"/>
                        <w:richText/>
                      </w:sdtPr>
                      <w:sdtContent>
                        <w:p>
                          <w:pPr>
                            <w:widowControl w:val="0"/>
                            <w:ind w:firstLine="708"/>
                            <w:jc w:val="both"/>
                            <w:rPr>
                              <w:color w:val="000000"/>
                            </w:rPr>
                          </w:pPr>
                          <w:sdt>
                            <w:sdtPr>
                              <w:alias w:val="Numeris"/>
                              <w:tag w:val="nr_8c09b5ec01d740d8b2b25a8981a09218"/>
                              <w:lock w:val="sdtLocked"/>
                              <w:richText/>
                            </w:sdtPr>
                            <w:sdtContent>
                              <w:r>
                                <w:rPr>
                                  <w:color w:val="000000"/>
                                  <w:szCs w:val="24"/>
                                  <w:lang w:eastAsia="lt-LT"/>
                                </w:rPr>
                                <w:t>1</w:t>
                              </w:r>
                            </w:sdtContent>
                          </w:sdt>
                          <w:r>
                            <w:rPr>
                              <w:color w:val="000000"/>
                              <w:szCs w:val="24"/>
                              <w:lang w:eastAsia="lt-LT"/>
                            </w:rPr>
                            <w:t>) jei asmeniui nustatoma 0–25 procentų darbingumo, asmuo laikomas nedarbingu, t. y. asmuo negali dirbti arba gali dirbti tik pagal negalios pobūdį pritaikytoje darbo vietoje ar pritaikytomis darbo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2 p."/>
                        <w:tag w:val="part_ff4072a6bca64d95b4293c6839211c48"/>
                        <w:lock w:val="sdtLocked"/>
                        <w:richText/>
                      </w:sdtPr>
                      <w:sdtContent>
                        <w:p>
                          <w:pPr>
                            <w:widowControl w:val="0"/>
                            <w:ind w:firstLine="708"/>
                            <w:jc w:val="both"/>
                            <w:rPr>
                              <w:color w:val="000000"/>
                            </w:rPr>
                          </w:pPr>
                          <w:sdt>
                            <w:sdtPr>
                              <w:alias w:val="Numeris"/>
                              <w:tag w:val="nr_ff4072a6bca64d95b4293c6839211c48"/>
                              <w:lock w:val="sdtLocked"/>
                              <w:richText/>
                            </w:sdtPr>
                            <w:sdtContent>
                              <w:r>
                                <w:rPr>
                                  <w:color w:val="000000"/>
                                  <w:szCs w:val="24"/>
                                  <w:lang w:eastAsia="lt-LT"/>
                                </w:rPr>
                                <w:t>2</w:t>
                              </w:r>
                            </w:sdtContent>
                          </w:sdt>
                          <w:r>
                            <w:rPr>
                              <w:color w:val="000000"/>
                              <w:szCs w:val="24"/>
                              <w:lang w:eastAsia="lt-LT"/>
                            </w:rPr>
                            <w:t>) jei asmeniui nustatoma 30–55 procentų darbingumo, asmuo laikomas iš dalies darbingu, t. y. asmuo gali dirbti pagal negalios pobūdį pritaikytoje darbo vietoje arba jam nebūtina pritaikyti darbo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7092293a13dd4e228d8861f9aa1a5c12"/>
                    <w:lock w:val="sdtLocked"/>
                    <w:richText/>
                  </w:sdtPr>
                  <w:sdtContent>
                    <w:p>
                      <w:pPr>
                        <w:ind w:firstLine="708"/>
                        <w:jc w:val="both"/>
                        <w:rPr>
                          <w:b/>
                          <w:color w:val="000000"/>
                        </w:rPr>
                      </w:pPr>
                      <w:sdt>
                        <w:sdtPr>
                          <w:alias w:val="Numeris"/>
                          <w:tag w:val="nr_7092293a13dd4e228d8861f9aa1a5c12"/>
                          <w:lock w:val="sdtLocked"/>
                          <w:richText/>
                        </w:sdtPr>
                        <w:sdtContent>
                          <w:r>
                            <w:rPr>
                              <w:color w:val="000000"/>
                            </w:rPr>
                            <w:t>9</w:t>
                          </w:r>
                        </w:sdtContent>
                      </w:sdt>
                      <w:r>
                        <w:rPr>
                          <w:color w:val="000000"/>
                        </w:rPr>
                        <w:t xml:space="preserve">. Darbingumo lygio nustatymo kriterijus ir tvarką nustato Socialinės apsaugos ir darbo ministerija kartu su Sveikatos apsaugos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bc0ddd580dd044d99e2cffc3a065a71b"/>
                    <w:lock w:val="sdtLocked"/>
                    <w:richText/>
                  </w:sdtPr>
                  <w:sdtContent>
                    <w:p>
                      <w:pPr>
                        <w:widowControl w:val="0"/>
                        <w:suppressAutoHyphens/>
                        <w:ind w:firstLine="708"/>
                        <w:jc w:val="both"/>
                        <w:rPr>
                          <w:color w:val="000000"/>
                        </w:rPr>
                      </w:pPr>
                      <w:sdt>
                        <w:sdtPr>
                          <w:alias w:val="Numeris"/>
                          <w:tag w:val="nr_bc0ddd580dd044d99e2cffc3a065a71b"/>
                          <w:lock w:val="sdtLocked"/>
                          <w:richText/>
                        </w:sdtPr>
                        <w:sdtContent>
                          <w:r>
                            <w:rPr>
                              <w:color w:val="000000"/>
                            </w:rPr>
                            <w:t>4</w:t>
                          </w:r>
                        </w:sdtContent>
                      </w:sdt>
                      <w:r>
                        <w:rPr>
                          <w:color w:val="000000"/>
                        </w:rPr>
                        <w:t>. Profesinės reabilitacijos pašalpa asmeniui skiriama nuo pirmos dalyvavimo profesinės reabilitacijos programoje dienos ir mokama kiekvieną mėnesį, bet ne ilgiau kaip 180 kalendorinių dienų. Ši pašalpa skiriama ir mokama neatsižvelgiant į kitas asmens gaunamas pajamas.</w:t>
                      </w:r>
                    </w:p>
                    <w:p>
                      <w:pPr>
                        <w:widowControl w:val="0"/>
                        <w:suppressAutoHyphens/>
                        <w:jc w:val="both"/>
                        <w:rPr>
                          <w:color w:val="000000"/>
                        </w:rPr>
                      </w:pPr>
                      <w:r>
                        <w:rPr>
                          <w:b/>
                          <w:i/>
                          <w:color w:val="000000"/>
                          <w:sz w:val="20"/>
                        </w:rPr>
                        <w:t>TAR pastaba.</w:t>
                      </w:r>
                      <w:r>
                        <w:rPr>
                          <w:i/>
                          <w:color w:val="000000"/>
                          <w:sz w:val="20"/>
                        </w:rPr>
                        <w:t xml:space="preserve"> 4 dalies nuostatos netaikomos asmenims, kuriems profesinės reabilitacijos pašalpa paskirta iki įstatymo Nr. XI-791 įsigaliojimo (2010-07-01).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3 d."/>
                    <w:tag w:val="part_d5e8b9212a5c484cb41c574d51bcf04e"/>
                    <w:lock w:val="sdtLocked"/>
                    <w:richText/>
                  </w:sdtPr>
                  <w:sdtContent>
                    <w:p>
                      <w:pPr>
                        <w:ind w:firstLine="720"/>
                        <w:jc w:val="both"/>
                        <w:rPr>
                          <w:lang w:eastAsia="lt-LT"/>
                        </w:rPr>
                      </w:pPr>
                      <w:sdt>
                        <w:sdtPr>
                          <w:alias w:val="Numeris"/>
                          <w:tag w:val="nr_d5e8b9212a5c484cb41c574d51bcf04e"/>
                          <w:lock w:val="sdtLocked"/>
                          <w:richText/>
                        </w:sdtPr>
                        <w:sdtContent>
                          <w:r>
                            <w:rPr>
                              <w:lang w:eastAsia="lt-LT"/>
                            </w:rPr>
                            <w:t>3</w:t>
                          </w:r>
                        </w:sdtContent>
                      </w:sdt>
                      <w:r>
                        <w:rPr>
                          <w:lang w:eastAsia="lt-LT"/>
                        </w:rPr>
                        <w:t>. Specialieji poreikiai gali būti nustatomi tokiais terminais:</w:t>
                      </w:r>
                    </w:p>
                    <w:sdt>
                      <w:sdtPr>
                        <w:alias w:val="3 d. 1 p."/>
                        <w:tag w:val="part_f728b38f1fc7402882172103c50fdf5c"/>
                        <w:lock w:val="sdtLocked"/>
                        <w:richText/>
                      </w:sdtPr>
                      <w:sdtContent>
                        <w:p>
                          <w:pPr>
                            <w:ind w:firstLine="720"/>
                            <w:jc w:val="both"/>
                            <w:rPr>
                              <w:szCs w:val="24"/>
                              <w:lang w:eastAsia="x-none"/>
                            </w:rPr>
                          </w:pPr>
                          <w:sdt>
                            <w:sdtPr>
                              <w:alias w:val="Numeris"/>
                              <w:tag w:val="nr_f728b38f1fc7402882172103c50fdf5c"/>
                              <w:lock w:val="sdtLocked"/>
                              <w:richText/>
                            </w:sdtPr>
                            <w:sdtContent>
                              <w:r>
                                <w:rPr>
                                  <w:szCs w:val="24"/>
                                  <w:lang w:eastAsia="x-none"/>
                                </w:rPr>
                                <w:t>1</w:t>
                              </w:r>
                            </w:sdtContent>
                          </w:sdt>
                          <w:r>
                            <w:rPr>
                              <w:szCs w:val="24"/>
                              <w:lang w:eastAsia="x-none"/>
                            </w:rPr>
                            <w:t>) 6 mėnesiams, kai specialieji poreikiai vertinami pirmą kartą ir prognozuojamas greitas asmens sveikatos būklės pasikeitimas, darantis įtaką asmens savarankiškumui, per artimiausius 6 mėnesius;</w:t>
                          </w:r>
                        </w:p>
                      </w:sdtContent>
                    </w:sdt>
                    <w:sdt>
                      <w:sdtPr>
                        <w:alias w:val="3 d. 2 p."/>
                        <w:tag w:val="part_f30cc4925c714fea87b0e5c4cb1782ce"/>
                        <w:lock w:val="sdtLocked"/>
                        <w:richText/>
                      </w:sdtPr>
                      <w:sdtContent>
                        <w:p>
                          <w:pPr>
                            <w:ind w:firstLine="720"/>
                            <w:jc w:val="both"/>
                            <w:rPr>
                              <w:szCs w:val="24"/>
                              <w:lang w:eastAsia="x-none"/>
                            </w:rPr>
                          </w:pPr>
                          <w:sdt>
                            <w:sdtPr>
                              <w:alias w:val="Numeris"/>
                              <w:tag w:val="nr_f30cc4925c714fea87b0e5c4cb1782ce"/>
                              <w:lock w:val="sdtLocked"/>
                              <w:richText/>
                            </w:sdtPr>
                            <w:sdtContent>
                              <w:r>
                                <w:rPr>
                                  <w:szCs w:val="24"/>
                                  <w:lang w:eastAsia="x-none"/>
                                </w:rPr>
                                <w:t>2</w:t>
                              </w:r>
                            </w:sdtContent>
                          </w:sdt>
                          <w:r>
                            <w:rPr>
                              <w:szCs w:val="24"/>
                              <w:lang w:eastAsia="x-none"/>
                            </w:rPr>
                            <w:t>) vieniems metams, kai specialieji poreikiai vertinami pirmą kartą ir (ar) prognozuojamas asmens sveikatos būklės pasikeitimas, darantis įtaką asmens savarankiškumui, per artimiausius 12 mėnesių;</w:t>
                          </w:r>
                        </w:p>
                      </w:sdtContent>
                    </w:sdt>
                    <w:sdt>
                      <w:sdtPr>
                        <w:alias w:val="3 d. 3 p."/>
                        <w:tag w:val="part_7aae82a6fb8e429c8f49a18682f2d5f8"/>
                        <w:lock w:val="sdtLocked"/>
                        <w:richText/>
                      </w:sdtPr>
                      <w:sdtContent>
                        <w:p>
                          <w:pPr>
                            <w:ind w:firstLine="720"/>
                            <w:jc w:val="both"/>
                            <w:rPr>
                              <w:szCs w:val="24"/>
                              <w:lang w:eastAsia="x-none"/>
                            </w:rPr>
                          </w:pPr>
                          <w:sdt>
                            <w:sdtPr>
                              <w:alias w:val="Numeris"/>
                              <w:tag w:val="nr_7aae82a6fb8e429c8f49a18682f2d5f8"/>
                              <w:lock w:val="sdtLocked"/>
                              <w:richText/>
                            </w:sdtPr>
                            <w:sdtContent>
                              <w:r>
                                <w:rPr>
                                  <w:szCs w:val="24"/>
                                  <w:lang w:eastAsia="x-none"/>
                                </w:rPr>
                                <w:t>3</w:t>
                              </w:r>
                            </w:sdtContent>
                          </w:sdt>
                          <w:r>
                            <w:rPr>
                              <w:szCs w:val="24"/>
                              <w:lang w:eastAsia="x-none"/>
                            </w:rPr>
                            <w:t>) 2 metams, kai prognozuojamas asmens sveikatos būklės pasikeitimas, darantis įtaką asmens savarankiškumui, per artimiausius 24 mėnesius;</w:t>
                          </w:r>
                        </w:p>
                      </w:sdtContent>
                    </w:sdt>
                    <w:sdt>
                      <w:sdtPr>
                        <w:alias w:val="3 d. 4 p."/>
                        <w:tag w:val="part_3e7efaaacbc7451896df8bcc66410aa8"/>
                        <w:lock w:val="sdtLocked"/>
                        <w:richText/>
                      </w:sdtPr>
                      <w:sdtContent>
                        <w:p>
                          <w:pPr>
                            <w:ind w:firstLine="720"/>
                            <w:jc w:val="both"/>
                            <w:rPr>
                              <w:szCs w:val="24"/>
                              <w:lang w:eastAsia="x-none"/>
                            </w:rPr>
                          </w:pPr>
                          <w:sdt>
                            <w:sdtPr>
                              <w:alias w:val="Numeris"/>
                              <w:tag w:val="nr_3e7efaaacbc7451896df8bcc66410aa8"/>
                              <w:lock w:val="sdtLocked"/>
                              <w:richText/>
                            </w:sdtPr>
                            <w:sdtContent>
                              <w:r>
                                <w:rPr>
                                  <w:szCs w:val="24"/>
                                  <w:lang w:eastAsia="x-none"/>
                                </w:rPr>
                                <w:t>4</w:t>
                              </w:r>
                            </w:sdtContent>
                          </w:sdt>
                          <w:r>
                            <w:rPr>
                              <w:szCs w:val="24"/>
                              <w:lang w:eastAsia="x-none"/>
                            </w:rPr>
                            <w:t>) 6 metams, kai vertinamas lengvojo automobilio įsigijimo ir jo techninio pritaikymo išlaidų kompensacijos poreikis ir prognozuojamas asmens sveikatos būklės pasikeitimas per artimiausius 72 mėnesius;</w:t>
                          </w:r>
                        </w:p>
                      </w:sdtContent>
                    </w:sdt>
                    <w:sdt>
                      <w:sdtPr>
                        <w:alias w:val="3 d. 5 p."/>
                        <w:tag w:val="part_b4d1b7d074bc4aa4b768c07a3b8f21aa"/>
                        <w:lock w:val="sdtLocked"/>
                        <w:richText/>
                      </w:sdtPr>
                      <w:sdtContent>
                        <w:p>
                          <w:pPr>
                            <w:ind w:firstLine="720"/>
                            <w:jc w:val="both"/>
                            <w:rPr>
                              <w:bCs/>
                              <w:color w:val="000000"/>
                            </w:rPr>
                          </w:pPr>
                          <w:sdt>
                            <w:sdtPr>
                              <w:alias w:val="Numeris"/>
                              <w:tag w:val="nr_b4d1b7d074bc4aa4b768c07a3b8f21aa"/>
                              <w:lock w:val="sdtLocked"/>
                              <w:richText/>
                            </w:sdtPr>
                            <w:sdtContent>
                              <w:r>
                                <w:rPr>
                                  <w:szCs w:val="24"/>
                                  <w:lang w:eastAsia="x-none"/>
                                </w:rPr>
                                <w:t>5</w:t>
                              </w:r>
                            </w:sdtContent>
                          </w:sdt>
                          <w:r>
                            <w:rPr>
                              <w:szCs w:val="24"/>
                              <w:lang w:eastAsia="x-none"/>
                            </w:rPr>
                            <w:t>) neterminuotai, kai asmens sveikatos sutrikimai yra nuolatinio, nekintančio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Specialiųjų poreikių ir specialiųjų poreikių lygio terminai, nustatyti iki įstatymo Nr. XII-2658 įsigaliojimo (2016-10-07), galioja iki nustatyto termino pabaigos.  Jeigu nustatant specialiuosius poreikius specialiųjų poreikių terminas nenustatytas, jis turi būti nustatytas per 180 dienų įsigaliojus įstatymui Nr. XII-2658 , termino pradžią skaičiuojant nuo specialiųjų poreikių nustatymo dienos. Specialiųjų poreikių terminas nustatomas asmeniui nedalyvaujant. Apie nustatytą specialiųjų poreikių terminą per 5 dienas nuo sprendimo dėl specialiųjų poreikių nustatymo termino priėmimo dienos informuojamas asmuo, kuriam nustatyti specialieji poreikiai, ir tikslines kompensacijas mokančios institucijos.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26be08b8f11e6b969d7ae07280e89">
                        <w:r w:rsidRPr="00532B9F">
                          <w:rPr>
                            <w:rFonts w:ascii="Times New Roman" w:eastAsia="MS Mincho" w:hAnsi="Times New Roman"/>
                            <w:sz w:val="20"/>
                            <w:i/>
                            <w:iCs/>
                            <w:color w:val="0000FF" w:themeColor="hyperlink"/>
                            <w:u w:val="single"/>
                          </w:rPr>
                          <w:t>XII-2658</w:t>
                        </w:r>
                      </w:fldSimple>
                      <w:r>
                        <w:rPr>
                          <w:rFonts w:ascii="Times New Roman" w:eastAsia="MS Mincho" w:hAnsi="Times New Roman"/>
                          <w:sz w:val="20"/>
                          <w:i/>
                          <w:iCs/>
                        </w:rPr>
                        <w:t>,
2016-09-27,
paskelbta TAR 2016-10-06, i. k. 2016-24700        </w:t>
                      </w:r>
                    </w:p>
                    <w:p/>
                  </w:sdtContent>
                </w:sdt>
                <w:sdt>
                  <w:sdtPr>
                    <w:alias w:val="24 str. 4 d."/>
                    <w:tag w:val="part_6b10fa2bec3d4bcf9f6396bff5b2525f"/>
                    <w:lock w:val="sdtLocked"/>
                    <w:richText/>
                  </w:sdtPr>
                  <w:sdtContent>
                    <w:p>
                      <w:pPr>
                        <w:ind w:firstLine="708"/>
                        <w:jc w:val="both"/>
                        <w:rPr>
                          <w:b/>
                          <w:color w:val="000000"/>
                        </w:rPr>
                      </w:pPr>
                      <w:sdt>
                        <w:sdtPr>
                          <w:alias w:val="Numeris"/>
                          <w:tag w:val="nr_6b10fa2bec3d4bcf9f6396bff5b2525f"/>
                          <w:lock w:val="sdtLocked"/>
                          <w:richText/>
                        </w:sdtPr>
                        <w:sdtContent>
                          <w:r>
                            <w:rPr>
                              <w:bCs/>
                              <w:color w:val="000000"/>
                            </w:rPr>
                            <w:t>4</w:t>
                          </w:r>
                        </w:sdtContent>
                      </w:sdt>
                      <w:r>
                        <w:rPr>
                          <w:bCs/>
                          <w:color w:val="000000"/>
                        </w:rPr>
                        <w:t>. Specialiųjų poreikių ir jų lygio nustatymo, specialiųjų poreikių tenkinimo tvarką ir sąlygas nustato Lietuvos Respublikos Vyriausybė arba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26be08b8f11e6b969d7ae07280e89">
                        <w:r w:rsidRPr="00532B9F">
                          <w:rPr>
                            <w:rFonts w:ascii="Times New Roman" w:eastAsia="MS Mincho" w:hAnsi="Times New Roman"/>
                            <w:sz w:val="20"/>
                            <w:i/>
                            <w:iCs/>
                            <w:color w:val="0000FF" w:themeColor="hyperlink"/>
                            <w:u w:val="single"/>
                          </w:rPr>
                          <w:t>XII-2658</w:t>
                        </w:r>
                      </w:fldSimple>
                      <w:r>
                        <w:rPr>
                          <w:rFonts w:ascii="Times New Roman" w:eastAsia="MS Mincho" w:hAnsi="Times New Roman"/>
                          <w:sz w:val="20"/>
                          <w:i/>
                          <w:iCs/>
                        </w:rPr>
                        <w:t>,
2016-09-27,
paskelbta TAR 2016-10-06, i. k. 2016-24700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f73f0e37099f48c188829884e7f0598a"/>
        <w:lock w:val="sdtLocked"/>
        <w:richText/>
      </w:sdtPr>
      <w:sdtContent>
        <w:p>
          <w:pPr>
            <w:widowControl w:val="0"/>
            <w:suppressAutoHyphens/>
            <w:ind w:left="4535"/>
            <w:rPr>
              <w:color w:val="000000"/>
            </w:rPr>
          </w:pPr>
        </w:p>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f73f0e37099f48c188829884e7f0598a"/>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EF044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0a0f068ddaa4ee88b46198e515e1862"/>
        <Part Type="strDalis" Nr="2" Abbr="1 str. 2 d." DocPartId="573fa17414464e289d20424f0a8667c4" PartId="1b5d1c4b585b44c7872aad792553a479"/>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3b56036826594933ae84ebe383eaed2d"/>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05592146fa6c4cdfb4d860d99b596edb"/>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b078f362aea94ee085fed2e8a04b808a">
          <Part Type="strPunktas" Nr="1" Abbr="16 str. 2 d. 1 p." DocPartId="66a5674ab43943cea5fe302b00f657ae" PartId="867da54d761a4500a85568d562a6a591"/>
          <Part Type="strPunktas" Nr="2" Abbr="16 str. 2 d. 2 p." DocPartId="56f335134c4944f0b0d424289ef1e712" PartId="6b342cd00c034da09e0aae2ac2f4874a"/>
          <Part Type="strPunktas" Nr="3" Abbr="16 str. 2 d. 3 p." DocPartId="0232321d92de4b4390d22935209d2067" PartId="13d7587d136e4d5cbf588e573f8030df"/>
          <Part Type="strPunktas" Nr="4" Abbr="16 str. 2 d. 4 p." DocPartId="f2ab5267be8b4a7a84ad8f553a295c14" PartId="ae1761842f7b4433b5e6f0e0f371d403"/>
          <Part Type="strPunktas" Nr="5" Abbr="16 str. 2 d. 5 p." DocPartId="7de0400550bb4cd588dd623bae3d554a" PartId="1b14c040b9e04e519d7f9ef157517237"/>
          <Part Type="strPunktas" Nr="6" Abbr="16 str. 2 d. 6 p." DocPartId="1fd43f93ebbf41088009a57413ae3605" PartId="e609ed36c9a44888a80b296d9e4a6eb8"/>
          <Part Type="strPunktas" Nr="7" Abbr="16 str. 2 d. 7 p." DocPartId="7dba9d28f7754265a5d598e924ab9eef" PartId="eb14c2f40cc84e31a8f7b0fab4b2db15"/>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7fabf84c0f5c4fc1a00ac001fda9c82a"/>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d08f03d511cd4149966e076e1868662a"/>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8c09b5ec01d740d8b2b25a8981a09218"/>
          <Part Type="strPunktas" Nr="2" Abbr="20 str. 7 d. 2 p." DocPartId="8b94b5701c564a1eb16cced6c2d7044e" PartId="ff4072a6bca64d95b4293c6839211c48"/>
          <Part Type="strPunktas" Nr="3" Abbr="20 str. 7 d. 3 p." DocPartId="dcb80dbdf7ab47feaa80177fc1bb90c8" PartId="d5612f941952442f990834a5226305df"/>
        </Part>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7092293a13dd4e228d8861f9aa1a5c12"/>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bc0ddd580dd044d99e2cffc3a065a71b"/>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3 d." DocPartId="f4777de8d25444c083168144e82a2b97" PartId="d5e8b9212a5c484cb41c574d51bcf04e">
          <Part Type="strPunktas" Nr="1" Abbr="3 d. 1 p." DocPartId="285914bbcad44c838dc85f796e3d112a" PartId="f728b38f1fc7402882172103c50fdf5c"/>
          <Part Type="strPunktas" Nr="2" Abbr="3 d. 2 p." DocPartId="1307a6c3a90f4535b437f4116b5f3563" PartId="f30cc4925c714fea87b0e5c4cb1782ce"/>
          <Part Type="strPunktas" Nr="3" Abbr="3 d. 3 p." DocPartId="1b66b5dc1c4e4de89252ccb925f39b7e" PartId="7aae82a6fb8e429c8f49a18682f2d5f8"/>
          <Part Type="strPunktas" Nr="4" Abbr="3 d. 4 p." DocPartId="d4e71d956d894e43820c2c331cd0c4b9" PartId="3e7efaaacbc7451896df8bcc66410aa8"/>
          <Part Type="strPunktas" Nr="5" Abbr="3 d. 5 p." DocPartId="e5de9123e139464e901d909635c14515" PartId="b4d1b7d074bc4aa4b768c07a3b8f21aa"/>
        </Part>
        <Part Type="strDalis" Nr="4" Abbr="24 str. 4 d." DocPartId="fb85b1bfc7954eef80a3c654c5e1a674" PartId="6b10fa2bec3d4bcf9f6396bff5b2525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c543151a35484b0b92debcffa198d594"/>
  </Part>
  <Part Type="priedas" Abbr="pr." Title="ĮGYVENDINAMI EUROPOS SĄJUNGOS TEISĖS AKTAI" DocPartId="dc3d50e55d164c22b6ec1f40289b3fb1" PartId="f73f0e37099f48c188829884e7f0598a">
    <Part Type="punktas" Nr="1" Abbr="pr. 1 p." DocPartId="d5e94da06a094a0692bad58e543039ed" PartId="27e9a1bb0b644628a4d7fa8b2cc202df"/>
    <Part Type="punktas" Nr="2" Abbr="2 p." DocPartId="55c4c941f37c40fb8c5a79275e2dbfee" PartId="278eee71763048b8bea8edbcbf149c60"/>
    <Part Type="punktas" Nr="3" Abbr="3 p." DocPartId="95296faf98ed482f92bc362ad19392fb" PartId="4ecc47034ff14f2fbb8300685d367405"/>
  </Part>
</Parts>
</file>

<file path=customXml/itemProps1.xml><?xml version="1.0" encoding="utf-8"?>
<ds:datastoreItem xmlns:ds="http://schemas.openxmlformats.org/officeDocument/2006/customXml" ds:itemID="{BE91BB34-E2CF-4264-993E-54586BE3A768}">
  <ds:schemaRefs>
    <ds:schemaRef ds:uri="http://lrs.lt/TAIS/DocParts"/>
  </ds:schemaRefs>
</ds:datastoreItem>
</file>

<file path=docProps/app.xml><?xml version="1.0" encoding="utf-8"?>
<Properties xmlns="http://schemas.openxmlformats.org/officeDocument/2006/extended-properties">
  <Template>Normal.dotm</Template>
  <TotalTime>25</TotalTime>
  <Pages>12</Pages>
  <Words>26580</Words>
  <Characters>15152</Characters>
  <Application>Microsoft Office Word</Application>
  <DocSecurity>0</DocSecurity>
  <Lines>126</Lines>
  <Paragraphs>83</Paragraphs>
  <ScaleCrop>false</ScaleCrop>
  <Company/>
  <LinksUpToDate>false</LinksUpToDate>
  <CharactersWithSpaces>41649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2016-10-07T07:31:00Z</dcterms:modified>
  <revision>25</revision>
</coreProperties>
</file>