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2008-11-15 iki 2010-05-24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21214a02def54d499757a3bc1aead95f"/>
                    <w:lock w:val="sdtLocked"/>
                    <w:richText/>
                  </w:sdtPr>
                  <w:sdtContent>
                    <w:p>
                      <w:pPr>
                        <w:ind w:firstLine="708"/>
                        <w:jc w:val="both"/>
                        <w:rPr>
                          <w:color w:val="000000"/>
                        </w:rPr>
                      </w:pPr>
                      <w:sdt>
                        <w:sdtPr>
                          <w:alias w:val="Numeris"/>
                          <w:tag w:val="nr_21214a02def54d499757a3bc1aead95f"/>
                          <w:lock w:val="sdtLocked"/>
                          <w:richText/>
                        </w:sdtPr>
                        <w:sdtContent>
                          <w:r>
                            <w:rPr>
                              <w:bCs/>
                              <w:color w:val="000000"/>
                            </w:rPr>
                            <w:t>8</w:t>
                          </w:r>
                        </w:sdtContent>
                      </w:sdt>
                      <w:r>
                        <w:rPr>
                          <w:bCs/>
                          <w:color w:val="000000"/>
                        </w:rPr>
                        <w:t>.</w:t>
                      </w:r>
                      <w:r>
                        <w:rPr>
                          <w:b/>
                          <w:color w:val="000000"/>
                        </w:rPr>
                        <w:t xml:space="preserve"> Neįgalusis</w:t>
                      </w:r>
                      <w:r>
                        <w:rPr>
                          <w:color w:val="000000"/>
                        </w:rPr>
                        <w:t xml:space="preserve"> – asmuo, kuriam šio Įstatymo nustatyta tvarka pripažintas neįgalumo lygis arba mažesnis negu 55 procentų darbingumo lygis ir (ar) nustatyta specialiųjų poreikių tenkinimo reikmė. </w:t>
                      </w:r>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ddb827fe81ba429987b72bbcc68202ad"/>
                    <w:lock w:val="sdtLocked"/>
                    <w:richText/>
                  </w:sdtPr>
                  <w:sdtContent>
                    <w:p>
                      <w:pPr>
                        <w:ind w:firstLine="708"/>
                        <w:jc w:val="both"/>
                        <w:rPr>
                          <w:color w:val="000000"/>
                        </w:rPr>
                      </w:pPr>
                      <w:sdt>
                        <w:sdtPr>
                          <w:alias w:val="Numeris"/>
                          <w:tag w:val="nr_ddb827fe81ba429987b72bbcc68202ad"/>
                          <w:lock w:val="sdtLocked"/>
                          <w:richText/>
                        </w:sdtPr>
                        <w:sdtContent>
                          <w:r>
                            <w:rPr>
                              <w:color w:val="000000"/>
                            </w:rPr>
                            <w:t>3</w:t>
                          </w:r>
                        </w:sdtContent>
                      </w:sdt>
                      <w:r>
                        <w:rPr>
                          <w:color w:val="000000"/>
                        </w:rPr>
                        <w:t>. Už socialinės reabilitacijos paslaugų teikimo organizavimą ir šių paslaugų kokybės užtikrinimą atsako apskričių viršininkai ir savivaldybių institucijos.</w:t>
                      </w:r>
                    </w:p>
                    <w:p>
                      <w:pPr>
                        <w:ind w:firstLine="708"/>
                        <w:jc w:val="both"/>
                        <w:rPr>
                          <w:color w:val="000000"/>
                        </w:rPr>
                      </w:pPr>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bc74151aeec9413492a617658b47f0d6"/>
                    <w:lock w:val="sdtLocked"/>
                    <w:richText/>
                  </w:sdtPr>
                  <w:sdtContent>
                    <w:p>
                      <w:pPr>
                        <w:ind w:firstLine="708"/>
                        <w:jc w:val="both"/>
                        <w:rPr>
                          <w:bCs/>
                          <w:color w:val="000000"/>
                        </w:rPr>
                      </w:pPr>
                      <w:sdt>
                        <w:sdtPr>
                          <w:alias w:val="Numeris"/>
                          <w:tag w:val="nr_bc74151aeec9413492a617658b47f0d6"/>
                          <w:lock w:val="sdtLocked"/>
                          <w:richText/>
                        </w:sdtPr>
                        <w:sdtContent>
                          <w:r>
                            <w:rPr>
                              <w:color w:val="000000"/>
                            </w:rPr>
                            <w:t>1</w:t>
                          </w:r>
                        </w:sdtContent>
                      </w:sdt>
                      <w:r>
                        <w:rPr>
                          <w:color w:val="000000"/>
                        </w:rPr>
                        <w:t xml:space="preserve">. Už neįgaliųjų integravimą į kultūrinę veiklą, poilsį ir sportą ir lygių galimybių jiems dalyvauti šiose gyvenimo srityse kartu su kitais visuomenės nariais sudarymą atsako apskričių viršininkai ir savivaldybių institucijos. Apskričių viršininkai iš apskričių viršininkų administracijoms skirtų valstybės biudžeto lėšų, o savivaldybių institucijos iš savivaldybių biudžetų lėšų remia neįgaliųjų </w:t>
                      </w:r>
                      <w:r>
                        <w:rPr>
                          <w:bCs/>
                          <w:color w:val="000000"/>
                        </w:rPr>
                        <w:t>asociacijų įgyvendinamas kultūros, kūno kultūros ir sporto programas ir kitas priemones, skirtas visiems atitinkamoje apskrities ar savivaldybės teritorijoje gyvenantiems neįgaliesiems.</w:t>
                      </w:r>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d5a783dee6744e0ba06bab28cd1c7f56"/>
                        <w:lock w:val="sdtLocked"/>
                        <w:richText/>
                      </w:sdtPr>
                      <w:sdtContent>
                        <w:p>
                          <w:pPr>
                            <w:ind w:firstLine="708"/>
                            <w:jc w:val="both"/>
                            <w:rPr>
                              <w:color w:val="000000"/>
                            </w:rPr>
                          </w:pPr>
                          <w:sdt>
                            <w:sdtPr>
                              <w:alias w:val="Numeris"/>
                              <w:tag w:val="nr_d5a783dee6744e0ba06bab28cd1c7f56"/>
                              <w:lock w:val="sdtLocked"/>
                              <w:richText/>
                            </w:sdtPr>
                            <w:sdtContent>
                              <w:r>
                                <w:rPr>
                                  <w:color w:val="000000"/>
                                </w:rPr>
                                <w:t>1</w:t>
                              </w:r>
                            </w:sdtContent>
                          </w:sdt>
                          <w:r>
                            <w:rPr>
                              <w:color w:val="000000"/>
                            </w:rPr>
                            <w:t>) Lietuvos Respublikos Vyriausybė. Ji koordinuoja ir įgyvendina neįgaliųjų socialinės integracijos sistemą, tvirtina ilgalaikes valstybines neįgaliųjų socialinės integracijos programas ir strategijas;</w:t>
                          </w:r>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2f70f735ba074995a29be5db183137dc"/>
                        <w:lock w:val="sdtLocked"/>
                        <w:richText/>
                      </w:sdtPr>
                      <w:sdtContent>
                        <w:p>
                          <w:pPr>
                            <w:ind w:firstLine="708"/>
                            <w:jc w:val="both"/>
                            <w:rPr>
                              <w:bCs/>
                              <w:color w:val="000000"/>
                            </w:rPr>
                          </w:pPr>
                          <w:sdt>
                            <w:sdtPr>
                              <w:alias w:val="Numeris"/>
                              <w:tag w:val="nr_2f70f735ba074995a29be5db183137dc"/>
                              <w:lock w:val="sdtLocked"/>
                              <w:richText/>
                            </w:sdtPr>
                            <w:sdtContent>
                              <w:r>
                                <w:rPr>
                                  <w:bCs/>
                                  <w:color w:val="000000"/>
                                </w:rPr>
                                <w:t>4</w:t>
                              </w:r>
                            </w:sdtContent>
                          </w:sdt>
                          <w:r>
                            <w:rPr>
                              <w:bCs/>
                              <w:color w:val="000000"/>
                            </w:rPr>
                            <w:t>) apskričių viršininkai. Jie rengia, koordinuoja ir įgyvendina apskrities socialines programas ir socialinius projektus neįgaliesiems, vykdo kitas Apskrities valdymo įstatyme nustatytas funkcijas;</w:t>
                          </w:r>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cf24eff549574cf8bcbb3c0fe5725627"/>
                        <w:lock w:val="sdtLocked"/>
                        <w:richText/>
                      </w:sdtPr>
                      <w:sdtContent>
                        <w:p>
                          <w:pPr>
                            <w:ind w:firstLine="708"/>
                            <w:jc w:val="both"/>
                            <w:rPr>
                              <w:b/>
                              <w:color w:val="000000"/>
                            </w:rPr>
                          </w:pPr>
                          <w:sdt>
                            <w:sdtPr>
                              <w:alias w:val="Numeris"/>
                              <w:tag w:val="nr_cf24eff549574cf8bcbb3c0fe5725627"/>
                              <w:lock w:val="sdtLocked"/>
                              <w:richText/>
                            </w:sdtPr>
                            <w:sdtContent>
                              <w:r>
                                <w:rPr>
                                  <w:bCs/>
                                  <w:color w:val="000000"/>
                                </w:rPr>
                                <w:t>6</w:t>
                              </w:r>
                            </w:sdtContent>
                          </w:sdt>
                          <w:r>
                            <w:rPr>
                              <w:bCs/>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36e0eb4048fa41bb87a642be6f8b7d7a"/>
                    <w:lock w:val="sdtLocked"/>
                    <w:richText/>
                  </w:sdtPr>
                  <w:sdtContent>
                    <w:p>
                      <w:pPr>
                        <w:ind w:firstLine="708"/>
                        <w:jc w:val="both"/>
                        <w:rPr>
                          <w:color w:val="000000"/>
                        </w:rPr>
                      </w:pPr>
                      <w:sdt>
                        <w:sdtPr>
                          <w:alias w:val="Numeris"/>
                          <w:tag w:val="nr_36e0eb4048fa41bb87a642be6f8b7d7a"/>
                          <w:lock w:val="sdtLocked"/>
                          <w:richText/>
                        </w:sdtPr>
                        <w:sdtContent>
                          <w:r>
                            <w:rPr>
                              <w:color w:val="000000"/>
                            </w:rPr>
                            <w:t>4</w:t>
                          </w:r>
                        </w:sdtContent>
                      </w:sdt>
                      <w:r>
                        <w:rPr>
                          <w:color w:val="000000"/>
                        </w:rPr>
                        <w:t xml:space="preserve">. Profesinės reabilitacijos pašalpa asmeniui skiriama nuo pirmos dalyvavimo profesinės reabilitacijos programoje dienos ir mokama kiekvieną mėnesį, bet ne ilgiau kaip 180 kalendorinių dienų. Ši pašalpa skiriama ir mokama neatsižvelgiant į kitas asmens gaunamas pajamas. </w:t>
                      </w:r>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221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21214a02def54d499757a3bc1aead95f"/>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ddb827fe81ba429987b72bbcc68202ad"/>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bc74151aeec9413492a617658b47f0d6"/>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d5a783dee6744e0ba06bab28cd1c7f56"/>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2f70f735ba074995a29be5db183137dc"/>
          <Part Type="strPunktas" Nr="5" Abbr="16 str. 2 d. 5 p." DocPartId="c8685f15f89247c58efb22452434917c" PartId="e3b10953d4554eb68b4479d93646cf08"/>
          <Part Type="strPunktas" Nr="6" Abbr="16 str. 2 d. 6 p." DocPartId="1364c80706354de7b7520a8ed3c5f93d" PartId="cf24eff549574cf8bcbb3c0fe5725627"/>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36e0eb4048fa41bb87a642be6f8b7d7a"/>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A0B545FA-3013-4180-A078-6F812376E9FB}">
  <ds:schemaRefs>
    <ds:schemaRef ds:uri="http://lrs.lt/TAIS/DocParts"/>
  </ds:schemaRefs>
</ds:datastoreItem>
</file>

<file path=docProps/app.xml><?xml version="1.0" encoding="utf-8"?>
<Properties xmlns="http://schemas.openxmlformats.org/officeDocument/2006/extended-properties">
  <Template>Normal.dotm</Template>
  <TotalTime>15</TotalTime>
  <Pages>10</Pages>
  <Words>21961</Words>
  <Characters>12518</Characters>
  <Application>Microsoft Office Word</Application>
  <DocSecurity>0</DocSecurity>
  <Lines>104</Lines>
  <Paragraphs>68</Paragraphs>
  <ScaleCrop>false</ScaleCrop>
  <Company/>
  <LinksUpToDate>false</LinksUpToDate>
  <CharactersWithSpaces>34411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2016-05-20T11:34:00Z</dcterms:modified>
  <revision>16</revision>
</coreProperties>
</file>