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2019-01-01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4ea6b54bd3e14edb94b68c2f2d2c9022"/>
                    <w:lock w:val="sdtLocked"/>
                    <w:richText/>
                  </w:sdtPr>
                  <w:sdtContent>
                    <w:p>
                      <w:pPr>
                        <w:widowControl w:val="0"/>
                        <w:ind w:firstLine="720"/>
                        <w:jc w:val="both"/>
                        <w:rPr>
                          <w:color w:val="000000"/>
                        </w:rPr>
                      </w:pPr>
                      <w:sdt>
                        <w:sdtPr>
                          <w:alias w:val="Numeris"/>
                          <w:tag w:val="nr_4ea6b54bd3e14edb94b68c2f2d2c9022"/>
                          <w:lock w:val="sdtLocked"/>
                          <w:richText/>
                        </w:sdtPr>
                        <w:sdtContent>
                          <w:r>
                            <w:rPr>
                              <w:bCs/>
                              <w:szCs w:val="24"/>
                              <w:lang w:eastAsia="lt-LT"/>
                            </w:rPr>
                            <w:t>2</w:t>
                          </w:r>
                        </w:sdtContent>
                      </w:sdt>
                      <w:r>
                        <w:rPr>
                          <w:bCs/>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w:t>
                      </w:r>
                      <w:r>
                        <w:rPr>
                          <w:b/>
                          <w:bCs/>
                          <w:szCs w:val="24"/>
                          <w:lang w:eastAsia="lt-LT"/>
                        </w:rPr>
                        <w:t xml:space="preserve"> </w:t>
                      </w:r>
                      <w:r>
                        <w:rPr>
                          <w:bCs/>
                          <w:szCs w:val="24"/>
                          <w:lang w:eastAsia="lt-LT"/>
                        </w:rPr>
                        <w:t>užsieniečiams, turintiems Lietuvos Respublikos ilgalaikio gyventojo leidimą gyventi Europos Sąjungoje, ir užsieniečiams, kuriems suteiktas prieglobstis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12 d."/>
                    <w:tag w:val="part_dfbfda8779d64122807fb5deb3896e9f"/>
                    <w:lock w:val="sdtLocked"/>
                    <w:richText/>
                  </w:sdtPr>
                  <w:sdtContent>
                    <w:p>
                      <w:pPr>
                        <w:ind w:firstLine="720"/>
                        <w:jc w:val="both"/>
                        <w:rPr>
                          <w:b/>
                          <w:color w:val="000000"/>
                        </w:rPr>
                      </w:pPr>
                      <w:sdt>
                        <w:sdtPr>
                          <w:alias w:val="Numeris"/>
                          <w:tag w:val="nr_dfbfda8779d64122807fb5deb3896e9f"/>
                          <w:lock w:val="sdtLocked"/>
                          <w:richText/>
                        </w:sdtPr>
                        <w:sdtContent>
                          <w:r>
                            <w:rPr>
                              <w:bCs/>
                              <w:szCs w:val="24"/>
                            </w:rPr>
                            <w:t>12</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3 d."/>
                    <w:tag w:val="part_54124ac4d294484bb630b4dea4667ff7"/>
                    <w:lock w:val="sdtLocked"/>
                    <w:richText/>
                  </w:sdtPr>
                  <w:sdtContent>
                    <w:p>
                      <w:pPr>
                        <w:ind w:firstLine="708"/>
                        <w:jc w:val="both"/>
                        <w:rPr>
                          <w:color w:val="000000"/>
                        </w:rPr>
                      </w:pPr>
                      <w:sdt>
                        <w:sdtPr>
                          <w:alias w:val="Numeris"/>
                          <w:tag w:val="nr_54124ac4d294484bb630b4dea4667ff7"/>
                          <w:lock w:val="sdtLocked"/>
                          <w:richText/>
                        </w:sdtPr>
                        <w:sdtContent>
                          <w:r>
                            <w:rPr>
                              <w:bCs/>
                              <w:color w:val="000000"/>
                            </w:rPr>
                            <w:t>13</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4 d."/>
                    <w:tag w:val="part_5c580581599d4c9082f42ddd455681ee"/>
                    <w:lock w:val="sdtLocked"/>
                    <w:richText/>
                  </w:sdtPr>
                  <w:sdtContent>
                    <w:p>
                      <w:pPr>
                        <w:ind w:firstLine="708"/>
                        <w:jc w:val="both"/>
                        <w:rPr>
                          <w:color w:val="000000"/>
                        </w:rPr>
                      </w:pPr>
                      <w:sdt>
                        <w:sdtPr>
                          <w:alias w:val="Numeris"/>
                          <w:tag w:val="nr_5c580581599d4c9082f42ddd455681ee"/>
                          <w:lock w:val="sdtLocked"/>
                          <w:richText/>
                        </w:sdtPr>
                        <w:sdtContent>
                          <w:r>
                            <w:rPr>
                              <w:bCs/>
                              <w:color w:val="000000"/>
                            </w:rPr>
                            <w:t>14</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5 d."/>
                    <w:tag w:val="part_3c9d6187f1d8496f9cda34584dd24b5c"/>
                    <w:lock w:val="sdtLocked"/>
                    <w:richText/>
                  </w:sdtPr>
                  <w:sdtContent>
                    <w:p>
                      <w:pPr>
                        <w:ind w:firstLine="708"/>
                        <w:jc w:val="both"/>
                        <w:rPr>
                          <w:b/>
                          <w:color w:val="000000"/>
                        </w:rPr>
                      </w:pPr>
                      <w:sdt>
                        <w:sdtPr>
                          <w:alias w:val="Numeris"/>
                          <w:tag w:val="nr_3c9d6187f1d8496f9cda34584dd24b5c"/>
                          <w:lock w:val="sdtLocked"/>
                          <w:richText/>
                        </w:sdtPr>
                        <w:sdtContent>
                          <w:r>
                            <w:rPr>
                              <w:bCs/>
                              <w:color w:val="000000"/>
                            </w:rPr>
                            <w:t>15</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6 d."/>
                    <w:tag w:val="part_f882ef720350414380b9e4d448765725"/>
                    <w:lock w:val="sdtLocked"/>
                    <w:richText/>
                  </w:sdtPr>
                  <w:sdtContent>
                    <w:p>
                      <w:pPr>
                        <w:ind w:firstLine="708"/>
                        <w:jc w:val="both"/>
                        <w:rPr>
                          <w:b/>
                          <w:color w:val="000000"/>
                        </w:rPr>
                      </w:pPr>
                      <w:sdt>
                        <w:sdtPr>
                          <w:alias w:val="Numeris"/>
                          <w:tag w:val="nr_f882ef720350414380b9e4d448765725"/>
                          <w:lock w:val="sdtLocked"/>
                          <w:richText/>
                        </w:sdtPr>
                        <w:sdtContent>
                          <w:r>
                            <w:rPr>
                              <w:bCs/>
                              <w:color w:val="000000"/>
                            </w:rPr>
                            <w:t>16</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ae1761842f7b4433b5e6f0e0f371d403"/>
                        <w:lock w:val="sdtLocked"/>
                        <w:richText/>
                      </w:sdtPr>
                      <w:sdtContent>
                        <w:p>
                          <w:pPr>
                            <w:widowControl w:val="0"/>
                            <w:ind w:firstLine="720"/>
                            <w:jc w:val="both"/>
                            <w:rPr>
                              <w:szCs w:val="24"/>
                            </w:rPr>
                          </w:pPr>
                          <w:sdt>
                            <w:sdtPr>
                              <w:alias w:val="Numeris"/>
                              <w:tag w:val="nr_ae1761842f7b4433b5e6f0e0f371d403"/>
                              <w:lock w:val="sdtLocked"/>
                              <w:richText/>
                            </w:sdtPr>
                            <w:sdtContent>
                              <w:r>
                                <w:rPr>
                                  <w:szCs w:val="24"/>
                                </w:rPr>
                                <w:t>4</w:t>
                              </w:r>
                            </w:sdtContent>
                          </w:sdt>
                          <w:r>
                            <w:rPr>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rengia Jungtinių Tautų neįgaliųjų teisių konvencijos ir jos Fakultatyvaus protokolo įgyvendinimo stebėsenos ataskaitas;</w:t>
                          </w:r>
                        </w:p>
                      </w:sdtContent>
                    </w:sdt>
                    <w:sdt>
                      <w:sdtPr>
                        <w:alias w:val="16 str. 2 d. 5 p."/>
                        <w:tag w:val="part_b28c284608d14ba9846f1431c11a2a0a"/>
                        <w:lock w:val="sdtLocked"/>
                        <w:richText/>
                      </w:sdtPr>
                      <w:sdtContent>
                        <w:p>
                          <w:pPr>
                            <w:tabs>
                              <w:tab w:val="left" w:pos="709"/>
                            </w:tabs>
                            <w:ind w:firstLine="720"/>
                            <w:jc w:val="both"/>
                            <w:rPr>
                              <w:szCs w:val="24"/>
                            </w:rPr>
                          </w:pPr>
                          <w:sdt>
                            <w:sdtPr>
                              <w:alias w:val="Numeris"/>
                              <w:tag w:val="nr_b28c284608d14ba9846f1431c11a2a0a"/>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6 p."/>
                        <w:tag w:val="part_1d02955ea7564b0e84df5233301cdd62"/>
                        <w:lock w:val="sdtLocked"/>
                        <w:richText/>
                      </w:sdtPr>
                      <w:sdtContent>
                        <w:p>
                          <w:pPr>
                            <w:tabs>
                              <w:tab w:val="left" w:pos="0"/>
                              <w:tab w:val="left" w:pos="1701"/>
                            </w:tabs>
                            <w:ind w:firstLine="720"/>
                            <w:jc w:val="both"/>
                            <w:rPr>
                              <w:szCs w:val="24"/>
                            </w:rPr>
                          </w:pPr>
                          <w:sdt>
                            <w:sdtPr>
                              <w:alias w:val="Numeris"/>
                              <w:tag w:val="nr_1d02955ea7564b0e84df5233301cdd62"/>
                              <w:lock w:val="sdtLocked"/>
                              <w:richText/>
                            </w:sdtPr>
                            <w:sdtContent>
                              <w:r>
                                <w:rPr>
                                  <w:szCs w:val="24"/>
                                  <w:lang w:eastAsia="lt-LT"/>
                                </w:rPr>
                                <w:t>6</w:t>
                              </w:r>
                            </w:sdtContent>
                          </w:sdt>
                          <w:r>
                            <w:rPr>
                              <w:szCs w:val="24"/>
                              <w:lang w:eastAsia="lt-LT"/>
                            </w:rPr>
                            <w:t>) savivaldybės vykdo neįgaliųjų socialinės integracijos, neįgaliųjų specialiųjų poreikių tenkinimo vertinant asmens savarankiškumą kasdienėje veikloje ir teikiant bendrąsias ir specialiąsias socialines paslaugas, sąlygų neįgaliesiems integruotis į bendruomenę sudarymo ir bendradarbiavimo su neįgaliųjų asociacijomis srityse veiklą ir planuoja ją savivaldybės strateginio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26afac05367741b4a6173769f96dbf9f"/>
                        <w:lock w:val="sdtLocked"/>
                        <w:richText/>
                      </w:sdtPr>
                      <w:sdtContent>
                        <w:p>
                          <w:pPr>
                            <w:ind w:firstLine="720"/>
                            <w:jc w:val="both"/>
                            <w:rPr>
                              <w:b/>
                              <w:color w:val="000000"/>
                            </w:rPr>
                          </w:pPr>
                          <w:sdt>
                            <w:sdtPr>
                              <w:alias w:val="Numeris"/>
                              <w:tag w:val="nr_26afac05367741b4a6173769f96dbf9f"/>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7cc10f2671394e35a4f22b3c15a009e5"/>
                        <w:lock w:val="sdtLocked"/>
                        <w:richText/>
                      </w:sdtPr>
                      <w:sdtContent>
                        <w:p>
                          <w:pPr>
                            <w:ind w:firstLine="720"/>
                            <w:jc w:val="both"/>
                            <w:rPr>
                              <w:szCs w:val="24"/>
                            </w:rPr>
                          </w:pPr>
                          <w:sdt>
                            <w:sdtPr>
                              <w:alias w:val="Numeris"/>
                              <w:tag w:val="nr_7cc10f2671394e35a4f22b3c15a009e5"/>
                              <w:lock w:val="sdtLocked"/>
                              <w:richText/>
                            </w:sdtPr>
                            <w:sdtContent>
                              <w:r>
                                <w:rPr>
                                  <w:szCs w:val="24"/>
                                </w:rPr>
                                <w:t>6</w:t>
                              </w:r>
                            </w:sdtContent>
                          </w:sdt>
                          <w:r>
                            <w:rPr>
                              <w:szCs w:val="24"/>
                            </w:rPr>
                            <w:t>) aplinkos ir būsto pritaikymo.</w:t>
                          </w:r>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afc1ff8b28314a50b85b69d3d6da796e"/>
                    <w:lock w:val="sdtLocked"/>
                    <w:richText/>
                  </w:sdtPr>
                  <w:sdtContent>
                    <w:p>
                      <w:pPr>
                        <w:ind w:firstLine="720"/>
                        <w:jc w:val="both"/>
                        <w:rPr>
                          <w:szCs w:val="24"/>
                        </w:rPr>
                      </w:pPr>
                      <w:sdt>
                        <w:sdtPr>
                          <w:alias w:val="Numeris"/>
                          <w:tag w:val="nr_afc1ff8b28314a50b85b69d3d6da796e"/>
                          <w:lock w:val="sdtLocked"/>
                          <w:richText/>
                        </w:sdtPr>
                        <w:sdtContent>
                          <w:r>
                            <w:rPr>
                              <w:szCs w:val="24"/>
                            </w:rPr>
                            <w:t>10</w:t>
                          </w:r>
                        </w:sdtContent>
                      </w:sdt>
                      <w:r>
                        <w:rPr>
                          <w:szCs w:val="24"/>
                        </w:rPr>
                        <w:t>. Gali būti nustatomi trys specialiųjų poreikių lygiai:</w:t>
                      </w:r>
                    </w:p>
                    <w:sdt>
                      <w:sdtPr>
                        <w:alias w:val="20-1 str. 10 d. 1 p."/>
                        <w:tag w:val="part_6b57ace65f794cbdb86bc1c05dd0676a"/>
                        <w:lock w:val="sdtLocked"/>
                        <w:richText/>
                      </w:sdtPr>
                      <w:sdtContent>
                        <w:p>
                          <w:pPr>
                            <w:ind w:firstLine="720"/>
                            <w:jc w:val="both"/>
                            <w:rPr>
                              <w:szCs w:val="24"/>
                            </w:rPr>
                          </w:pPr>
                          <w:sdt>
                            <w:sdtPr>
                              <w:alias w:val="Numeris"/>
                              <w:tag w:val="nr_6b57ace65f794cbdb86bc1c05dd0676a"/>
                              <w:lock w:val="sdtLocked"/>
                              <w:richText/>
                            </w:sdtPr>
                            <w:sdtContent>
                              <w:r>
                                <w:rPr>
                                  <w:szCs w:val="24"/>
                                </w:rPr>
                                <w:t>1</w:t>
                              </w:r>
                            </w:sdtContent>
                          </w:sdt>
                          <w:r>
                            <w:rPr>
                              <w:szCs w:val="24"/>
                            </w:rPr>
                            <w:t xml:space="preserve">) didelių specialiųjų poreikių lygis </w:t>
                            <w:sym w:font="Symbol" w:char="F02D"/>
                            <w:t xml:space="preserve"> nustatomas asmenims, kuriems nustatytas pirmojo ar antrojo lygio specialusis nuolatinės slaugos poreikis;</w:t>
                          </w:r>
                        </w:p>
                      </w:sdtContent>
                    </w:sdt>
                    <w:sdt>
                      <w:sdtPr>
                        <w:alias w:val="20-1 str. 10 d. 2 p."/>
                        <w:tag w:val="part_7cc46906821645288686d6299d8a8b56"/>
                        <w:lock w:val="sdtLocked"/>
                        <w:richText/>
                      </w:sdtPr>
                      <w:sdtContent>
                        <w:p>
                          <w:pPr>
                            <w:ind w:firstLine="720"/>
                            <w:jc w:val="both"/>
                            <w:rPr>
                              <w:szCs w:val="24"/>
                            </w:rPr>
                          </w:pPr>
                          <w:sdt>
                            <w:sdtPr>
                              <w:alias w:val="Numeris"/>
                              <w:tag w:val="nr_7cc46906821645288686d6299d8a8b56"/>
                              <w:lock w:val="sdtLocked"/>
                              <w:richText/>
                            </w:sdtPr>
                            <w:sdtContent>
                              <w:r>
                                <w:rPr>
                                  <w:szCs w:val="24"/>
                                </w:rPr>
                                <w:t>2</w:t>
                              </w:r>
                            </w:sdtContent>
                          </w:sdt>
                          <w:r>
                            <w:rPr>
                              <w:szCs w:val="24"/>
                            </w:rPr>
                            <w:t xml:space="preserve">) vidutinių specialiųjų poreikių lygis </w:t>
                            <w:sym w:font="Symbol" w:char="F02D"/>
                            <w:t xml:space="preserve"> nustatomas asmenims, kuriems nustatytas pirmojo lygio specialusis nuolatinės priežiūros (pagalbos) poreikis;</w:t>
                          </w:r>
                        </w:p>
                      </w:sdtContent>
                    </w:sdt>
                    <w:sdt>
                      <w:sdtPr>
                        <w:alias w:val="20-1 str. 10 d. 3 p."/>
                        <w:tag w:val="part_13650c94a9c84124a14f3d9e59103f9f"/>
                        <w:lock w:val="sdtLocked"/>
                        <w:richText/>
                      </w:sdtPr>
                      <w:sdtContent>
                        <w:p>
                          <w:pPr>
                            <w:ind w:firstLine="720"/>
                            <w:jc w:val="both"/>
                            <w:rPr>
                              <w:szCs w:val="24"/>
                            </w:rPr>
                          </w:pPr>
                          <w:sdt>
                            <w:sdtPr>
                              <w:alias w:val="Numeris"/>
                              <w:tag w:val="nr_13650c94a9c84124a14f3d9e59103f9f"/>
                              <w:lock w:val="sdtLocked"/>
                              <w:richText/>
                            </w:sdtPr>
                            <w:sdtContent>
                              <w:r>
                                <w:rPr>
                                  <w:szCs w:val="24"/>
                                </w:rPr>
                                <w:t>3</w:t>
                              </w:r>
                            </w:sdtContent>
                          </w:sdt>
                          <w:r>
                            <w:rPr>
                              <w:szCs w:val="24"/>
                            </w:rPr>
                            <w:t xml:space="preserve">) nedidelių specialiųjų poreikių lygis </w:t>
                            <w:sym w:font="Symbol" w:char="F02D"/>
                            <w:t xml:space="preserve"> nustatomas asmenims, kuriems nustatytas antrojo lygio specialusis nuolatinės priežiūros (pagalbos) poreikis.</w:t>
                          </w:r>
                        </w:p>
                      </w:sdtContent>
                    </w:sdt>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dcdd8e816a74428380c90283c625d3e1"/>
                    <w:lock w:val="sdtLocked"/>
                    <w:richText/>
                  </w:sdtPr>
                  <w:sdtContent>
                    <w:p>
                      <w:pPr>
                        <w:widowControl w:val="0"/>
                        <w:suppressAutoHyphens/>
                        <w:ind w:firstLine="720"/>
                        <w:jc w:val="both"/>
                        <w:rPr>
                          <w:color w:val="000000"/>
                          <w:szCs w:val="24"/>
                        </w:rPr>
                      </w:pPr>
                      <w:sdt>
                        <w:sdtPr>
                          <w:alias w:val="Numeris"/>
                          <w:tag w:val="nr_dcdd8e816a74428380c90283c625d3e1"/>
                          <w:lock w:val="sdtLocked"/>
                          <w:richText/>
                        </w:sdtPr>
                        <w:sdtContent>
                          <w:r>
                            <w:rPr>
                              <w:color w:val="000000"/>
                              <w:szCs w:val="24"/>
                            </w:rPr>
                            <w:t>4</w:t>
                          </w:r>
                        </w:sdtContent>
                      </w:sdt>
                      <w:r>
                        <w:rPr>
                          <w:color w:val="000000"/>
                          <w:szCs w:val="24"/>
                        </w:rPr>
                        <w:t>. Profesinės reabilitacijos išmoka asmeniui skiriama nuo pirmos dalyvavimo profesinės reabilitacijos programoje dienos ir mokama kiekvieną mėnesį, bet ne ilgiau kaip 180 kalendorinių dienų. Ši išmoka skiriama ir mokama neatsižvelgiant į kitas asmens gaunamas pajamas.</w:t>
                      </w:r>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7F6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4ea6b54bd3e14edb94b68c2f2d2c9022"/>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12 d." DocPartId="1012ae5c253b47b8b5c8a0307c4fa59d" PartId="dfbfda8779d64122807fb5deb3896e9f"/>
        <Part Type="strDalis" Nr="13" Abbr="2 str. 13 d." DocPartId="0755fe26508345048ac45352ff61b617" PartId="54124ac4d294484bb630b4dea4667ff7"/>
        <Part Type="strDalis" Nr="14" Abbr="2 str. 14 d." DocPartId="5e39daf255cb416083d2a7482d8ca450" PartId="5c580581599d4c9082f42ddd455681ee"/>
        <Part Type="strDalis" Nr="15" Abbr="2 str. 15 d." DocPartId="1d4d1b3f34c84e49b348551517e6b481" PartId="3c9d6187f1d8496f9cda34584dd24b5c"/>
        <Part Type="strDalis" Nr="16" Abbr="2 str. 16 d." DocPartId="16234fd50aa64c139f7b556e37e93bc2" PartId="f882ef720350414380b9e4d448765725"/>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ae1761842f7b4433b5e6f0e0f371d403"/>
          <Part Type="strPunktas" Nr="5" Abbr="16 str. 2 d. 5 p." DocPartId="7de0400550bb4cd588dd623bae3d554a" PartId="b28c284608d14ba9846f1431c11a2a0a"/>
          <Part Type="strPunktas" Nr="6" Abbr="16 str. 2 d. 6 p." DocPartId="1fd43f93ebbf41088009a57413ae3605" PartId="1d02955ea7564b0e84df5233301cdd62"/>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26afac05367741b4a6173769f96dbf9f"/>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7cc10f2671394e35a4f22b3c15a009e5"/>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afc1ff8b28314a50b85b69d3d6da796e">
          <Part Type="strPunktas" Nr="1" Abbr="20-1 str. 10 d. 1 p." DocPartId="3bf8919689c84023b63f7b581c584663" PartId="6b57ace65f794cbdb86bc1c05dd0676a"/>
          <Part Type="strPunktas" Nr="2" Abbr="20-1 str. 10 d. 2 p." DocPartId="8fea69fe04114beb89a05b77e7a1000b" PartId="7cc46906821645288686d6299d8a8b56"/>
          <Part Type="strPunktas" Nr="3" Abbr="20-1 str. 10 d. 3 p." DocPartId="fd86a16778644553921b7bfb5b895f6e" PartId="13650c94a9c84124a14f3d9e59103f9f"/>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dcdd8e816a74428380c90283c625d3e1"/>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511CA8A7-70F7-404F-9291-DF2220945C8C}">
  <ds:schemaRefs>
    <ds:schemaRef ds:uri="http://lrs.lt/TAIS/DocParts"/>
  </ds:schemaRefs>
</ds:datastoreItem>
</file>

<file path=docProps/app.xml><?xml version="1.0" encoding="utf-8"?>
<Properties xmlns="http://schemas.openxmlformats.org/officeDocument/2006/extended-properties">
  <Template>Normal.dotm</Template>
  <TotalTime>34</TotalTime>
  <Pages>14</Pages>
  <Words>31322</Words>
  <Characters>17854</Characters>
  <Application>Microsoft Office Word</Application>
  <DocSecurity>0</DocSecurity>
  <Lines>148</Lines>
  <Paragraphs>98</Paragraphs>
  <ScaleCrop>false</ScaleCrop>
  <Company/>
  <LinksUpToDate>false</LinksUpToDate>
  <CharactersWithSpaces>49078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2018-11-05T11:11:00Z</dcterms:modified>
  <revision>37</revision>
</coreProperties>
</file>