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2014-10-01 iki 2016-08-31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0a0f068ddaa4ee88b46198e515e1862"/>
                    <w:lock w:val="sdtLocked"/>
                    <w:richText/>
                  </w:sdtPr>
                  <w:sdtContent>
                    <w:p>
                      <w:pPr>
                        <w:widowControl w:val="0"/>
                        <w:suppressAutoHyphens/>
                        <w:ind w:firstLine="709"/>
                        <w:jc w:val="both"/>
                        <w:rPr>
                          <w:color w:val="000000"/>
                        </w:rPr>
                      </w:pPr>
                      <w:sdt>
                        <w:sdtPr>
                          <w:alias w:val="Numeris"/>
                          <w:tag w:val="nr_c0a0f068ddaa4ee88b46198e515e1862"/>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13984f8832de4ae7bafb8163da7af9f8"/>
                    <w:lock w:val="sdtLocked"/>
                    <w:richText/>
                  </w:sdtPr>
                  <w:sdtContent>
                    <w:p>
                      <w:pPr>
                        <w:widowControl w:val="0"/>
                        <w:suppressAutoHyphens/>
                        <w:ind w:firstLine="709"/>
                        <w:jc w:val="both"/>
                        <w:rPr>
                          <w:color w:val="000000"/>
                        </w:rPr>
                      </w:pPr>
                      <w:sdt>
                        <w:sdtPr>
                          <w:alias w:val="Numeris"/>
                          <w:tag w:val="nr_13984f8832de4ae7bafb8163da7af9f8"/>
                          <w:lock w:val="sdtLocked"/>
                          <w:richText/>
                        </w:sdtPr>
                        <w:sdtContent>
                          <w:r>
                            <w:rPr>
                              <w:color w:val="000000"/>
                            </w:rPr>
                            <w:t>2</w:t>
                          </w:r>
                        </w:sdtContent>
                      </w:sdt>
                      <w:r>
                        <w:rPr>
                          <w:color w:val="000000"/>
                        </w:rPr>
                        <w:t xml:space="preserve">. Šis Įstatymas taikomas Lietuvos Respublikoje nuolat gyvenantiems asmenims. </w:t>
                      </w:r>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6765147458b421c99ad7a07ef80a6bd"/>
                    <w:lock w:val="sdtLocked"/>
                    <w:richText/>
                  </w:sdtPr>
                  <w:sdtContent>
                    <w:p>
                      <w:pPr>
                        <w:widowControl w:val="0"/>
                        <w:suppressAutoHyphens/>
                        <w:ind w:firstLine="709"/>
                        <w:jc w:val="both"/>
                        <w:rPr>
                          <w:color w:val="000000"/>
                        </w:rPr>
                      </w:pPr>
                      <w:sdt>
                        <w:sdtPr>
                          <w:alias w:val="Numeris"/>
                          <w:tag w:val="nr_96765147458b421c99ad7a07ef80a6bd"/>
                          <w:lock w:val="sdtLocked"/>
                          <w:richText/>
                        </w:sdtPr>
                        <w:sdtContent>
                          <w:r>
                            <w:rPr>
                              <w:color w:val="000000"/>
                            </w:rPr>
                            <w:t>4</w:t>
                          </w:r>
                        </w:sdtContent>
                      </w:sdt>
                      <w:r>
                        <w:rPr>
                          <w:color w:val="000000"/>
                        </w:rPr>
                        <w:t>. Šio Įstatymo 19, 20, 23 ir 24 straipsniai taip pat taikomi kitiems asmenims, kuriems, įgyvendinant Europos Sąjungos socialinės apsaugos sistemų koordinavimo reglamentus, turi būti taikomi šiame Įstatyme nurodyti straipsniai.</w:t>
                      </w:r>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3b56036826594933ae84ebe383eaed2d"/>
                    <w:lock w:val="sdtLocked"/>
                    <w:richText/>
                  </w:sdtPr>
                  <w:sdtContent>
                    <w:p>
                      <w:pPr>
                        <w:widowControl w:val="0"/>
                        <w:suppressAutoHyphens/>
                        <w:ind w:firstLine="708"/>
                        <w:jc w:val="both"/>
                        <w:rPr>
                          <w:color w:val="000000"/>
                        </w:rPr>
                      </w:pPr>
                      <w:sdt>
                        <w:sdtPr>
                          <w:alias w:val="Numeris"/>
                          <w:tag w:val="nr_3b56036826594933ae84ebe383eaed2d"/>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ir kitas valstybės institucijas ir įstaigas.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1766e282902f4b708b56e8071251ee88"/>
                    <w:lock w:val="sdtLocked"/>
                    <w:richText/>
                  </w:sdtPr>
                  <w:sdtContent>
                    <w:p>
                      <w:pPr>
                        <w:ind w:firstLine="708"/>
                        <w:jc w:val="both"/>
                        <w:rPr>
                          <w:color w:val="000000"/>
                        </w:rPr>
                      </w:pPr>
                      <w:sdt>
                        <w:sdtPr>
                          <w:alias w:val="Numeris"/>
                          <w:tag w:val="nr_1766e282902f4b708b56e8071251ee88"/>
                          <w:lock w:val="sdtLocked"/>
                          <w:richText/>
                        </w:sdtPr>
                        <w:sdtContent>
                          <w:r>
                            <w:rPr>
                              <w:color w:val="000000"/>
                            </w:rPr>
                            <w:t>3</w:t>
                          </w:r>
                        </w:sdtContent>
                      </w:sdt>
                      <w:r>
                        <w:rPr>
                          <w:color w:val="000000"/>
                        </w:rPr>
                        <w:t>. Už objektų pritaikymą neįgaliųjų specialiesiems poreikiams atsako savivaldybių institucijos ir šio straipsnio 1 dalyje nurodytų objektų savininkai bei naudotojai.</w:t>
                      </w:r>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05592146fa6c4cdfb4d860d99b596edb"/>
                    <w:lock w:val="sdtLocked"/>
                    <w:richText/>
                  </w:sdtPr>
                  <w:sdtContent>
                    <w:p>
                      <w:pPr>
                        <w:widowControl w:val="0"/>
                        <w:suppressAutoHyphens/>
                        <w:ind w:firstLine="708"/>
                        <w:jc w:val="both"/>
                        <w:rPr>
                          <w:bCs/>
                          <w:color w:val="000000"/>
                        </w:rPr>
                      </w:pPr>
                      <w:sdt>
                        <w:sdtPr>
                          <w:alias w:val="Numeris"/>
                          <w:tag w:val="nr_05592146fa6c4cdfb4d860d99b596edb"/>
                          <w:lock w:val="sdtLocked"/>
                          <w:richText/>
                        </w:sdtPr>
                        <w:sdtContent>
                          <w:r>
                            <w:rPr>
                              <w:color w:val="000000"/>
                            </w:rPr>
                            <w:t>1</w:t>
                          </w:r>
                        </w:sdtContent>
                      </w:sdt>
                      <w:r>
                        <w:rPr>
                          <w:color w:val="000000"/>
                        </w:rPr>
                        <w:t>. Už neįgaliųjų integravimą į kultūrinę veiklą, poilsį ir sportą ir lygių galimybių jiems dalyvauti šiose gyvenimo srityse kartu su kitais visuomenės nariais sudarymą atsako Lietuvos Respublikos Vyriausybė arba jos įgaliotos institucijos ir savivaldybių institucijos. Lietuvos Respublikos Vyriausybė arba jos įgaliotos institucijos iš valstybės biudžeto lėšų, savivaldybių institucijos iš savivaldybių biudžetų lėšų remia neįgaliųjų asociacijų įgyvendinamas kultūros, kūno kultūros ir sporto programas ir kitas priemones, skirtas visiems atitinkamoje savivaldybės teritorijoje gyvenantiems neįgaliesiems.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6ede6f2439674fd0a2fc02506bff4c15"/>
            <w:lock w:val="sdtLocked"/>
            <w:richText/>
          </w:sdtPr>
          <w:sdtContent>
            <w:p>
              <w:pPr>
                <w:jc w:val="center"/>
                <w:rPr>
                  <w:b/>
                  <w:color w:val="000000"/>
                </w:rPr>
              </w:pPr>
              <w:sdt>
                <w:sdtPr>
                  <w:alias w:val="Numeris"/>
                  <w:tag w:val="nr_6ede6f2439674fd0a2fc02506bff4c1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de6f2439674fd0a2fc02506bff4c15"/>
                  <w:lock w:val="sdtLocked"/>
                  <w:richText/>
                </w:sdtPr>
                <w:sdtContent>
                  <w:r>
                    <w:rPr>
                      <w:b/>
                      <w:color w:val="000000"/>
                    </w:rPr>
                    <w:t xml:space="preserve">NEĮGALIŲJŲ SOCIALINĘ INTEGRACIJĄ ĮGYVENDINANČIOS INSTITUCIJOS </w:t>
                  </w:r>
                </w:sdtContent>
              </w:sdt>
            </w:p>
            <w:p>
              <w:pPr>
                <w:ind w:firstLine="708"/>
                <w:jc w:val="both"/>
                <w:rPr>
                  <w:b/>
                  <w:color w:val="000000"/>
                </w:rPr>
              </w:pPr>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9df5f30e3321455cb86286cb008ee7ef"/>
                    <w:lock w:val="sdtLocked"/>
                    <w:richText/>
                  </w:sdtPr>
                  <w:sdtContent>
                    <w:p>
                      <w:pPr>
                        <w:ind w:firstLine="708"/>
                        <w:jc w:val="both"/>
                        <w:rPr>
                          <w:color w:val="000000"/>
                        </w:rPr>
                      </w:pPr>
                      <w:sdt>
                        <w:sdtPr>
                          <w:alias w:val="Numeris"/>
                          <w:tag w:val="nr_9df5f30e3321455cb86286cb008ee7ef"/>
                          <w:lock w:val="sdtLocked"/>
                          <w:richText/>
                        </w:sdtPr>
                        <w:sdtContent>
                          <w:r>
                            <w:rPr>
                              <w:color w:val="000000"/>
                            </w:rPr>
                            <w:t>2</w:t>
                          </w:r>
                        </w:sdtContent>
                      </w:sdt>
                      <w:r>
                        <w:rPr>
                          <w:color w:val="000000"/>
                        </w:rPr>
                        <w:t>. Pagrindinės neįgaliųjų socialinę integraciją įgyvendinančios institucijos yra:</w:t>
                      </w:r>
                    </w:p>
                    <w:sdt>
                      <w:sdtPr>
                        <w:alias w:val="16 str. 2 d. 1 p."/>
                        <w:tag w:val="part_0ae9dce964a946f89051227c3b493535"/>
                        <w:lock w:val="sdtLocked"/>
                        <w:richText/>
                      </w:sdtPr>
                      <w:sdtContent>
                        <w:p>
                          <w:pPr>
                            <w:widowControl w:val="0"/>
                            <w:suppressAutoHyphens/>
                            <w:ind w:firstLine="708"/>
                            <w:jc w:val="both"/>
                            <w:rPr>
                              <w:color w:val="000000"/>
                            </w:rPr>
                          </w:pPr>
                          <w:sdt>
                            <w:sdtPr>
                              <w:alias w:val="Numeris"/>
                              <w:tag w:val="nr_0ae9dce964a946f89051227c3b493535"/>
                              <w:lock w:val="sdtLocked"/>
                              <w:richText/>
                            </w:sdtPr>
                            <w:sdtContent>
                              <w:r>
                                <w:rPr>
                                  <w:color w:val="000000"/>
                                </w:rPr>
                                <w:t>1</w:t>
                              </w:r>
                            </w:sdtContent>
                          </w:sdt>
                          <w:r>
                            <w:rPr>
                              <w:color w:val="000000"/>
                            </w:rPr>
                            <w:t>) Lietuvos Respublikos Vyriausybė arba jos įgaliota institucija. Ji koordinuoja</w:t>
                          </w:r>
                          <w:r>
                            <w:rPr>
                              <w:b/>
                              <w:bCs/>
                              <w:color w:val="000000"/>
                            </w:rPr>
                            <w:t xml:space="preserve"> </w:t>
                          </w:r>
                          <w:r>
                            <w:rPr>
                              <w:color w:val="000000"/>
                            </w:rPr>
                            <w:t xml:space="preserve">ir įgyvendina neįgaliųjų socialinės integracijos sistemą, tvirtina ilgalaikes valstybines neįgaliųjų socialinės integracijos programas ir strategijas;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6 str. 2 d. 2 p."/>
                        <w:tag w:val="part_adc0c74fa9694f9fa865914b7606af63"/>
                        <w:lock w:val="sdtLocked"/>
                        <w:richText/>
                      </w:sdtPr>
                      <w:sdtContent>
                        <w:p>
                          <w:pPr>
                            <w:ind w:firstLine="708"/>
                            <w:jc w:val="both"/>
                            <w:rPr>
                              <w:color w:val="000000"/>
                            </w:rPr>
                          </w:pPr>
                          <w:sdt>
                            <w:sdtPr>
                              <w:alias w:val="Numeris"/>
                              <w:tag w:val="nr_adc0c74fa9694f9fa865914b7606af63"/>
                              <w:lock w:val="sdtLocked"/>
                              <w:richText/>
                            </w:sdtPr>
                            <w:sdtContent>
                              <w:r>
                                <w:rPr>
                                  <w:color w:val="000000"/>
                                </w:rPr>
                                <w:t>2</w:t>
                              </w:r>
                            </w:sdtContent>
                          </w:sdt>
                          <w:r>
                            <w:rPr>
                              <w:color w:val="000000"/>
                            </w:rPr>
                            <w:t>) ministerijos. Jos pagal savo kompetenciją rengia ir teikia Lietuvos Respublikos Vyriausybei siūlymus, įstatymų ir kitų teisės aktų projektus dėl neįgaliųjų socialinės integracijos sistemos tobulinimo ir organizuoja neįgaliųjų socialinės integracijos sistemos įgyvendinimą;</w:t>
                          </w:r>
                        </w:p>
                      </w:sdtContent>
                    </w:sdt>
                    <w:sdt>
                      <w:sdtPr>
                        <w:alias w:val="16 str. 2 d. 3 p."/>
                        <w:tag w:val="part_9c5583e47c6e4ad1b67f76ce4e777c63"/>
                        <w:lock w:val="sdtLocked"/>
                        <w:richText/>
                      </w:sdtPr>
                      <w:sdtContent>
                        <w:p>
                          <w:pPr>
                            <w:ind w:firstLine="708"/>
                            <w:jc w:val="both"/>
                            <w:rPr>
                              <w:bCs/>
                              <w:color w:val="000000"/>
                            </w:rPr>
                          </w:pPr>
                          <w:sdt>
                            <w:sdtPr>
                              <w:alias w:val="Numeris"/>
                              <w:tag w:val="nr_9c5583e47c6e4ad1b67f76ce4e777c63"/>
                              <w:lock w:val="sdtLocked"/>
                              <w:richText/>
                            </w:sdtPr>
                            <w:sdtContent>
                              <w:r>
                                <w:rPr>
                                  <w:bCs/>
                                  <w:color w:val="000000"/>
                                </w:rPr>
                                <w:t>3</w:t>
                              </w:r>
                            </w:sdtContent>
                          </w:sdt>
                          <w:r>
                            <w:rPr>
                              <w:bCs/>
                              <w:color w:val="000000"/>
                            </w:rPr>
                            <w:t>) Neįgaliųjų reikalų departamentas prie Socialinės apsaugos ir darbo ministerijos (toliau – Neįgaliųjų reikalų departamentas). Jis koordinuoja ir įgyvendina Nacionalinę žmonių su negalia socialinės integracijos programą ir vykdo kitas neįgaliųjų socialinės integracijos politikos įgyvendinimo priemones;</w:t>
                          </w:r>
                        </w:p>
                      </w:sdtContent>
                    </w:sdt>
                    <w:sdt>
                      <w:sdtPr>
                        <w:alias w:val="16 str. 2 d. 4 p."/>
                        <w:tag w:val="part_6a23e814e54545e7b449c9d4f585a94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6 str. 2 d. 5 p."/>
                        <w:tag w:val="part_6dfe109884784acf9caabc496be1fdcb"/>
                        <w:lock w:val="sdtLocked"/>
                        <w:richText/>
                      </w:sdtPr>
                      <w:sdtContent>
                        <w:p>
                          <w:pPr>
                            <w:widowControl w:val="0"/>
                            <w:suppressAutoHyphens/>
                            <w:ind w:firstLine="708"/>
                            <w:jc w:val="both"/>
                            <w:rPr>
                              <w:bCs/>
                              <w:color w:val="000000"/>
                            </w:rPr>
                          </w:pPr>
                          <w:sdt>
                            <w:sdtPr>
                              <w:alias w:val="Numeris"/>
                              <w:tag w:val="nr_6dfe109884784acf9caabc496be1fdcb"/>
                              <w:lock w:val="sdtLocked"/>
                              <w:richText/>
                            </w:sdtPr>
                            <w:sdtContent>
                              <w:r>
                                <w:rPr>
                                  <w:color w:val="000000"/>
                                  <w:szCs w:val="24"/>
                                  <w:lang w:eastAsia="lt-LT"/>
                                </w:rPr>
                                <w:t>5</w:t>
                              </w:r>
                            </w:sdtContent>
                          </w:sdt>
                          <w:r>
                            <w:rPr>
                              <w:color w:val="000000"/>
                              <w:szCs w:val="24"/>
                              <w:lang w:eastAsia="lt-LT"/>
                            </w:rPr>
                            <w:t>) savivaldybės. Jos savo veiklą neįgaliųjų socialinės integracijos, neįgaliųjų specialiųjų poreikių tenkinimo teikiant bendrąsias ir specialiąsias socialines paslaugas, sąlygų neįgaliesiems integruotis į bendruomenę sudarymo ir bendradarbiavimo su neįgaliųjų asociacijomis srityse planuoja savivaldybės strateginiame plėtros ir (ar) savivaldybės strateginiame veiklos planuose;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49F14DD8D5">
                            <w:r w:rsidRPr="00532B9F">
                              <w:rPr>
                                <w:rFonts w:ascii="Times New Roman" w:eastAsia="MS Mincho" w:hAnsi="Times New Roman"/>
                                <w:sz w:val="20"/>
                                <w:i/>
                                <w:iCs/>
                                <w:color w:val="0000FF" w:themeColor="hyperlink"/>
                                <w:u w:val="single"/>
                              </w:rPr>
                              <w:t>XII-471</w:t>
                            </w:r>
                          </w:fldSimple>
                          <w:r>
                            <w:rPr>
                              <w:rFonts w:ascii="Times New Roman" w:eastAsia="MS Mincho" w:hAnsi="Times New Roman"/>
                              <w:sz w:val="20"/>
                              <w:i/>
                              <w:iCs/>
                            </w:rPr>
                            <w:t>,
2013-07-02,
Žin., 2013, Nr.
79-3992 (2013-07-23), i. k. 1131010ISTA0XII-471            </w:t>
                          </w:r>
                        </w:p>
                        <w:p/>
                      </w:sdtContent>
                    </w:sdt>
                    <w:sdt>
                      <w:sdtPr>
                        <w:alias w:val="16 str. 2 d. 6 p."/>
                        <w:tag w:val="part_9989eb5bc9644ded940fd5221dd02f23"/>
                        <w:lock w:val="sdtLocked"/>
                        <w:richText/>
                      </w:sdtPr>
                      <w:sdtContent>
                        <w:p>
                          <w:pPr>
                            <w:widowControl w:val="0"/>
                            <w:suppressAutoHyphens/>
                            <w:ind w:firstLine="708"/>
                            <w:jc w:val="both"/>
                            <w:rPr>
                              <w:b/>
                              <w:color w:val="000000"/>
                            </w:rPr>
                          </w:pPr>
                          <w:sdt>
                            <w:sdtPr>
                              <w:alias w:val="Numeris"/>
                              <w:tag w:val="nr_9989eb5bc9644ded940fd5221dd02f23"/>
                              <w:lock w:val="sdtLocked"/>
                              <w:richText/>
                            </w:sdtPr>
                            <w:sdtContent>
                              <w:r>
                                <w:rPr>
                                  <w:color w:val="000000"/>
                                </w:rPr>
                                <w:t>6</w:t>
                              </w:r>
                            </w:sdtContent>
                          </w:sdt>
                          <w:r>
                            <w:rPr>
                              <w:color w:val="000000"/>
                            </w:rPr>
                            <w:t>) neįgaliųjų asociacijos. Jos atstovauja neįgaliųjų interesams, padeda įgyvendinti neįgaliųjų socialinės integracijos priemones: organizuoja socialinių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Neįgaliųjų asociacijos dalyvauja formuojant ir vykdant šalies socialinę politiką.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f822600d62247aeb5549cee1508b66e"/>
                <w:lock w:val="sdtLocked"/>
                <w:richText/>
              </w:sdtPr>
              <w:sdtContent>
                <w:p>
                  <w:pPr>
                    <w:ind w:firstLine="708"/>
                    <w:jc w:val="both"/>
                    <w:rPr>
                      <w:bCs/>
                      <w:color w:val="000000"/>
                    </w:rPr>
                  </w:pPr>
                  <w:sdt>
                    <w:sdtPr>
                      <w:alias w:val="Numeris"/>
                      <w:tag w:val="nr_3f822600d62247aeb5549cee1508b66e"/>
                      <w:lock w:val="sdtLocked"/>
                      <w:richText/>
                    </w:sdtPr>
                    <w:sdtContent>
                      <w:r>
                        <w:rPr>
                          <w:b/>
                          <w:color w:val="000000"/>
                        </w:rPr>
                        <w:t>17</w:t>
                      </w:r>
                    </w:sdtContent>
                  </w:sdt>
                  <w:r>
                    <w:rPr>
                      <w:b/>
                      <w:color w:val="000000"/>
                    </w:rPr>
                    <w:t xml:space="preserve"> straipsnis. </w:t>
                  </w:r>
                  <w:sdt>
                    <w:sdtPr>
                      <w:alias w:val="Pavadinimas"/>
                      <w:tag w:val="title_3f822600d62247aeb5549cee1508b66e"/>
                      <w:lock w:val="sdtLocked"/>
                      <w:richText/>
                    </w:sdtPr>
                    <w:sdtContent>
                      <w:r>
                        <w:rPr>
                          <w:b/>
                          <w:color w:val="000000"/>
                        </w:rPr>
                        <w:t>Neįgaliųjų reikalų taryba prie Socialinės apsaugos ir darbo ministerijos</w:t>
                      </w:r>
                    </w:sdtContent>
                  </w:sdt>
                </w:p>
                <w:sdt>
                  <w:sdtPr>
                    <w:alias w:val="17 str. 1 d."/>
                    <w:tag w:val="part_8eda9c81dbce4ae7b3d8918fd2bf401d"/>
                    <w:lock w:val="sdtLocked"/>
                    <w:richText/>
                  </w:sdtPr>
                  <w:sdtContent>
                    <w:p>
                      <w:pPr>
                        <w:ind w:firstLine="708"/>
                        <w:jc w:val="both"/>
                        <w:rPr>
                          <w:color w:val="000000"/>
                        </w:rPr>
                      </w:pPr>
                      <w:r>
                        <w:rPr>
                          <w:bCs/>
                          <w:color w:val="000000"/>
                        </w:rPr>
                        <w:t>Neįgaliųjų reikalų taryba prie Socialinės apsaugos ir darbo ministerijos (toliau – Neįgaliųjų reikalų taryba) nagrinėja svarbiausius neįgaliųjų socialinės integracijos klausimus ir teikia pasiūlymus socialinės apsaugos ir darbo ministrui dėl neįgaliųjų reikmes atitinkančios neįgaliųjų socialinės integracijos politikos įgyvendinimo. Ji sudaroma visuomeniniais pagrindais, lygiateisės partnerystės pagrindu iš valstybės institucijų ir neįgaliųjų asociacijų deleguotų atstovų. Neįgaliųjų reikalų tarybos sudėtį ir jos nuostatus socialinės apsaugos ir darbo ministro teikimu tvirtina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b77ee6f67c184da9b7c33dff2ff29bc7"/>
                    <w:lock w:val="sdtLocked"/>
                    <w:richText/>
                  </w:sdtPr>
                  <w:sdtContent>
                    <w:p>
                      <w:pPr>
                        <w:ind w:firstLine="708"/>
                        <w:jc w:val="both"/>
                        <w:rPr>
                          <w:color w:val="000000"/>
                        </w:rPr>
                      </w:pPr>
                      <w:sdt>
                        <w:sdtPr>
                          <w:alias w:val="Numeris"/>
                          <w:tag w:val="nr_b77ee6f67c184da9b7c33dff2ff29bc7"/>
                          <w:lock w:val="sdtLocked"/>
                          <w:richText/>
                        </w:sdtPr>
                        <w:sdtContent>
                          <w:r>
                            <w:rPr>
                              <w:color w:val="000000"/>
                            </w:rPr>
                            <w:t>1</w:t>
                          </w:r>
                        </w:sdtContent>
                      </w:sdt>
                      <w:r>
                        <w:rPr>
                          <w:color w:val="000000"/>
                        </w:rPr>
                        <w:t>. Neįgalumo lygį ir darbingumo lygį nustato Neįgalumo ir darbingumo nustatymo tarnyba prie Socialinės apsaugos ir darbo ministerijos (toliau – Tarnyba).</w:t>
                      </w:r>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d08f03d511cd4149966e076e1868662a"/>
                    <w:lock w:val="sdtLocked"/>
                    <w:richText/>
                  </w:sdtPr>
                  <w:sdtContent>
                    <w:p>
                      <w:pPr>
                        <w:ind w:firstLine="708"/>
                        <w:jc w:val="both"/>
                        <w:rPr>
                          <w:color w:val="000000"/>
                        </w:rPr>
                      </w:pPr>
                      <w:sdt>
                        <w:sdtPr>
                          <w:alias w:val="Numeris"/>
                          <w:tag w:val="nr_d08f03d511cd4149966e076e1868662a"/>
                          <w:lock w:val="sdtLocked"/>
                          <w:richText/>
                        </w:sdtPr>
                        <w:sdtContent>
                          <w:r>
                            <w:rPr>
                              <w:color w:val="000000"/>
                            </w:rPr>
                            <w:t>5</w:t>
                          </w:r>
                        </w:sdtContent>
                      </w:sdt>
                      <w:r>
                        <w:rPr>
                          <w:color w:val="000000"/>
                        </w:rPr>
                        <w:t xml:space="preserve">. Neįgalumo lygio nustatymo kriterijus ir tvarką nustato Sveikatos apsaugos ministerija kartu su Socialinės apsaugos ir darbo ministerija bei Švietimo ir mokslo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8c09b5ec01d740d8b2b25a8981a09218"/>
                        <w:lock w:val="sdtLocked"/>
                        <w:richText/>
                      </w:sdtPr>
                      <w:sdtContent>
                        <w:p>
                          <w:pPr>
                            <w:widowControl w:val="0"/>
                            <w:ind w:firstLine="708"/>
                            <w:jc w:val="both"/>
                            <w:rPr>
                              <w:color w:val="000000"/>
                            </w:rPr>
                          </w:pPr>
                          <w:sdt>
                            <w:sdtPr>
                              <w:alias w:val="Numeris"/>
                              <w:tag w:val="nr_8c09b5ec01d740d8b2b25a8981a09218"/>
                              <w:lock w:val="sdtLocked"/>
                              <w:richText/>
                            </w:sdtPr>
                            <w:sdtContent>
                              <w:r>
                                <w:rPr>
                                  <w:color w:val="000000"/>
                                  <w:szCs w:val="24"/>
                                  <w:lang w:eastAsia="lt-LT"/>
                                </w:rPr>
                                <w:t>1</w:t>
                              </w:r>
                            </w:sdtContent>
                          </w:sdt>
                          <w:r>
                            <w:rPr>
                              <w:color w:val="000000"/>
                              <w:szCs w:val="24"/>
                              <w:lang w:eastAsia="lt-LT"/>
                            </w:rPr>
                            <w:t>) jei asmeniui nustatoma 0–25 procentų darbingumo, asmuo laikomas nedarbingu, t. y. asmuo negali dirbti arba gali dirbti tik pagal negalios pobūdį pritaikytoje darbo vietoje ar pritaikytomis darbo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2 p."/>
                        <w:tag w:val="part_ff4072a6bca64d95b4293c6839211c48"/>
                        <w:lock w:val="sdtLocked"/>
                        <w:richText/>
                      </w:sdtPr>
                      <w:sdtContent>
                        <w:p>
                          <w:pPr>
                            <w:widowControl w:val="0"/>
                            <w:ind w:firstLine="708"/>
                            <w:jc w:val="both"/>
                            <w:rPr>
                              <w:color w:val="000000"/>
                            </w:rPr>
                          </w:pPr>
                          <w:sdt>
                            <w:sdtPr>
                              <w:alias w:val="Numeris"/>
                              <w:tag w:val="nr_ff4072a6bca64d95b4293c6839211c48"/>
                              <w:lock w:val="sdtLocked"/>
                              <w:richText/>
                            </w:sdtPr>
                            <w:sdtContent>
                              <w:r>
                                <w:rPr>
                                  <w:color w:val="000000"/>
                                  <w:szCs w:val="24"/>
                                  <w:lang w:eastAsia="lt-LT"/>
                                </w:rPr>
                                <w:t>2</w:t>
                              </w:r>
                            </w:sdtContent>
                          </w:sdt>
                          <w:r>
                            <w:rPr>
                              <w:color w:val="000000"/>
                              <w:szCs w:val="24"/>
                              <w:lang w:eastAsia="lt-LT"/>
                            </w:rPr>
                            <w:t>) jei asmeniui nustatoma 30–55 procentų darbingumo, asmuo laikomas iš dalies darbingu, t. y. asmuo gali dirbti pagal negalios pobūdį pritaikytoje darbo vietoje arba jam nebūtina pritaikyti darbo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7092293a13dd4e228d8861f9aa1a5c12"/>
                    <w:lock w:val="sdtLocked"/>
                    <w:richText/>
                  </w:sdtPr>
                  <w:sdtContent>
                    <w:p>
                      <w:pPr>
                        <w:ind w:firstLine="708"/>
                        <w:jc w:val="both"/>
                        <w:rPr>
                          <w:b/>
                          <w:color w:val="000000"/>
                        </w:rPr>
                      </w:pPr>
                      <w:sdt>
                        <w:sdtPr>
                          <w:alias w:val="Numeris"/>
                          <w:tag w:val="nr_7092293a13dd4e228d8861f9aa1a5c12"/>
                          <w:lock w:val="sdtLocked"/>
                          <w:richText/>
                        </w:sdtPr>
                        <w:sdtContent>
                          <w:r>
                            <w:rPr>
                              <w:color w:val="000000"/>
                            </w:rPr>
                            <w:t>9</w:t>
                          </w:r>
                        </w:sdtContent>
                      </w:sdt>
                      <w:r>
                        <w:rPr>
                          <w:color w:val="000000"/>
                        </w:rPr>
                        <w:t xml:space="preserve">. Darbingumo lygio nustatymo kriterijus ir tvarką nustato Socialinės apsaugos ir darbo ministerija kartu su Sveikatos apsaugos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bc0ddd580dd044d99e2cffc3a065a71b"/>
                    <w:lock w:val="sdtLocked"/>
                    <w:richText/>
                  </w:sdtPr>
                  <w:sdtContent>
                    <w:p>
                      <w:pPr>
                        <w:widowControl w:val="0"/>
                        <w:suppressAutoHyphens/>
                        <w:ind w:firstLine="708"/>
                        <w:jc w:val="both"/>
                        <w:rPr>
                          <w:color w:val="000000"/>
                        </w:rPr>
                      </w:pPr>
                      <w:sdt>
                        <w:sdtPr>
                          <w:alias w:val="Numeris"/>
                          <w:tag w:val="nr_bc0ddd580dd044d99e2cffc3a065a71b"/>
                          <w:lock w:val="sdtLocked"/>
                          <w:richText/>
                        </w:sdtPr>
                        <w:sdtContent>
                          <w:r>
                            <w:rPr>
                              <w:color w:val="000000"/>
                            </w:rPr>
                            <w:t>4</w:t>
                          </w:r>
                        </w:sdtContent>
                      </w:sdt>
                      <w:r>
                        <w:rPr>
                          <w:color w:val="000000"/>
                        </w:rPr>
                        <w:t>. Profesinės reabilitacijos pašalpa asmeniui skiriama nuo pirmos dalyvavimo profesinės reabilitacijos programoje dienos ir mokama kiekvieną mėnesį, bet ne ilgiau kaip 180 kalendorinių dienų. Ši pašalpa skiriama ir mokama neatsižvelgiant į kitas asmens gaunamas pajamas.</w:t>
                      </w:r>
                    </w:p>
                    <w:p>
                      <w:pPr>
                        <w:widowControl w:val="0"/>
                        <w:suppressAutoHyphens/>
                        <w:jc w:val="both"/>
                        <w:rPr>
                          <w:color w:val="000000"/>
                        </w:rPr>
                      </w:pPr>
                      <w:r>
                        <w:rPr>
                          <w:b/>
                          <w:i/>
                          <w:color w:val="000000"/>
                          <w:sz w:val="20"/>
                        </w:rPr>
                        <w:t>TAR pastaba.</w:t>
                      </w:r>
                      <w:r>
                        <w:rPr>
                          <w:i/>
                          <w:color w:val="000000"/>
                          <w:sz w:val="20"/>
                        </w:rPr>
                        <w:t xml:space="preserve"> 4 dalies nuostatos netaikomos asmenims, kuriems profesinės reabilitacijos pašalpa paskirta iki įstatymo Nr. XI-791 įsigaliojimo (2010-07-01).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24 str. 3 d."/>
                    <w:tag w:val="part_228e4eefe15140fea380973513d6203f"/>
                    <w:lock w:val="sdtLocked"/>
                    <w:richText/>
                  </w:sdtPr>
                  <w:sdtContent>
                    <w:p>
                      <w:pPr>
                        <w:ind w:firstLine="708"/>
                        <w:jc w:val="both"/>
                        <w:rPr>
                          <w:b/>
                          <w:color w:val="000000"/>
                        </w:rPr>
                      </w:pPr>
                      <w:sdt>
                        <w:sdtPr>
                          <w:alias w:val="Numeris"/>
                          <w:tag w:val="nr_228e4eefe15140fea380973513d6203f"/>
                          <w:lock w:val="sdtLocked"/>
                          <w:richText/>
                        </w:sdtPr>
                        <w:sdtContent>
                          <w:r>
                            <w:rPr>
                              <w:bCs/>
                              <w:color w:val="000000"/>
                            </w:rPr>
                            <w:t>3</w:t>
                          </w:r>
                        </w:sdtContent>
                      </w:sdt>
                      <w:r>
                        <w:rPr>
                          <w:bCs/>
                          <w:color w:val="000000"/>
                        </w:rPr>
                        <w:t>. Specialiųjų poreikių ir jų lygio nustatymo, specialiųjų poreikių tenkinimo tvarką ir sąlygas nustato Lietuvos Respublikos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fb5282481f954477ab99220d69b16b9f"/>
                    <w:lock w:val="sdtLocked"/>
                    <w:richText/>
                  </w:sdtPr>
                  <w:sdtContent>
                    <w:p>
                      <w:pPr>
                        <w:ind w:firstLine="708"/>
                        <w:jc w:val="both"/>
                        <w:rPr>
                          <w:color w:val="000000"/>
                        </w:rPr>
                      </w:pPr>
                      <w:sdt>
                        <w:sdtPr>
                          <w:alias w:val="Numeris"/>
                          <w:tag w:val="nr_fb5282481f954477ab99220d69b16b9f"/>
                          <w:lock w:val="sdtLocked"/>
                          <w:richText/>
                        </w:sdtPr>
                        <w:sdtContent>
                          <w:r>
                            <w:rPr>
                              <w:color w:val="000000"/>
                            </w:rPr>
                            <w:t>3</w:t>
                          </w:r>
                        </w:sdtContent>
                      </w:sdt>
                      <w:r>
                        <w:rPr>
                          <w:color w:val="000000"/>
                        </w:rPr>
                        <w:t>. Aprūpinimą techninės pagalbos priemonėmis pagal kompetenciją organizuoja ir aprūpinimo atitinkamomis techninės pagalbos priemonėmis tvarką nustato Sveikatos apsaugos ministerija, Socialinės apsaugos ir darbo ministerija bei Švietimo ir mokslo ministerija.</w:t>
                      </w:r>
                    </w:p>
                    <w:p>
                      <w:pPr>
                        <w:ind w:firstLine="708"/>
                        <w:jc w:val="both"/>
                        <w:rPr>
                          <w:color w:val="000000"/>
                        </w:rPr>
                      </w:pPr>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f73f0e37099f48c188829884e7f0598a"/>
        <w:lock w:val="sdtLocked"/>
        <w:richText/>
      </w:sdtPr>
      <w:sdtContent>
        <w:p>
          <w:pPr>
            <w:widowControl w:val="0"/>
            <w:suppressAutoHyphens/>
            <w:ind w:left="4535"/>
            <w:rPr>
              <w:color w:val="000000"/>
            </w:rPr>
          </w:pPr>
        </w:p>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f73f0e37099f48c188829884e7f0598a"/>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489F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0a0f068ddaa4ee88b46198e515e1862"/>
        <Part Type="strDalis" Nr="2" Abbr="1 str. 2 d." DocPartId="573fa17414464e289d20424f0a8667c4" PartId="13984f8832de4ae7bafb8163da7af9f8"/>
        <Part Type="strDalis" Nr="3" Abbr="1 str. 3 d." DocPartId="f94f833ba15f4142a6683d6f83b93f92" PartId="634316afc7434056a03da64b3174b48a"/>
        <Part Type="strDalis" Nr="4" Abbr="1 str. 4 d." DocPartId="4c4028bb1b514f939eb40033a2e68d78" PartId="96765147458b421c99ad7a07ef80a6bd"/>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3b56036826594933ae84ebe383eaed2d"/>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1766e282902f4b708b56e8071251ee88"/>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05592146fa6c4cdfb4d860d99b596edb"/>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NEĮGALIŲJŲ SOCIALINĘ INTEGRACIJĄ ĮGYVENDINANČIOS INSTITUCIJOS" DocPartId="b842ec8e612d46d383c99dc399b7127c" PartId="6ede6f2439674fd0a2fc02506bff4c15">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9df5f30e3321455cb86286cb008ee7ef">
          <Part Type="strPunktas" Nr="1" Abbr="16 str. 2 d. 1 p." DocPartId="7f63bb9133e549c9b7bb382f67105cba" PartId="0ae9dce964a946f89051227c3b493535"/>
          <Part Type="strPunktas" Nr="2" Abbr="16 str. 2 d. 2 p." DocPartId="5dac848fae674fca8d84e2a4848ee406" PartId="adc0c74fa9694f9fa865914b7606af63"/>
          <Part Type="strPunktas" Nr="3" Abbr="16 str. 2 d. 3 p." DocPartId="656dc63b9ef34c1482705b0062ddd527" PartId="9c5583e47c6e4ad1b67f76ce4e777c63"/>
          <Part Type="strPunktas" Nr="4" Abbr="16 str. 2 d. 4 p." DocPartId="385682077f374f26b97244cf5cc00b60" PartId="6a23e814e54545e7b449c9d4f585a949"/>
          <Part Type="strPunktas" Nr="5" Abbr="16 str. 2 d. 5 p." DocPartId="c8685f15f89247c58efb22452434917c" PartId="6dfe109884784acf9caabc496be1fdcb"/>
          <Part Type="strPunktas" Nr="6" Abbr="16 str. 2 d. 6 p." DocPartId="1364c80706354de7b7520a8ed3c5f93d" PartId="9989eb5bc9644ded940fd5221dd02f23"/>
        </Part>
      </Part>
      <Part Type="straipsnis" Nr="17" Abbr="17 str." Title="Neįgaliųjų reikalų taryba prie Socialinės apsaugos ir darbo ministerijos" DocPartId="109c11fcca73400a927d3c5b7458543e" PartId="3f822600d62247aeb5549cee1508b66e">
        <Part Type="strDalis" Nr="1" Abbr="17 str. 1 d." DocPartId="f0534b71527342009cf6241eb8d6814e" PartId="8eda9c81dbce4ae7b3d8918fd2bf401d"/>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b77ee6f67c184da9b7c33dff2ff29bc7"/>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4 d." Title=""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d08f03d511cd4149966e076e1868662a"/>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8c09b5ec01d740d8b2b25a8981a09218"/>
          <Part Type="strPunktas" Nr="2" Abbr="20 str. 7 d. 2 p." DocPartId="8b94b5701c564a1eb16cced6c2d7044e" PartId="ff4072a6bca64d95b4293c6839211c48"/>
          <Part Type="strPunktas" Nr="3" Abbr="20 str. 7 d. 3 p." DocPartId="dcb80dbdf7ab47feaa80177fc1bb90c8" PartId="d5612f941952442f990834a5226305df"/>
        </Part>
        <Part Type="strDalis" Nr="8" Abbr="8 d." Title=""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7092293a13dd4e228d8861f9aa1a5c12"/>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bc0ddd580dd044d99e2cffc3a065a71b"/>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24 str. 3 d." DocPartId="fb85b1bfc7954eef80a3c654c5e1a674" PartId="228e4eefe15140fea380973513d6203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fb5282481f954477ab99220d69b16b9f"/>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 Type="priedas" Nr="" Abbr="pr." Title="ĮGYVENDINAMI EUROPOS SĄJUNGOS TEISĖS AKTAI" DocPartId="dc3d50e55d164c22b6ec1f40289b3fb1" PartId="f73f0e37099f48c188829884e7f0598a">
    <Part Type="punktas" Nr="1" Abbr="pr. 1 p." DocPartId="d5e94da06a094a0692bad58e543039ed" PartId="27e9a1bb0b644628a4d7fa8b2cc202df"/>
    <Part Type="punktas" Nr="2" Abbr="2 p." Title="" DocPartId="55c4c941f37c40fb8c5a79275e2dbfee" PartId="278eee71763048b8bea8edbcbf149c60"/>
  </Part>
</Parts>
</file>

<file path=customXml/itemProps1.xml><?xml version="1.0" encoding="utf-8"?>
<ds:datastoreItem xmlns:ds="http://schemas.openxmlformats.org/officeDocument/2006/customXml" ds:itemID="{2D338E36-3A82-40F9-B36C-59FC2856C104}">
  <ds:schemaRefs>
    <ds:schemaRef ds:uri="http://lrs.lt/TAIS/DocParts"/>
  </ds:schemaRefs>
</ds:datastoreItem>
</file>

<file path=docProps/app.xml><?xml version="1.0" encoding="utf-8"?>
<Properties xmlns="http://schemas.openxmlformats.org/officeDocument/2006/extended-properties">
  <Template>Normal.dotm</Template>
  <TotalTime>21</TotalTime>
  <Pages>11</Pages>
  <Words>24371</Words>
  <Characters>13892</Characters>
  <Application>Microsoft Office Word</Application>
  <DocSecurity>0</DocSecurity>
  <Lines>115</Lines>
  <Paragraphs>76</Paragraphs>
  <ScaleCrop>false</ScaleCrop>
  <Company/>
  <LinksUpToDate>false</LinksUpToDate>
  <CharactersWithSpaces>38187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2016-05-20T12:01:00Z</dcterms:modified>
  <revision>22</revision>
</coreProperties>
</file>