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2013-06-28 iki 2014-09-30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13984f8832de4ae7bafb8163da7af9f8"/>
                    <w:lock w:val="sdtLocked"/>
                    <w:richText/>
                  </w:sdtPr>
                  <w:sdtContent>
                    <w:p>
                      <w:pPr>
                        <w:widowControl w:val="0"/>
                        <w:suppressAutoHyphens/>
                        <w:ind w:firstLine="709"/>
                        <w:jc w:val="both"/>
                        <w:rPr>
                          <w:color w:val="000000"/>
                        </w:rPr>
                      </w:pPr>
                      <w:sdt>
                        <w:sdtPr>
                          <w:alias w:val="Numeris"/>
                          <w:tag w:val="nr_13984f8832de4ae7bafb8163da7af9f8"/>
                          <w:lock w:val="sdtLocked"/>
                          <w:richText/>
                        </w:sdtPr>
                        <w:sdtContent>
                          <w:r>
                            <w:rPr>
                              <w:color w:val="000000"/>
                            </w:rPr>
                            <w:t>2</w:t>
                          </w:r>
                        </w:sdtContent>
                      </w:sdt>
                      <w:r>
                        <w:rPr>
                          <w:color w:val="000000"/>
                        </w:rPr>
                        <w:t xml:space="preserve">. Šis Įstatymas taikomas Lietuvos Respublikoje nuolat gyvenantiems asmenims. </w:t>
                      </w:r>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6765147458b421c99ad7a07ef80a6bd"/>
                    <w:lock w:val="sdtLocked"/>
                    <w:richText/>
                  </w:sdtPr>
                  <w:sdtContent>
                    <w:p>
                      <w:pPr>
                        <w:widowControl w:val="0"/>
                        <w:suppressAutoHyphens/>
                        <w:ind w:firstLine="709"/>
                        <w:jc w:val="both"/>
                        <w:rPr>
                          <w:color w:val="000000"/>
                        </w:rPr>
                      </w:pPr>
                      <w:sdt>
                        <w:sdtPr>
                          <w:alias w:val="Numeris"/>
                          <w:tag w:val="nr_96765147458b421c99ad7a07ef80a6bd"/>
                          <w:lock w:val="sdtLocked"/>
                          <w:richText/>
                        </w:sdtPr>
                        <w:sdtContent>
                          <w:r>
                            <w:rPr>
                              <w:color w:val="000000"/>
                            </w:rPr>
                            <w:t>4</w:t>
                          </w:r>
                        </w:sdtContent>
                      </w:sdt>
                      <w:r>
                        <w:rPr>
                          <w:color w:val="000000"/>
                        </w:rPr>
                        <w:t>. Šio Įstatymo 19, 20, 23 ir 24 straipsniai taip pat taikomi kitiems asmenims, kuriems, įgyvendinant Europos Sąjungos socialinės apsaugos sistemų koordinavimo reglamentus, turi būti taikomi šiame Įstatyme nurodyti straipsniai.</w:t>
                      </w:r>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0ae9dce964a946f89051227c3b493535"/>
                        <w:lock w:val="sdtLocked"/>
                        <w:richText/>
                      </w:sdtPr>
                      <w:sdtContent>
                        <w:p>
                          <w:pPr>
                            <w:widowControl w:val="0"/>
                            <w:suppressAutoHyphens/>
                            <w:ind w:firstLine="708"/>
                            <w:jc w:val="both"/>
                            <w:rPr>
                              <w:color w:val="000000"/>
                            </w:rPr>
                          </w:pPr>
                          <w:sdt>
                            <w:sdtPr>
                              <w:alias w:val="Numeris"/>
                              <w:tag w:val="nr_0ae9dce964a946f89051227c3b493535"/>
                              <w:lock w:val="sdtLocked"/>
                              <w:richText/>
                            </w:sdtPr>
                            <w:sdtContent>
                              <w:r>
                                <w:rPr>
                                  <w:color w:val="000000"/>
                                </w:rPr>
                                <w:t>1</w:t>
                              </w:r>
                            </w:sdtContent>
                          </w:sdt>
                          <w:r>
                            <w:rPr>
                              <w:color w:val="000000"/>
                            </w:rPr>
                            <w:t>) Lietuvos Respublikos Vyriausybė arba jos įgaliota institucija. Ji koordinuoja</w:t>
                          </w:r>
                          <w:r>
                            <w:rPr>
                              <w:b/>
                              <w:bCs/>
                              <w:color w:val="000000"/>
                            </w:rPr>
                            <w:t xml:space="preserve"> </w:t>
                          </w:r>
                          <w:r>
                            <w:rPr>
                              <w:color w:val="000000"/>
                            </w:rPr>
                            <w:t xml:space="preserve">ir įgyvendina neįgaliųjų socialinės integracijos sistemą, tvirtina ilgalaikes valstybines neįgaliųjų socialinės integracijos programas ir strategijas;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6a23e814e54545e7b449c9d4f585a94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9989eb5bc9644ded940fd5221dd02f23"/>
                        <w:lock w:val="sdtLocked"/>
                        <w:richText/>
                      </w:sdtPr>
                      <w:sdtContent>
                        <w:p>
                          <w:pPr>
                            <w:widowControl w:val="0"/>
                            <w:suppressAutoHyphens/>
                            <w:ind w:firstLine="708"/>
                            <w:jc w:val="both"/>
                            <w:rPr>
                              <w:b/>
                              <w:color w:val="000000"/>
                            </w:rPr>
                          </w:pPr>
                          <w:sdt>
                            <w:sdtPr>
                              <w:alias w:val="Numeris"/>
                              <w:tag w:val="nr_9989eb5bc9644ded940fd5221dd02f23"/>
                              <w:lock w:val="sdtLocked"/>
                              <w:richText/>
                            </w:sdtPr>
                            <w:sdtContent>
                              <w:r>
                                <w:rPr>
                                  <w:color w:val="000000"/>
                                </w:rPr>
                                <w:t>6</w:t>
                              </w:r>
                            </w:sdtContent>
                          </w:sdt>
                          <w:r>
                            <w:rPr>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Neįgaliųjų asociacijos dalyvauja formuojant ir vykdant šalies socialinę politiką.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A5D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13984f8832de4ae7bafb8163da7af9f8"/>
        <Part Type="strDalis" Nr="3" Abbr="1 str. 3 d." DocPartId="f94f833ba15f4142a6683d6f83b93f92" PartId="634316afc7434056a03da64b3174b48a"/>
        <Part Type="strDalis" Nr="4" Abbr="1 str. 4 d." DocPartId="4c4028bb1b514f939eb40033a2e68d78" PartId="96765147458b421c99ad7a07ef80a6bd"/>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0ae9dce964a946f89051227c3b493535"/>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6a23e814e54545e7b449c9d4f585a949"/>
          <Part Type="strPunktas" Nr="5" Abbr="16 str. 2 d. 5 p." DocPartId="c8685f15f89247c58efb22452434917c" PartId="e3b10953d4554eb68b4479d93646cf08"/>
          <Part Type="strPunktas" Nr="6" Abbr="16 str. 2 d. 6 p." DocPartId="1364c80706354de7b7520a8ed3c5f93d" PartId="9989eb5bc9644ded940fd5221dd02f23"/>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Title=""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Title=""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 Type="priedas" Nr=""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Title="" DocPartId="55c4c941f37c40fb8c5a79275e2dbfee" PartId="278eee71763048b8bea8edbcbf149c60"/>
  </Part>
</Parts>
</file>

<file path=customXml/itemProps1.xml><?xml version="1.0" encoding="utf-8"?>
<ds:datastoreItem xmlns:ds="http://schemas.openxmlformats.org/officeDocument/2006/customXml" ds:itemID="{75BF2233-46FC-4205-92B9-8CD2E01AB927}">
  <ds:schemaRefs>
    <ds:schemaRef ds:uri="http://lrs.lt/TAIS/DocParts"/>
  </ds:schemaRefs>
</ds:datastoreItem>
</file>

<file path=docProps/app.xml><?xml version="1.0" encoding="utf-8"?>
<Properties xmlns="http://schemas.openxmlformats.org/officeDocument/2006/extended-properties">
  <Template>Normal.dotm</Template>
  <TotalTime>20</TotalTime>
  <Pages>11</Pages>
  <Words>24240</Words>
  <Characters>13817</Characters>
  <Application>Microsoft Office Word</Application>
  <DocSecurity>0</DocSecurity>
  <Lines>115</Lines>
  <Paragraphs>75</Paragraphs>
  <ScaleCrop>false</ScaleCrop>
  <Company/>
  <LinksUpToDate>false</LinksUpToDate>
  <CharactersWithSpaces>37982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2016-05-20T11:58:00Z</dcterms:modified>
  <revision>21</revision>
</coreProperties>
</file>