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2022-06-03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63926174097744a5b2cc20902d91c379"/>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9"/>
              <w:headerReference w:type="default" r:id="rId20"/>
              <w:footerReference w:type="even" r:id="rId21"/>
              <w:footerReference w:type="default" r:id="rId22"/>
              <w:headerReference w:type="first" r:id="rId23"/>
              <w:footerReference w:type="first" r:id="rId24"/>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63926174097744a5b2cc20902d91c3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d03d0e255d694a2e9d4f1e385bfafbd8"/>
                        <w:lock w:val="sdtLocked"/>
                        <w:richText/>
                      </w:sdtPr>
                      <w:sdtContent>
                        <w:p>
                          <w:pPr>
                            <w:shd w:val="clear" w:color="000000" w:fill="auto"/>
                            <w:ind w:firstLine="567"/>
                            <w:jc w:val="both"/>
                          </w:pPr>
                          <w:sdt>
                            <w:sdtPr>
                              <w:alias w:val="Numeris"/>
                              <w:tag w:val="nr_d03d0e255d694a2e9d4f1e385bfafbd8"/>
                              <w:lock w:val="sdtLocked"/>
                              <w:richText/>
                            </w:sdtPr>
                            <w:sdtContent>
                              <w:r>
                                <w:rPr>
                                  <w:szCs w:val="24"/>
                                </w:rPr>
                                <w:t>4.2.2</w:t>
                              </w:r>
                            </w:sdtContent>
                          </w:sdt>
                          <w:r>
                            <w:rPr>
                              <w:szCs w:val="24"/>
                            </w:rPr>
                            <w:t>. plaukiojimą vandens telkiniuose, kuriuose yra nustatyti vidaus vandenų keliai;</w:t>
                          </w:r>
                        </w:p>
                      </w:sdtContent>
                    </w:sdt>
                    <w:sdt>
                      <w:sdtPr>
                        <w:alias w:val="4.2.3 pp."/>
                        <w:tag w:val="part_8df804352ed6446a9475c1126029eeb0"/>
                        <w:lock w:val="sdtLocked"/>
                        <w:richText/>
                      </w:sdtPr>
                      <w:sdtContent>
                        <w:p>
                          <w:pPr>
                            <w:ind w:firstLine="567"/>
                            <w:jc w:val="both"/>
                            <w:textAlignment w:val="center"/>
                            <w:rPr>
                              <w:rFonts w:eastAsia="Calibri"/>
                              <w:szCs w:val="24"/>
                            </w:rPr>
                          </w:pPr>
                          <w:sdt>
                            <w:sdtPr>
                              <w:alias w:val="Numeris"/>
                              <w:tag w:val="nr_8df804352ed6446a9475c1126029eeb0"/>
                              <w:lock w:val="sdtLocked"/>
                              <w:richText/>
                            </w:sdt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(-ius) iškėlus iš vandens ir užfiksavus aukščiausioje padėtyje.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db6e0ec9248d4d599313ad945ffe04a8"/>
        <w:lock w:val="sdtLocked"/>
        <w:richText/>
      </w:sdtPr>
      <w:sdtContent>
        <w:p>
          <w:pPr>
            <w:ind w:firstLine="9639"/>
            <w:jc w:val="both"/>
            <w:sectPr>
              <w:headerReference w:type="even" r:id="rId25"/>
              <w:headerReference w:type="default" r:id="rId26"/>
              <w:footerReference w:type="even" r:id="rId27"/>
              <w:footerReference w:type="default" r:id="rId28"/>
              <w:headerReference w:type="first" r:id="rId29"/>
              <w:footerReference w:type="first" r:id="rId30"/>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db6e0ec9248d4d599313ad945ffe04a8"/>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jc w:val="center"/>
                </w:pPr>
                <w:r>
                  <w:t>6350</w:t>
                </w:r>
              </w:p>
            </w:tc>
            <w:tc>
              <w:tcPr>
                <w:tcW w:w="1276" w:type="dxa"/>
                <w:tcBorders>
                  <w:top w:val="single" w:sz="4" w:space="0" w:color="auto"/>
                  <w:left w:val="single" w:sz="4" w:space="0" w:color="auto"/>
                  <w:bottom w:val="single" w:sz="4" w:space="0" w:color="auto"/>
                  <w:right w:val="single" w:sz="4" w:space="0" w:color="auto"/>
                </w:tcBorders>
              </w:tcPr>
              <w:p>
                <w:pPr>
                  <w:jc w:val="center"/>
                </w:pPr>
                <w:r>
                  <w:t>10050001</w:t>
                </w:r>
              </w:p>
            </w:tc>
            <w:tc>
              <w:tcPr>
                <w:tcW w:w="1417" w:type="dxa"/>
                <w:tcBorders>
                  <w:top w:val="single" w:sz="4" w:space="0" w:color="auto"/>
                  <w:left w:val="single" w:sz="4" w:space="0" w:color="auto"/>
                  <w:bottom w:val="single" w:sz="4" w:space="0" w:color="auto"/>
                  <w:right w:val="single" w:sz="4" w:space="0" w:color="auto"/>
                </w:tcBorders>
              </w:tcPr>
              <w:p>
                <w:pPr>
                  <w:jc w:val="center"/>
                </w:pPr>
                <w:r>
                  <w:t>–</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Savaeigėmis plaukiojimo priemonėmis (išskyrus turinčias vandens srauto pompą), kurių bendras variklių galingumas neviršija 10 AG (8 kW), galima plaukioti visą plaukiojimo sezoną Kauno HE tvenkinio dalyje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w:t>
                </w:r>
                <w:r>
                  <w:rPr>
                    <w:bCs/>
                    <w:szCs w:val="24"/>
                  </w:rPr>
                  <w:t>Šioje tvenkinio dalyje, ne arčiau kaip 200 m nuo kranto, nuo birželio 21 d. iki plaukiojimo sezono pabaigos leidžiama plaukioti</w:t>
                </w:r>
                <w:r>
                  <w:rPr>
                    <w:szCs w:val="24"/>
                  </w:rPr>
                  <w:t xml:space="preserve"> asmeniniais, pramoginiais ir sportiniais laivais, varomais vidaus degimo varikliais, turinčiais vandens srauto pompą, kilti ir tūpti hidroplanais. </w:t>
                </w:r>
                <w:r>
                  <w:rPr>
                    <w:bCs/>
                    <w:szCs w:val="24"/>
                  </w:rPr>
                  <w:t>Šioje tvenkinio dalyje asmeninius, pramoginius ir sportinius laivus, varomus vidaus degimo varikliais, turinčiais vandens srauto pompą, nuleisti į vandenį ir iškelti iš jo galima tik prieplaukose ar kitose</w:t>
                </w:r>
                <w:r>
                  <w:rPr>
                    <w:szCs w:val="24"/>
                  </w:rPr>
                  <w:t xml:space="preserve"> </w:t>
                </w:r>
                <w:r>
                  <w:rPr>
                    <w:bCs/>
                    <w:szCs w:val="24"/>
                  </w:rPr>
                  <w:t>vietose, kuriose įrengti specialūs įrenginiai</w:t>
                </w:r>
                <w:r>
                  <w:rPr>
                    <w:szCs w:val="24"/>
                  </w:rPr>
                  <w:t xml:space="preserve"> </w:t>
                </w:r>
                <w:r>
                  <w:rPr>
                    <w:bCs/>
                    <w:szCs w:val="24"/>
                  </w:rPr>
                  <w:t>plaukiojimo priemonių nuleidimui ar iškėlimui (slipai), o draudžiamą 200 m pločio priekrantės zoną leidžiama perplaukti mažiausiuoju savaeigės plaukiojimo priemonės greičiu, pasirenkant trumpiausią kelią.</w:t>
                </w:r>
                <w:r>
                  <w:rPr>
                    <w:szCs w:val="24"/>
                  </w:rPr>
                  <w:t xml:space="preserve"> </w:t>
                </w:r>
                <w:r>
                  <w:rPr>
                    <w:bCs/>
                    <w:szCs w:val="24"/>
                  </w:rPr>
                  <w:t>H</w:t>
                </w:r>
                <w:r>
                  <w:rPr>
                    <w:szCs w:val="24"/>
                  </w:rPr>
                  <w:t xml:space="preserve">idroplanais </w:t>
                </w:r>
                <w:r>
                  <w:rPr>
                    <w:bCs/>
                    <w:szCs w:val="24"/>
                  </w:rPr>
                  <w:t>mažiausiuoju greičiu</w:t>
                </w:r>
                <w:r>
                  <w:rPr>
                    <w:szCs w:val="24"/>
                  </w:rPr>
                  <w:t xml:space="preserve"> priplaukti leidžiama tik prie Kauno marių </w:t>
                </w:r>
                <w:r>
                  <w:rPr>
                    <w:bCs/>
                    <w:szCs w:val="24"/>
                  </w:rPr>
                  <w:t>vidaus vandenų</w:t>
                </w:r>
                <w:r>
                  <w:rPr>
                    <w:szCs w:val="24"/>
                  </w:rPr>
                  <w:t xml:space="preserve"> prieplaukos ir Grabučiškių plaukiojimo priemonių nuleidimo vietos (slipo).</w:t>
                </w:r>
              </w:p>
              <w:p>
                <w:pPr>
                  <w:jc w:val="both"/>
                  <w:rPr>
                    <w:szCs w:val="24"/>
                  </w:rPr>
                </w:pPr>
                <w:r>
                  <w:rPr>
                    <w:szCs w:val="24"/>
                  </w:rPr>
                  <w:t>Kauno marių Amalių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Kauno marių regioninio parko direkcija ir atitinkamos savivaldybės administracija, paženklinti su direkcija suderintu ir laivybos saugos reikalavimus atitinkančiu būdu; apie šių treniruočių datas ir laiką, jose numatomų naudoti savaeigių plaukiojimo priemonių skaičių turi raštu informuoti AAD ir Kauno marių regioninio parko direkciją.</w:t>
                </w:r>
              </w:p>
              <w:p>
                <w:pPr>
                  <w:snapToGrid w:val="0"/>
                  <w:jc w:val="both"/>
                  <w:rPr>
                    <w:color w:val="000000"/>
                    <w:szCs w:val="24"/>
                  </w:rPr>
                </w:pPr>
                <w:r>
                  <w:rPr>
                    <w:bCs/>
                    <w:color w:val="000000"/>
                  </w:rPr>
                  <w:t>Teisės aktuose nustatyta tvarka pripažintų nacionalinių sporto (šakos) federacijų organizuojamuose ir vykdomuose sporto renginiuose arba sporto renginiuose, kurių organizavimą ir įgyvendinimą šios federacijos koordinuoja, nuo birželio 21 d. iki plaukiojimo sezono pabaigos leidžiama plaukioti savaeigėmis plaukiojimo priemonėmis,</w:t>
                </w:r>
                <w:r>
                  <w:t xml:space="preserve"> </w:t>
                </w:r>
                <w:r>
                  <w:rPr>
                    <w:bCs/>
                    <w:color w:val="000000"/>
                  </w:rPr>
                  <w:t xml:space="preserve">kurių variklių galingumas neviršija 200 AG (160 kW), suderinus sporto renginio datą, laiką, konkrečią jo vietą, renginyje planuojamų naudoti savaeigių plaukiojimo priemonių skaičių, jų technines charakteristikas su </w:t>
                </w:r>
                <w:r>
                  <w:rPr>
                    <w:bCs/>
                    <w:color w:val="000000"/>
                    <w:szCs w:val="24"/>
                    <w:lang w:eastAsia="lt-LT"/>
                  </w:rPr>
                  <w:t>Kauno marių regioninio parko direkcija ir atitinkamos savivaldybės administracija</w:t>
                </w:r>
                <w:r>
                  <w:rPr>
                    <w:bCs/>
                    <w:color w:val="000000"/>
                  </w:rPr>
                  <w:t>. Nacionalinės sporto (šakos) federacija apie šių renginių datą, laiką ir vietą</w:t>
                </w:r>
                <w:r>
                  <w:rPr>
                    <w:bCs/>
                  </w:rPr>
                  <w:t>,</w:t>
                </w:r>
                <w:r>
                  <w:t xml:space="preserve"> </w:t>
                </w:r>
                <w:r>
                  <w:rPr>
                    <w:bCs/>
                    <w:color w:val="000000"/>
                  </w:rPr>
                  <w:t>renginyje numatomų naudoti savaeigių plaukiojimo priemonių skaičių, jų technines charakteristikas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Vilniaus m.</w:t>
                </w:r>
              </w:p>
            </w:tc>
            <w:tc>
              <w:tcPr>
                <w:tcW w:w="1558"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ežeras Gelūžė</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26,4</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12040142</w:t>
                </w:r>
              </w:p>
              <w:p>
                <w:pPr>
                  <w:snapToGrid w:val="0"/>
                  <w:jc w:val="both"/>
                  <w:rPr>
                    <w:color w:val="000000"/>
                    <w:szCs w:val="24"/>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t>Telšių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Masčio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272,2</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t>30040090</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t>13-19</w:t>
                </w:r>
              </w:p>
            </w:tc>
            <w:tc>
              <w:tcPr>
                <w:tcW w:w="7653" w:type="dxa"/>
                <w:tcBorders>
                  <w:top w:val="single" w:sz="4" w:space="0" w:color="auto"/>
                  <w:left w:val="single" w:sz="4" w:space="0" w:color="auto"/>
                  <w:bottom w:val="single" w:sz="4" w:space="0" w:color="auto"/>
                  <w:right w:val="single" w:sz="4" w:space="0" w:color="auto"/>
                </w:tcBorders>
              </w:tcPr>
              <w:p>
                <w:pPr>
                  <w:shd w:val="clear" w:color="auto" w:fill="FFFFFF"/>
                  <w:jc w:val="both"/>
                  <w:textAlignment w:val="baseline"/>
                  <w:rPr>
                    <w:color w:val="000000"/>
                    <w:szCs w:val="24"/>
                    <w:bdr w:val="none" w:sz="0" w:space="0" w:color="auto" w:frame="1"/>
                    <w:lang w:eastAsia="lt-LT"/>
                  </w:rPr>
                </w:pPr>
                <w:r>
                  <w:rPr>
                    <w:color w:val="000000"/>
                    <w:szCs w:val="24"/>
                    <w:bdr w:val="none" w:sz="0" w:space="0" w:color="auto" w:frame="1"/>
                    <w:lang w:eastAsia="lt-LT"/>
                  </w:rPr>
                  <w:t xml:space="preserve">Leidžiama plaukioti savaeigėmis plaukiojimo priemonėmis, kurių bendras variklių galingumas neviršija 150 AG (110 KW), visą plaukiojimo sezoną Telšių rajono savivaldybės patvirtintame </w:t>
                </w:r>
                <w:r>
                  <w:rPr>
                    <w:color w:val="000000"/>
                    <w:szCs w:val="24"/>
                    <w:bdr w:val="none" w:sz="0" w:space="0" w:color="auto" w:frame="1"/>
                    <w:shd w:val="clear" w:color="auto" w:fill="FFFFFF"/>
                    <w:lang w:eastAsia="lt-LT"/>
                  </w:rPr>
                  <w:t>Vietinės reikšmės vandens turizmo trasų Masčio ežere Telšių mieste specialiajame plane nustatytomis savaeigių valčių trasomis ir zonomis, teikiant viešąją paslaugą – pažintinį plaukiojimą pramoginiu laivu.</w:t>
                </w:r>
              </w:p>
              <w:p>
                <w:pPr>
                  <w:jc w:val="both"/>
                  <w:rPr>
                    <w:b/>
                    <w:bCs/>
                    <w:szCs w:val="24"/>
                  </w:rPr>
                </w:pPr>
                <w:r>
                  <w:rPr>
                    <w:color w:val="000000"/>
                    <w:szCs w:val="24"/>
                    <w:bdr w:val="none" w:sz="0" w:space="0" w:color="auto" w:frame="1"/>
                    <w:shd w:val="clear" w:color="auto" w:fill="FFFFFF"/>
                    <w:lang w:eastAsia="lt-LT"/>
                  </w:rPr>
                  <w:t xml:space="preserve">Teisės aktuose nustatyta tvarka pripažintų nacionalinių sporto (šakos) federacijų organizuojamuose sporto renginiuose arba sporto renginiuose, kurių organizavimą ir įgyvendinimą šios federacijos koordinuoja, leidžiama plaukioti savaeigėmis plaukiojimo priemonėmis, kurių variklių galingumas neviršija 200 AG (160 kW), </w:t>
                </w:r>
                <w:r>
                  <w:rPr>
                    <w:lang w:eastAsia="lt-LT"/>
                  </w:rPr>
                  <w:t>visą plaukiojimo sezoną, suderinus sporto renginio datą, laiką, vietą (nurodant specialiajame plane nustatytas trasas ir (arba) zonas),</w:t>
                </w:r>
                <w:r>
                  <w:rPr>
                    <w:color w:val="000000"/>
                    <w:szCs w:val="24"/>
                    <w:bdr w:val="none" w:sz="0" w:space="0" w:color="auto" w:frame="1"/>
                    <w:shd w:val="clear" w:color="auto" w:fill="FFFFFF"/>
                    <w:lang w:eastAsia="lt-LT"/>
                  </w:rPr>
                  <w:t xml:space="preserve"> renginyje planuojamų naudoti savaeigių plaukiojimo priemonių skaičių, jų technines charakteristikas su savivaldybės administracija ir informavus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594,6</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r>
                  <w:rPr>
                    <w:color w:val="000000"/>
                    <w:szCs w:val="24"/>
                  </w:rPr>
                  <w:t xml:space="preserve">Galuonų ežero įlanką </w:t>
                </w:r>
                <w:r>
                  <w:rPr>
                    <w:szCs w:val="24"/>
                  </w:rPr>
                  <w:t>(įlankos ties Maciūniškių kaimu koordinatės: 6114155, 597065 (LKS-94))</w:t>
                </w:r>
                <w: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a9340e28411ec8d9390588bf2de65">
            <w:r w:rsidRPr="00532B9F">
              <w:rPr>
                <w:rFonts w:ascii="Times New Roman" w:eastAsia="MS Mincho" w:hAnsi="Times New Roman"/>
                <w:sz w:val="20"/>
                <w:i/>
                <w:iCs/>
                <w:color w:val="0000FF" w:themeColor="hyperlink"/>
                <w:u w:val="single"/>
              </w:rPr>
              <w:t>D1-163</w:t>
            </w:r>
          </w:fldSimple>
          <w:r>
            <w:rPr>
              <w:rFonts w:ascii="Times New Roman" w:eastAsia="MS Mincho" w:hAnsi="Times New Roman"/>
              <w:sz w:val="20"/>
              <w:i/>
              <w:iCs/>
            </w:rPr>
            <w:t>,
2022-06-02,
paskelbta TAR 2022-06-02, i. k. 2022-12102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3d33302c0111ecad73e69048767e8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2021-10-13,
paskelbta TAR 2021-10-13, i. k. 2021-21410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5a9340e28411ec8d9390588bf2de65">
            <w:r w:rsidRPr="00532B9F">
              <w:rPr>
                <w:rFonts w:ascii="Times New Roman" w:eastAsia="MS Mincho" w:hAnsi="Times New Roman"/>
                <w:sz w:val="20"/>
                <w:iCs/>
                <w:color w:val="0000FF" w:themeColor="hyperlink"/>
                <w:u w:val="single"/>
              </w:rPr>
              <w:t>D1-163</w:t>
            </w:r>
          </w:fldSimple>
          <w:r>
            <w:rPr>
              <w:rFonts w:ascii="Times New Roman" w:eastAsia="MS Mincho" w:hAnsi="Times New Roman"/>
              <w:sz w:val="20"/>
              <w:iCs/>
            </w:rPr>
            <w:t>,
2022-06-02,
paskelbta TAR 2022-06-02, i. k. 2022-12102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EFB33"/>
  <w15:docId w15:val="{3F80F3D5-5086-4553-8F6F-D23DC964A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43.xml"/>
  <Relationship Id="rId2" Type="http://schemas.openxmlformats.org/officeDocument/2006/relationships/header" Target="header29.xml"/>
  <Relationship Id="rId20" Type="http://schemas.openxmlformats.org/officeDocument/2006/relationships/header" Target="header44.xml"/>
  <Relationship Id="rId21" Type="http://schemas.openxmlformats.org/officeDocument/2006/relationships/footer" Target="footer34.xml"/>
  <Relationship Id="rId22" Type="http://schemas.openxmlformats.org/officeDocument/2006/relationships/footer" Target="footer35.xml"/>
  <Relationship Id="rId23" Type="http://schemas.openxmlformats.org/officeDocument/2006/relationships/header" Target="header45.xml"/>
  <Relationship Id="rId24" Type="http://schemas.openxmlformats.org/officeDocument/2006/relationships/footer" Target="footer36.xml"/>
  <Relationship Id="rId25" Type="http://schemas.openxmlformats.org/officeDocument/2006/relationships/header" Target="header70.xml"/>
  <Relationship Id="rId26" Type="http://schemas.openxmlformats.org/officeDocument/2006/relationships/header" Target="header71.xml"/>
  <Relationship Id="rId27" Type="http://schemas.openxmlformats.org/officeDocument/2006/relationships/footer" Target="footer61.xml"/>
  <Relationship Id="rId28" Type="http://schemas.openxmlformats.org/officeDocument/2006/relationships/footer" Target="footer62.xml"/>
  <Relationship Id="rId29" Type="http://schemas.openxmlformats.org/officeDocument/2006/relationships/header" Target="header72.xml"/>
  <Relationship Id="rId3" Type="http://schemas.openxmlformats.org/officeDocument/2006/relationships/footer" Target="footer21.xml"/>
  <Relationship Id="rId30" Type="http://schemas.openxmlformats.org/officeDocument/2006/relationships/footer" Target="footer63.xml"/>
  <Relationship Id="rId31" Type="http://schemas.openxmlformats.org/officeDocument/2006/relationships/customXml" Target="../customXml/item1.xml"/>
  <Relationship Id="rId4" Type="http://schemas.openxmlformats.org/officeDocument/2006/relationships/header" Target="header30.xml"/>
  <Relationship Id="rId5" Type="http://schemas.openxmlformats.org/officeDocument/2006/relationships/footer" Target="footer2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63926174097744a5b2cc20902d91c379">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d03d0e255d694a2e9d4f1e385bfafbd8"/>
          <Part Type="papunktis" Nr="4.2.3" Abbr="4.2.3 pp." DocPartId="5d65b7adf1fd4eda9ae209f8a8561d4c" PartId="8df804352ed6446a9475c1126029eeb0"/>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db6e0ec9248d4d599313ad945ffe04a8"/>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D3F69533-5CF6-450A-8802-FC1CE6029D41}">
  <ds:schemaRefs>
    <ds:schemaRef ds:uri="http://lrs.lt/TAIS/DocParts"/>
  </ds:schemaRefs>
</ds:datastoreItem>
</file>

<file path=docProps/app.xml><?xml version="1.0" encoding="utf-8"?>
<Properties xmlns="http://schemas.openxmlformats.org/officeDocument/2006/extended-properties">
  <Template>Normal.dotm</Template>
  <TotalTime>105</TotalTime>
  <Pages>25</Pages>
  <Words>37172</Words>
  <Characters>21189</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58245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2022-06-03T18:12:00Z</dcterms:modified>
  <revision>43</revision>
</coreProperties>
</file>