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2014-06-04 iki 2014-06-04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1cecd387f1e84f22afb1285cd9c91965"/>
                    <w:lock w:val="sdtLocked"/>
                    <w:richText/>
                  </w:sdtPr>
                  <w:sdtContent>
                    <w:p>
                      <w:pPr>
                        <w:ind w:firstLine="567"/>
                        <w:jc w:val="both"/>
                        <w:rPr>
                          <w:rFonts w:eastAsia="Calibri"/>
                          <w:szCs w:val="24"/>
                        </w:rPr>
                      </w:pPr>
                      <w:sdt>
                        <w:sdtPr>
                          <w:alias w:val="Numeris"/>
                          <w:tag w:val="nr_1cecd387f1e84f22afb1285cd9c91965"/>
                          <w:lock w:val="sdtLocked"/>
                          <w:richText/>
                        </w:sdtPr>
                        <w:sdtContent>
                          <w:r>
                            <w:rPr>
                              <w:rFonts w:eastAsia="Calibri"/>
                              <w:szCs w:val="24"/>
                            </w:rPr>
                            <w:t>2.5</w:t>
                          </w:r>
                        </w:sdtContent>
                      </w:sdt>
                      <w:r>
                        <w:rPr>
                          <w:rFonts w:eastAsia="Calibri"/>
                          <w:szCs w:val="24"/>
                        </w:rPr>
                        <w:t>. kitos šiose sąlygose vartojamos sąvokos apibrėžtos Lietuvos Respublikos vidaus vandenų transporto kodekse, Lietuvos Respublikos vandens įstatyme, Lietuvos Respublikos saugomų teritorijų įstatyme, Lietuvos Respublikos teritorijų planavimo įstatyme, Vidaus vandenų kelių eksploatavimo taisyklėse, patvirtintose Lietuvos Respublikos susisiekimo ministro 2009 m. lapkričio 25 d. įsakymu Nr. 3-600 „Dėl Vidaus vandenų kelių eksploatavimo taisyklių patvirtinimo“.</w:t>
                      </w:r>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9751afa05bee450abd8b2e0390cf64e2"/>
                    <w:lock w:val="sdtLocked"/>
                    <w:richText/>
                  </w:sdtPr>
                  <w:sdtContent>
                    <w:p>
                      <w:pPr>
                        <w:ind w:firstLine="567"/>
                        <w:jc w:val="both"/>
                        <w:rPr>
                          <w:rFonts w:eastAsia="Calibri"/>
                          <w:szCs w:val="24"/>
                        </w:rPr>
                      </w:pPr>
                      <w:sdt>
                        <w:sdtPr>
                          <w:alias w:val="Numeris"/>
                          <w:tag w:val="nr_9751afa05bee450abd8b2e0390cf64e2"/>
                          <w:lock w:val="sdtLocked"/>
                          <w:richText/>
                        </w:sdtPr>
                        <w:sdtContent>
                          <w:r>
                            <w:rPr>
                              <w:rFonts w:eastAsia="Calibri"/>
                              <w:szCs w:val="24"/>
                            </w:rPr>
                            <w:t>3.2</w:t>
                          </w:r>
                        </w:sdtContent>
                      </w:sdt>
                      <w:r>
                        <w:rPr>
                          <w:rFonts w:eastAsia="Calibri"/>
                          <w:szCs w:val="24"/>
                        </w:rPr>
                        <w:t>. vykdant mokslinius ir kitus tyrimus,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p>
                  </w:sdtContent>
                </w:sdt>
                <w:sdt>
                  <w:sdtPr>
                    <w:alias w:val="3.3 p."/>
                    <w:tag w:val="part_369b7dd1de8b46f890f83343b5a866a5"/>
                    <w:lock w:val="sdtLocked"/>
                    <w:richText/>
                  </w:sdtPr>
                  <w:sdtContent>
                    <w:p>
                      <w:pPr>
                        <w:ind w:firstLine="567"/>
                        <w:jc w:val="both"/>
                        <w:rPr>
                          <w:rFonts w:eastAsia="Calibri"/>
                          <w:szCs w:val="24"/>
                        </w:rPr>
                      </w:pPr>
                      <w:sdt>
                        <w:sdtPr>
                          <w:alias w:val="Numeris"/>
                          <w:tag w:val="nr_369b7dd1de8b46f890f83343b5a866a5"/>
                          <w:lock w:val="sdtLocked"/>
                          <w:richText/>
                        </w:sdtPr>
                        <w:sdtContent>
                          <w:r>
                            <w:rPr>
                              <w:rFonts w:eastAsia="Calibri"/>
                              <w:szCs w:val="24"/>
                            </w:rPr>
                            <w:t>3.3</w:t>
                          </w:r>
                        </w:sdtContent>
                      </w:sdt>
                      <w:r>
                        <w:rPr>
                          <w:rFonts w:eastAsia="Calibri"/>
                          <w:szCs w:val="24"/>
                        </w:rPr>
                        <w:t>. vidaus vandens keliuose, išskyrus vandens kelius, esančius ežeruose, kurie yra valstybinių parkų ir valstybinių draustinių teritorijose.</w:t>
                      </w:r>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b35960125fa34e2f8ee75b5cb53bbc8b"/>
                    <w:lock w:val="sdtLocked"/>
                    <w:richText/>
                  </w:sdtPr>
                  <w:sdtContent>
                    <w:p>
                      <w:pPr>
                        <w:ind w:firstLine="567"/>
                        <w:jc w:val="both"/>
                        <w:rPr>
                          <w:rFonts w:eastAsia="Calibri"/>
                          <w:szCs w:val="24"/>
                        </w:rPr>
                      </w:pPr>
                      <w:sdt>
                        <w:sdtPr>
                          <w:alias w:val="Numeris"/>
                          <w:tag w:val="nr_b35960125fa34e2f8ee75b5cb53bbc8b"/>
                          <w:lock w:val="sdtLocked"/>
                          <w:richText/>
                        </w:sdtPr>
                        <w:sdtContent>
                          <w:r>
                            <w:rPr>
                              <w:rFonts w:eastAsia="Calibri"/>
                              <w:szCs w:val="24"/>
                            </w:rPr>
                            <w:t>4.2</w:t>
                          </w:r>
                        </w:sdtContent>
                      </w:sdt>
                      <w:r>
                        <w:rPr>
                          <w:rFonts w:eastAsia="Calibri"/>
                          <w:szCs w:val="24"/>
                        </w:rPr>
                        <w:t>. plaukioti išjungus variklius, išskyrus perplaukimą iš vieno vandens telkinio į kitą, jeigu juose leidžiama plaukioti.</w:t>
                      </w:r>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47b8bdfae8ff4ab392163e557f2ef7e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47b8bdfae8ff4ab392163e557f2ef7ec"/>
                      <w:lock w:val="sdtLocked"/>
                      <w:richText/>
                    </w:sdtPr>
                    <w:sdtContent>
                      <w:r>
                        <w:rPr>
                          <w:rFonts w:eastAsia="Calibri"/>
                          <w:szCs w:val="24"/>
                          <w:lang w:eastAsia="lt-LT"/>
                        </w:rPr>
                        <w:t>12</w:t>
                      </w:r>
                    </w:sdtContent>
                  </w:sdt>
                  <w:r>
                    <w:rPr>
                      <w:rFonts w:eastAsia="Calibri"/>
                      <w:szCs w:val="24"/>
                      <w:lang w:eastAsia="lt-LT"/>
                    </w:rPr>
                    <w:t>. Savaeigėmis ir nesavaeigėmis plaukiojimo priemonėmis draudžiama plaukioti gamtiniuose rezervatuose ir ornitologiniuose draustiniuose esančiuose vandens telkiniuose.</w:t>
                  </w:r>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09a25a89f70f42779bc8308a33da2371"/>
                <w:lock w:val="sdtLocked"/>
                <w:richText/>
              </w:sdtPr>
              <w:sdtContent>
                <w:p>
                  <w:pPr>
                    <w:ind w:firstLine="567"/>
                    <w:jc w:val="both"/>
                    <w:rPr>
                      <w:rFonts w:eastAsia="Calibri"/>
                      <w:szCs w:val="24"/>
                      <w:lang w:eastAsia="lt-LT"/>
                    </w:rPr>
                  </w:pPr>
                  <w:sdt>
                    <w:sdtPr>
                      <w:alias w:val="Numeris"/>
                      <w:tag w:val="nr_09a25a89f70f42779bc8308a33da2371"/>
                      <w:lock w:val="sdtLocked"/>
                      <w:richText/>
                    </w:sdtPr>
                    <w:sdtContent>
                      <w:r>
                        <w:rPr>
                          <w:rFonts w:eastAsia="Calibri"/>
                          <w:szCs w:val="24"/>
                          <w:lang w:eastAsia="lt-LT"/>
                        </w:rPr>
                        <w:t>14</w:t>
                      </w:r>
                    </w:sdtContent>
                  </w:sdt>
                  <w:r>
                    <w:rPr>
                      <w:rFonts w:eastAsia="Calibri"/>
                      <w:szCs w:val="24"/>
                      <w:lang w:eastAsia="lt-LT"/>
                    </w:rPr>
                    <w:t>. Savaeigėmis plaukiojimo priemonėmis draudžiama plaukioti:</w:t>
                  </w:r>
                </w:p>
                <w:sdt>
                  <w:sdtPr>
                    <w:alias w:val="14.1 p."/>
                    <w:tag w:val="part_5f78a9a254a544519576da52dccd1442"/>
                    <w:lock w:val="sdtLocked"/>
                    <w:richText/>
                  </w:sdtPr>
                  <w:sdtContent>
                    <w:p>
                      <w:pPr>
                        <w:ind w:firstLine="567"/>
                        <w:jc w:val="both"/>
                        <w:rPr>
                          <w:rFonts w:eastAsia="Calibri"/>
                          <w:szCs w:val="24"/>
                          <w:lang w:eastAsia="lt-LT"/>
                        </w:rPr>
                      </w:pPr>
                      <w:sdt>
                        <w:sdtPr>
                          <w:alias w:val="Numeris"/>
                          <w:tag w:val="nr_5f78a9a254a544519576da52dccd1442"/>
                          <w:lock w:val="sdtLocked"/>
                          <w:richText/>
                        </w:sdtPr>
                        <w:sdtContent>
                          <w:r>
                            <w:rPr>
                              <w:rFonts w:eastAsia="Calibri"/>
                              <w:szCs w:val="24"/>
                              <w:lang w:eastAsia="lt-LT"/>
                            </w:rPr>
                            <w:t>14.1</w:t>
                          </w:r>
                        </w:sdtContent>
                      </w:sdt>
                      <w:r>
                        <w:rPr>
                          <w:rFonts w:eastAsia="Calibri"/>
                          <w:szCs w:val="24"/>
                          <w:lang w:eastAsia="lt-LT"/>
                        </w:rPr>
                        <w:t>. vandens telkiniuose, esančiuose telmologiniuose, botaniniuose, zoologiniuose ir botaniniuose</w:t>
                      </w:r>
                      <w:r>
                        <w:rPr>
                          <w:rFonts w:eastAsia="Calibri"/>
                          <w:color w:val="000000"/>
                          <w:szCs w:val="24"/>
                        </w:rPr>
                        <w:t>-</w:t>
                      </w:r>
                      <w:r>
                        <w:rPr>
                          <w:rFonts w:eastAsia="Calibri"/>
                          <w:szCs w:val="24"/>
                          <w:lang w:eastAsia="lt-LT"/>
                        </w:rPr>
                        <w:t>zoologiniuose draustiniuose;</w:t>
                      </w:r>
                    </w:p>
                  </w:sdtContent>
                </w:sdt>
                <w:sdt>
                  <w:sdtPr>
                    <w:alias w:val="14.2 p."/>
                    <w:tag w:val="part_2ac3ab0133f24241866d899ffbc8977c"/>
                    <w:lock w:val="sdtLocked"/>
                    <w:richText/>
                  </w:sdtPr>
                  <w:sdtContent>
                    <w:p>
                      <w:pPr>
                        <w:ind w:firstLine="567"/>
                        <w:jc w:val="both"/>
                        <w:rPr>
                          <w:rFonts w:eastAsia="Calibri"/>
                          <w:szCs w:val="24"/>
                          <w:lang w:eastAsia="lt-LT"/>
                        </w:rPr>
                      </w:pPr>
                      <w:sdt>
                        <w:sdtPr>
                          <w:alias w:val="Numeris"/>
                          <w:tag w:val="nr_2ac3ab0133f24241866d899ffbc8977c"/>
                          <w:lock w:val="sdtLocked"/>
                          <w:richText/>
                        </w:sdtPr>
                        <w:sdtContent>
                          <w:r>
                            <w:rPr>
                              <w:rFonts w:eastAsia="Calibri"/>
                              <w:szCs w:val="24"/>
                              <w:lang w:eastAsia="lt-LT"/>
                            </w:rPr>
                            <w:t>14.2</w:t>
                          </w:r>
                        </w:sdtContent>
                      </w:sdt>
                      <w:r>
                        <w:rPr>
                          <w:rFonts w:eastAsia="Calibri"/>
                          <w:szCs w:val="24"/>
                          <w:lang w:eastAsia="lt-LT"/>
                        </w:rPr>
                        <w:t>. valstybiniuose parkuose esančiuose vandens telkiniuose, išskyrus:</w:t>
                      </w:r>
                    </w:p>
                    <w:sdt>
                      <w:sdtPr>
                        <w:alias w:val="14.2.1 p."/>
                        <w:tag w:val="part_08f432972f9a49228a0c8b42330cebc1"/>
                        <w:lock w:val="sdtLocked"/>
                        <w:richText/>
                      </w:sdtPr>
                      <w:sdtContent>
                        <w:p>
                          <w:pPr>
                            <w:ind w:firstLine="567"/>
                            <w:jc w:val="both"/>
                            <w:rPr>
                              <w:rFonts w:eastAsia="Calibri"/>
                              <w:szCs w:val="24"/>
                              <w:lang w:eastAsia="lt-LT"/>
                            </w:rPr>
                          </w:pPr>
                          <w:sdt>
                            <w:sdtPr>
                              <w:alias w:val="Numeris"/>
                              <w:tag w:val="nr_08f432972f9a49228a0c8b42330cebc1"/>
                              <w:lock w:val="sdtLocked"/>
                              <w:richText/>
                            </w:sdtPr>
                            <w:sdtContent>
                              <w:r>
                                <w:rPr>
                                  <w:rFonts w:eastAsia="Calibri"/>
                                  <w:szCs w:val="24"/>
                                  <w:lang w:eastAsia="lt-LT"/>
                                </w:rPr>
                                <w:t>14.2.1</w:t>
                              </w:r>
                            </w:sdtContent>
                          </w:sdt>
                          <w:r>
                            <w:rPr>
                              <w:rFonts w:eastAsia="Calibri"/>
                              <w:szCs w:val="24"/>
                              <w:lang w:eastAsia="lt-LT"/>
                            </w:rPr>
                            <w:t xml:space="preserve">. kai bendras variklių galingumas neviršija </w:t>
                          </w:r>
                          <w:r>
                            <w:rPr>
                              <w:rFonts w:eastAsia="Calibri"/>
                              <w:color w:val="000000"/>
                              <w:szCs w:val="24"/>
                            </w:rPr>
                            <w:t>10 AG (8 kW),</w:t>
                          </w:r>
                          <w:r>
                            <w:rPr>
                              <w:rFonts w:eastAsia="Calibri"/>
                              <w:szCs w:val="24"/>
                              <w:lang w:eastAsia="lt-LT"/>
                            </w:rPr>
                            <w:t xml:space="preserve"> galima plaukioti nuo birželio 21 d. iki navigacijos sezono pabaigos. Šias plaukiojimo priemones švartuoti galima įrengtose prieplaukose, prie lieptų, vandens turistų įlipimo</w:t>
                          </w:r>
                          <w:r>
                            <w:rPr>
                              <w:rFonts w:eastAsia="Calibri"/>
                              <w:color w:val="000000"/>
                              <w:szCs w:val="24"/>
                            </w:rPr>
                            <w:t xml:space="preserve"> ir </w:t>
                          </w:r>
                          <w:r>
                            <w:rPr>
                              <w:rFonts w:eastAsia="Calibri"/>
                              <w:szCs w:val="24"/>
                              <w:lang w:eastAsia="lt-LT"/>
                            </w:rPr>
                            <w:t>išlipimo vietose;</w:t>
                          </w:r>
                        </w:p>
                      </w:sdtContent>
                    </w:sdt>
                    <w:sdt>
                      <w:sdtPr>
                        <w:alias w:val="14.2.2 p."/>
                        <w:tag w:val="part_bea369ca769b42308d8a42f296633a43"/>
                        <w:lock w:val="sdtLocked"/>
                        <w:richText/>
                      </w:sdtPr>
                      <w:sdtContent>
                        <w:p>
                          <w:pPr>
                            <w:ind w:firstLine="567"/>
                            <w:jc w:val="both"/>
                            <w:rPr>
                              <w:rFonts w:eastAsia="Calibri"/>
                              <w:szCs w:val="24"/>
                              <w:lang w:eastAsia="lt-LT"/>
                            </w:rPr>
                          </w:pPr>
                          <w:sdt>
                            <w:sdtPr>
                              <w:alias w:val="Numeris"/>
                              <w:tag w:val="nr_bea369ca769b42308d8a42f296633a43"/>
                              <w:lock w:val="sdtLocked"/>
                              <w:richText/>
                            </w:sdtPr>
                            <w:sdtContent>
                              <w:r>
                                <w:rPr>
                                  <w:rFonts w:eastAsia="Calibri"/>
                                  <w:szCs w:val="24"/>
                                  <w:lang w:eastAsia="lt-LT"/>
                                </w:rPr>
                                <w:t>14.2.2</w:t>
                              </w:r>
                            </w:sdtContent>
                          </w:sdt>
                          <w:r>
                            <w:rPr>
                              <w:rFonts w:eastAsia="Calibri"/>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p>
                          <w:pPr>
                            <w:tabs>
                              <w:tab w:val="left" w:pos="9637"/>
                            </w:tabs>
                            <w:jc w:val="both"/>
                            <w:rPr>
                              <w:rFonts w:eastAsia="Calibri"/>
                              <w:b/>
                              <w:szCs w:val="24"/>
                            </w:rPr>
                          </w:pPr>
                        </w:p>
                      </w:sdtContent>
                    </w:sdt>
                  </w:sdtContent>
                </w:sdt>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sdtContent>
    </w:sdt>
    <w:sdt>
      <w:sdtPr>
        <w:alias w:val="pr."/>
        <w:tag w:val="part_30f497afeb6c4c2dbf9c38040b76029f"/>
        <w:lock w:val="sdtLocked"/>
        <w:richText/>
      </w:sdtPr>
      <w:sdtContent>
        <w:p>
          <w:pPr>
            <w:jc w:val="center"/>
            <w:rPr>
              <w:szCs w:val="24"/>
              <w:lang w:eastAsia="ar-SA"/>
            </w:rPr>
          </w:pPr>
        </w:p>
        <w:p>
          <w:pPr>
            <w:jc w:val="center"/>
            <w:rPr>
              <w:szCs w:val="24"/>
              <w:lang w:eastAsia="ar-SA"/>
            </w:rPr>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tabs>
              <w:tab w:val="center" w:pos="4819"/>
              <w:tab w:val="right" w:pos="9638"/>
            </w:tabs>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30f497afeb6c4c2dbf9c38040b76029f"/>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5"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 xml:space="preserve">Vandens motociklais leidžiama plaukioti nuo gegužės 1 d. iki rugsėjo 30 d. Baltijos jūros pakrantės vandenyse, išskyrus Kuršių nerijos nacionaliniame parke, Pajūrio regioniniame parke, Baltijos jūros biosferos poligone ir Baltijos jūros talasaloginiame draustinyje. </w:t>
                </w:r>
              </w:p>
              <w:p>
                <w:pPr>
                  <w:snapToGrid w:val="0"/>
                  <w:rPr>
                    <w:color w:val="000000"/>
                    <w:sz w:val="23"/>
                    <w:szCs w:val="23"/>
                  </w:rPr>
                </w:pPr>
                <w:r>
                  <w:rPr>
                    <w:color w:val="000000"/>
                    <w:sz w:val="23"/>
                    <w:szCs w:val="23"/>
                  </w:rPr>
                  <w:t>Plaukiojant kitomis savaeigėmis plaukiojimo priemonėmis apribojimai netaikomi.</w:t>
                </w:r>
              </w:p>
              <w:p>
                <w:pPr>
                  <w:snapToGrid w:val="0"/>
                  <w:rPr>
                    <w:color w:val="000000"/>
                    <w:sz w:val="23"/>
                    <w:szCs w:val="23"/>
                  </w:rPr>
                </w:pPr>
              </w:p>
              <w:p>
                <w:pPr>
                  <w:snapToGrid w:val="0"/>
                  <w:rPr>
                    <w:color w:val="000000"/>
                    <w:sz w:val="23"/>
                    <w:szCs w:val="23"/>
                  </w:rPr>
                </w:pPr>
                <w:r>
                  <w:rPr>
                    <w:color w:val="000000"/>
                    <w:sz w:val="23"/>
                    <w:szCs w:val="23"/>
                  </w:rPr>
                  <w:t xml:space="preserve">Hidroplanams kilti ir tūpti galima nuo gegužės 1 d. iki navigacijos sezono pabaigos Baltijos jūroje, išskyrus Kuršių nerijos nacionaliniame parke, Pajūrio regioniniame parke, Baltijos jūros biosferos poligone ir Baltijos jūros talasaloginiame draustinyje. </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8"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8"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5"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rPr>
              <w:trHeight w:val="1942"/>
            </w:trP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31</w:t>
                </w:r>
                <w:r>
                  <w:t>-</w:t>
                </w:r>
                <w:r>
                  <w:rPr>
                    <w:color w:val="000000"/>
                  </w:rPr>
                  <w:t>24</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301 AG (221 kW)–680 AG (500 kW), ir vandens motociklais.</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rPr>
                  <w:t>33</w:t>
                </w:r>
                <w:r>
                  <w:t>-</w:t>
                </w:r>
                <w:r>
                  <w:rPr>
                    <w:color w:val="000000"/>
                  </w:rPr>
                  <w:t>7</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301 AG (221 kW)–680 AG (500 kW), išskyrus vandens motociklus, ne arčiau kaip 200 m nuo kranto šiaurinėje ežero dalyje nuo Mištautų miško rytinio pakraščio iki Padrūkšės kaimo, vakarinėje ežero dalyje – nuo Ignalinos atominės elektrinės išleidimo kanalo iki Mačionių kaimo.</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2"/>
                    <w:szCs w:val="22"/>
                  </w:rPr>
                </w:pPr>
                <w:r>
                  <w:rPr>
                    <w:color w:val="000000"/>
                  </w:rPr>
                  <w:t>14.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color w:val="000000"/>
                    <w:sz w:val="23"/>
                    <w:szCs w:val="23"/>
                  </w:rPr>
                  <w:t>Luodžio ežeras</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2"/>
                    <w:szCs w:val="22"/>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2"/>
                    <w:szCs w:val="22"/>
                  </w:rPr>
                </w:pPr>
                <w:r>
                  <w:rPr>
                    <w:sz w:val="23"/>
                    <w:szCs w:val="23"/>
                    <w:lang w:eastAsia="lt-LT"/>
                  </w:rPr>
                  <w:t>32-42</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Vandens sporto tikslais (sportinių treniruočių ir varžybų metu) leidžiama plaukioti savaeigėmis plaukiojimo priemonėmis, kurių bendras variklių galingumas neviršija 150 AG (110 kW) visą navigacijos sezono pradžios iki spalio 1 d. Sportinių treniruočių ir varžybų organizatoriai renginių laiką ir vietą turi suderinti su Gražutės RP direkcija ir Zarasų rajono savivaldybės administracija. </w:t>
                </w:r>
              </w:p>
            </w:tc>
          </w:tr>
          <w:tr>
            <w:tc>
              <w:tcPr>
                <w:tcW w:w="568"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21-49</w:t>
                </w:r>
              </w:p>
            </w:tc>
            <w:tc>
              <w:tcPr>
                <w:tcW w:w="7655"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70E0B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header" Target="header6.xml"/>
  <Relationship Id="rId5" Type="http://schemas.openxmlformats.org/officeDocument/2006/relationships/footer" Target="footer5.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1cecd387f1e84f22afb1285cd9c91965"/>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9751afa05bee450abd8b2e0390cf64e2"/>
        <Part Type="punktas" Nr="3.3" Abbr="3.3 p." DocPartId="d2589ba1364c46ebb666534fc5442d1c" PartId="369b7dd1de8b46f890f83343b5a866a5"/>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b35960125fa34e2f8ee75b5cb53bbc8b"/>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47b8bdfae8ff4ab392163e557f2ef7ec"/>
      <Part Type="punktas" Nr="13" Abbr="13 p." DocPartId="5c5990dd1b224a53b3bcf10b6940b885" PartId="ab28ae16de844c4c84f629d4ec783d3d"/>
      <Part Type="punktas" Nr="14" Abbr="14 p." DocPartId="e5308a39966744d1b71bc85f2f721f78" PartId="09a25a89f70f42779bc8308a33da2371">
        <Part Type="punktas" Nr="14.1" Abbr="14.1 p." DocPartId="f8f8313852e2496fa4d2aa2644d1a2bc" PartId="5f78a9a254a544519576da52dccd1442"/>
        <Part Type="punktas" Nr="14.2" Abbr="14.2 p." DocPartId="1c7cf4981c1b46ccaa9e6de1a48acede" PartId="2ac3ab0133f24241866d899ffbc8977c">
          <Part Type="punktas" Nr="14.2.1" Abbr="14.2.1 p." DocPartId="aa9a8066bf984c8aa9d9efae2b6deee4" PartId="08f432972f9a49228a0c8b42330cebc1"/>
          <Part Type="punktas" Nr="14.2.2" Abbr="14.2.2 p." DocPartId="1bb6ea0e09ba4fe99f0d5e7d05c94309" PartId="bea369ca769b42308d8a42f296633a4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30f497afeb6c4c2dbf9c38040b76029f"/>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56A03404-2132-451E-9ADE-46420052A70B}">
  <ds:schemaRefs>
    <ds:schemaRef ds:uri="http://lrs.lt/TAIS/DocParts"/>
  </ds:schemaRefs>
</ds:datastoreItem>
</file>

<file path=docProps/app.xml><?xml version="1.0" encoding="utf-8"?>
<Properties xmlns="http://schemas.openxmlformats.org/officeDocument/2006/extended-properties">
  <Template>normal.dotm</Template>
  <TotalTime>66</TotalTime>
  <Pages>9</Pages>
  <Words>13124</Words>
  <Characters>7482</Characters>
  <Application>Microsoft Office Word</Application>
  <DocSecurity>0</DocSecurity>
  <Lines>62</Lines>
  <Paragraphs>41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20565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2015-06-04T13:43:00Z</dcterms:modified>
  <revision>16</revision>
</coreProperties>
</file>