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2019-07-26 iki 2019-10-31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9eca7341eee439bb3c0e630a125b3b3"/>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9eca7341eee439bb3c0e630a125b3b3"/>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82797135a45245e2828a4490c8bdb5f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82797135a45245e2828a4490c8bdb5fc"/>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82797135a45245e2828a4490c8bdb5fc"/>
                  <w:lock w:val="sdtLocked"/>
                  <w:richText/>
                </w:sdtPr>
                <w:sdtContent>
                  <w:r>
                    <w:rPr>
                      <w:rFonts w:eastAsia="Calibri"/>
                      <w:b/>
                      <w:szCs w:val="24"/>
                      <w:lang w:eastAsia="lt-LT"/>
                    </w:rPr>
                    <w:t>BENDROSIOS NUOSTATOS</w:t>
                  </w:r>
                </w:sdtContent>
              </w:sdt>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2df70350776d4dfaa8334b3f1ee94646"/>
                <w:lock w:val="sdtLocked"/>
                <w:richText/>
              </w:sdtPr>
              <w:sdtContent>
                <w:p>
                  <w:pPr>
                    <w:shd w:val="clear" w:color="000000" w:fill="auto"/>
                    <w:ind w:firstLine="567"/>
                    <w:jc w:val="both"/>
                    <w:rPr>
                      <w:rFonts w:eastAsia="Calibri"/>
                      <w:szCs w:val="24"/>
                    </w:rPr>
                  </w:pPr>
                  <w:sdt>
                    <w:sdtPr>
                      <w:alias w:val="Numeris"/>
                      <w:tag w:val="nr_2df70350776d4dfaa8334b3f1ee94646"/>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d8a02773fe024d35be6b46638adb827a"/>
                    <w:lock w:val="sdtLocked"/>
                    <w:richText/>
                  </w:sdtPr>
                  <w:sdtContent>
                    <w:p>
                      <w:pPr>
                        <w:ind w:firstLine="567"/>
                        <w:jc w:val="both"/>
                        <w:textAlignment w:val="center"/>
                        <w:rPr>
                          <w:rFonts w:eastAsia="Calibri"/>
                          <w:szCs w:val="24"/>
                        </w:rPr>
                      </w:pPr>
                      <w:sdt>
                        <w:sdtPr>
                          <w:alias w:val="Numeris"/>
                          <w:tag w:val="nr_d8a02773fe024d35be6b46638adb827a"/>
                          <w:lock w:val="sdtLocked"/>
                          <w:richText/>
                        </w:sdtPr>
                        <w:sdtContent>
                          <w:r>
                            <w:rPr>
                              <w:color w:val="000000"/>
                              <w:szCs w:val="24"/>
                              <w:lang w:eastAsia="lt-LT"/>
                            </w:rPr>
                            <w:t>2.4</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 xml:space="preserve">plaukiojimo sezonas </w:t>
                      </w:r>
                      <w:r>
                        <w:rPr>
                          <w:color w:val="000000"/>
                          <w:szCs w:val="24"/>
                          <w:lang w:eastAsia="lt-LT"/>
                        </w:rPr>
                        <w:t>– laikotarpis nuo ledo ištirpimo vandens telkinyje iki ledo dangos susidarymo. Jei nesusidaro pastovi ledo danga, plaukiojimo sezonas trunka nuo balandžio 1 d. iki vasario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5 p."/>
                    <w:tag w:val="part_15d8b450f6ae4ed9be15c408460229ae"/>
                    <w:lock w:val="sdtLocked"/>
                    <w:richText/>
                  </w:sdtPr>
                  <w:sdtContent>
                    <w:p>
                      <w:pPr>
                        <w:shd w:val="clear" w:color="000000" w:fill="auto"/>
                        <w:ind w:firstLine="567"/>
                        <w:jc w:val="both"/>
                        <w:rPr>
                          <w:rFonts w:eastAsia="Calibri"/>
                          <w:szCs w:val="24"/>
                        </w:rPr>
                      </w:pPr>
                      <w:sdt>
                        <w:sdtPr>
                          <w:alias w:val="Numeris"/>
                          <w:tag w:val="nr_15d8b450f6ae4ed9be15c408460229ae"/>
                          <w:lock w:val="sdtLocked"/>
                          <w:richText/>
                        </w:sdt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3d5243a331ae4375aa6a2f109c7244f9"/>
                        <w:lock w:val="sdtLocked"/>
                        <w:richText/>
                      </w:sdtPr>
                      <w:sdtContent>
                        <w:p>
                          <w:pPr>
                            <w:shd w:val="clear" w:color="000000" w:fill="auto"/>
                            <w:ind w:firstLine="567"/>
                            <w:jc w:val="both"/>
                            <w:rPr>
                              <w:rFonts w:eastAsia="Calibri"/>
                              <w:szCs w:val="24"/>
                            </w:rPr>
                          </w:pPr>
                          <w:sdt>
                            <w:sdtPr>
                              <w:alias w:val="Numeris"/>
                              <w:tag w:val="nr_3d5243a331ae4375aa6a2f109c7244f9"/>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b8453882fb62499093ab7f7883de37be"/>
                <w:lock w:val="sdtLocked"/>
                <w:richText/>
              </w:sdtPr>
              <w:sdtContent>
                <w:p>
                  <w:pPr>
                    <w:ind w:firstLine="567"/>
                    <w:jc w:val="both"/>
                    <w:textAlignment w:val="center"/>
                    <w:rPr>
                      <w:sz w:val="16"/>
                      <w:szCs w:val="16"/>
                    </w:rPr>
                  </w:pPr>
                  <w:sdt>
                    <w:sdtPr>
                      <w:alias w:val="Numeris"/>
                      <w:tag w:val="nr_b8453882fb62499093ab7f7883de37be"/>
                      <w:lock w:val="sdtLocked"/>
                      <w:richText/>
                    </w:sdtPr>
                    <w:sdtContent>
                      <w:r>
                        <w:rPr>
                          <w:color w:val="000000"/>
                          <w:szCs w:val="24"/>
                          <w:lang w:eastAsia="lt-LT"/>
                        </w:rPr>
                        <w:t>8</w:t>
                      </w:r>
                    </w:sdtContent>
                  </w:sdt>
                  <w:r>
                    <w:rPr>
                      <w:color w:val="000000"/>
                      <w:szCs w:val="24"/>
                      <w:lang w:eastAsia="lt-LT"/>
                    </w:rPr>
                    <w:t xml:space="preserve">. </w:t>
                  </w:r>
                  <w:r>
                    <w:rPr>
                      <w:color w:val="000000"/>
                      <w:szCs w:val="24"/>
                    </w:rPr>
                    <w:t>Asmeniniais, pramoginiais ir sportiniais laivais, varomais vidaus degimo varikliais, turinčiais vandens srauto pompą,</w:t>
                  </w:r>
                  <w:r>
                    <w:rPr>
                      <w:color w:val="000000"/>
                      <w:szCs w:val="24"/>
                      <w:lang w:eastAsia="lt-LT"/>
                    </w:rPr>
                    <w:t xml:space="preserve"> ir kitomis savaeigėmis plaukiojimo priemonėmis, kurių bendras variklių galingumas – 301 AG (221 kW)-680 AG (500 kW)</w:t>
                  </w:r>
                  <w:r>
                    <w:rPr>
                      <w:color w:val="000000"/>
                      <w:szCs w:val="24"/>
                    </w:rPr>
                    <w:t xml:space="preserve">,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76f0aea211e98451fa7b5933515d">
                    <w:r w:rsidRPr="00532B9F">
                      <w:rPr>
                        <w:rFonts w:ascii="Times New Roman" w:eastAsia="MS Mincho" w:hAnsi="Times New Roman"/>
                        <w:sz w:val="20"/>
                        <w:i/>
                        <w:iCs/>
                        <w:color w:val="0000FF" w:themeColor="hyperlink"/>
                        <w:u w:val="single"/>
                      </w:rPr>
                      <w:t>D1-432</w:t>
                    </w:r>
                  </w:fldSimple>
                  <w:r>
                    <w:rPr>
                      <w:rFonts w:ascii="Times New Roman" w:eastAsia="MS Mincho" w:hAnsi="Times New Roman"/>
                      <w:sz w:val="20"/>
                      <w:i/>
                      <w:iCs/>
                    </w:rPr>
                    <w:t>,
2019-07-23,
paskelbta TAR 2019-07-25, i. k. 2019-12234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5931e37893ac4cb29f07e1e2ca0811da"/>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5931e37893ac4cb29f07e1e2ca0811da"/>
                  <w:lock w:val="sdtLocked"/>
                  <w:richText/>
                </w:sdtPr>
                <w:sdtContent>
                  <w:r>
                    <w:rPr>
                      <w:b/>
                      <w:bCs/>
                      <w:caps/>
                      <w:szCs w:val="24"/>
                      <w:lang w:eastAsia="ar-SA"/>
                    </w:rPr>
                    <w:t>II</w:t>
                  </w:r>
                </w:sdtContent>
              </w:sdt>
              <w:r>
                <w:rPr>
                  <w:b/>
                  <w:bCs/>
                  <w:caps/>
                  <w:szCs w:val="24"/>
                  <w:lang w:eastAsia="ar-SA"/>
                </w:rPr>
                <w:t xml:space="preserve">. </w:t>
              </w:r>
              <w:sdt>
                <w:sdtPr>
                  <w:alias w:val="Pavadinimas"/>
                  <w:tag w:val="title_5931e37893ac4cb29f07e1e2ca0811da"/>
                  <w:lock w:val="sdtLocked"/>
                  <w:richText/>
                </w:sdtPr>
                <w:sdtContent>
                  <w:r>
                    <w:rPr>
                      <w:b/>
                      <w:bCs/>
                      <w:caps/>
                      <w:szCs w:val="24"/>
                      <w:lang w:eastAsia="ar-SA"/>
                    </w:rPr>
                    <w:t xml:space="preserve">APLINKOSAUGOS SĄLYGOS plaukioti vandens telkiniuose, nepatenkančiuose į saugomas teritorijas </w:t>
                  </w:r>
                </w:sdtContent>
              </w:sdt>
            </w:p>
            <w:p>
              <w:pPr>
                <w:shd w:val="clear" w:color="000000" w:fill="auto"/>
                <w:suppressAutoHyphens/>
                <w:ind w:firstLine="567"/>
                <w:jc w:val="both"/>
              </w:pPr>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f30e7871896d4b4db21e52d01f5e3b59"/>
            <w:lock w:val="sdtLocked"/>
            <w:richText/>
          </w:sdtPr>
          <w:sdtContent>
            <w:p>
              <w:pPr>
                <w:shd w:val="clear" w:color="000000" w:fill="auto"/>
                <w:suppressAutoHyphens/>
                <w:ind w:firstLine="567"/>
                <w:jc w:val="center"/>
                <w:rPr>
                  <w:b/>
                  <w:bCs/>
                  <w:caps/>
                  <w:szCs w:val="24"/>
                  <w:lang w:eastAsia="ar-SA"/>
                </w:rPr>
              </w:pPr>
              <w:sdt>
                <w:sdtPr>
                  <w:alias w:val="Numeris"/>
                  <w:tag w:val="nr_f30e7871896d4b4db21e52d01f5e3b59"/>
                  <w:lock w:val="sdtLocked"/>
                  <w:richText/>
                </w:sdtPr>
                <w:sdtContent>
                  <w:r>
                    <w:rPr>
                      <w:b/>
                      <w:bCs/>
                      <w:caps/>
                      <w:szCs w:val="24"/>
                      <w:lang w:eastAsia="ar-SA"/>
                    </w:rPr>
                    <w:t>III</w:t>
                  </w:r>
                </w:sdtContent>
              </w:sdt>
              <w:r>
                <w:rPr>
                  <w:b/>
                  <w:bCs/>
                  <w:caps/>
                  <w:szCs w:val="24"/>
                  <w:lang w:eastAsia="ar-SA"/>
                </w:rPr>
                <w:t xml:space="preserve">. </w:t>
              </w:r>
              <w:sdt>
                <w:sdtPr>
                  <w:alias w:val="Pavadinimas"/>
                  <w:tag w:val="title_f30e7871896d4b4db21e52d01f5e3b59"/>
                  <w:lock w:val="sdtLocked"/>
                  <w:richText/>
                </w:sdtPr>
                <w:sdtContent>
                  <w:r>
                    <w:rPr>
                      <w:b/>
                      <w:bCs/>
                      <w:caps/>
                      <w:szCs w:val="24"/>
                      <w:lang w:eastAsia="ar-SA"/>
                    </w:rPr>
                    <w:t>APLINKOSAUGOS SĄLYGOS plaukioti vandens telkiniuose, esančiuose saugomose teritorijose</w:t>
                  </w:r>
                </w:sdtContent>
              </w:sdt>
            </w:p>
            <w:p>
              <w:pPr>
                <w:shd w:val="clear" w:color="000000" w:fill="auto"/>
                <w:rPr>
                  <w:szCs w:val="24"/>
                </w:rPr>
              </w:pPr>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9d7dd4151b124644ab68e2ce6a577b25"/>
                        <w:lock w:val="sdtLocked"/>
                        <w:richText/>
                      </w:sdtPr>
                      <w:sdtContent>
                        <w:p>
                          <w:pPr>
                            <w:ind w:firstLine="567"/>
                            <w:jc w:val="both"/>
                            <w:rPr>
                              <w:szCs w:val="24"/>
                            </w:rPr>
                          </w:pPr>
                          <w:sdt>
                            <w:sdtPr>
                              <w:alias w:val="Numeris"/>
                              <w:tag w:val="nr_9d7dd4151b124644ab68e2ce6a577b25"/>
                              <w:lock w:val="sdtLocked"/>
                              <w:richText/>
                            </w:sdtPr>
                            <w:sdtContent>
                              <w:r>
                                <w:rPr>
                                  <w:szCs w:val="24"/>
                                </w:rPr>
                                <w:t>14.2.3</w:t>
                              </w:r>
                            </w:sdtContent>
                          </w:sdt>
                          <w:r>
                            <w:rPr>
                              <w:szCs w:val="24"/>
                            </w:rPr>
                            <w:t xml:space="preserve">. keturtakčiais varikliais, kai bendras variklių galingumas neviršija 10 AG (8 kW), varomomis plaukiojimo priemonėmis nuo birželio 1 d. iki </w:t>
                          </w:r>
                          <w:r>
                            <w:rPr>
                              <w:color w:val="000000"/>
                              <w:szCs w:val="24"/>
                              <w:lang w:eastAsia="lt-LT"/>
                            </w:rPr>
                            <w:t xml:space="preserve">plaukiojimo </w:t>
                          </w:r>
                          <w:r>
                            <w:rPr>
                              <w:szCs w:val="24"/>
                            </w:rPr>
                            <w:t>sezono pabaigos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a133201f70244f65a1c9e468c60d6ca5"/>
            <w:lock w:val="sdtLocked"/>
            <w:richText/>
          </w:sdtPr>
          <w:sdtContent>
            <w:p>
              <w:pPr>
                <w:shd w:val="clear" w:color="000000" w:fill="auto"/>
                <w:suppressAutoHyphens/>
                <w:ind w:firstLine="567"/>
                <w:jc w:val="center"/>
                <w:rPr>
                  <w:b/>
                  <w:bCs/>
                  <w:caps/>
                  <w:szCs w:val="24"/>
                  <w:highlight w:val="lightGray"/>
                  <w:lang w:eastAsia="ar-SA"/>
                </w:rPr>
              </w:pPr>
              <w:sdt>
                <w:sdtPr>
                  <w:alias w:val="Numeris"/>
                  <w:tag w:val="nr_a133201f70244f65a1c9e468c60d6ca5"/>
                  <w:lock w:val="sdtLocked"/>
                  <w:richText/>
                </w:sdtPr>
                <w:sdtContent>
                  <w:r>
                    <w:rPr>
                      <w:b/>
                      <w:bCs/>
                      <w:caps/>
                      <w:szCs w:val="24"/>
                      <w:lang w:eastAsia="ar-SA"/>
                    </w:rPr>
                    <w:t>IV</w:t>
                  </w:r>
                </w:sdtContent>
              </w:sdt>
              <w:r>
                <w:rPr>
                  <w:b/>
                  <w:bCs/>
                  <w:caps/>
                  <w:szCs w:val="24"/>
                  <w:lang w:eastAsia="ar-SA"/>
                </w:rPr>
                <w:t xml:space="preserve">. </w:t>
              </w:r>
              <w:sdt>
                <w:sdtPr>
                  <w:alias w:val="Pavadinimas"/>
                  <w:tag w:val="title_a133201f70244f65a1c9e468c60d6ca5"/>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shd w:val="clear" w:color="000000" w:fill="auto"/>
                <w:tabs>
                  <w:tab w:val="left" w:pos="9637"/>
                </w:tabs>
                <w:ind w:firstLine="567"/>
                <w:jc w:val="both"/>
                <w:rPr>
                  <w:rFonts w:eastAsia="Calibri"/>
                  <w:szCs w:val="24"/>
                  <w:highlight w:val="lightGray"/>
                </w:rPr>
              </w:pPr>
            </w:p>
            <w:sdt>
              <w:sdtPr>
                <w:alias w:val="15 p."/>
                <w:tag w:val="part_74f6434722444637b16ffd06355676e8"/>
                <w:lock w:val="sdtLocked"/>
                <w:richText/>
              </w:sdtPr>
              <w:sdtContent>
                <w:p>
                  <w:pPr>
                    <w:shd w:val="clear" w:color="000000" w:fill="auto"/>
                    <w:suppressAutoHyphens/>
                    <w:ind w:firstLine="567"/>
                    <w:jc w:val="both"/>
                    <w:rPr>
                      <w:sz w:val="16"/>
                      <w:szCs w:val="16"/>
                    </w:rPr>
                  </w:pPr>
                  <w:sdt>
                    <w:sdtPr>
                      <w:alias w:val="Numeris"/>
                      <w:tag w:val="nr_74f6434722444637b16ffd06355676e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6b0f9de8676f4069a7669fef92956343"/>
                <w:lock w:val="sdtLocked"/>
                <w:richText/>
              </w:sdtPr>
              <w:sdtContent>
                <w:p>
                  <w:pPr>
                    <w:shd w:val="clear" w:color="000000" w:fill="auto"/>
                    <w:tabs>
                      <w:tab w:val="left" w:pos="9637"/>
                    </w:tabs>
                    <w:ind w:firstLine="567"/>
                    <w:jc w:val="both"/>
                    <w:rPr>
                      <w:color w:val="000000"/>
                      <w:szCs w:val="24"/>
                      <w:lang w:eastAsia="ar-SA"/>
                    </w:rPr>
                  </w:pPr>
                  <w:sdt>
                    <w:sdtPr>
                      <w:alias w:val="Numeris"/>
                      <w:tag w:val="nr_6b0f9de8676f4069a7669fef92956343"/>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0e3c4ddb0b243e3a928dc7bda4807fd"/>
                    <w:lock w:val="sdtLocked"/>
                    <w:richText/>
                  </w:sdtPr>
                  <w:sdtContent>
                    <w:p>
                      <w:pPr>
                        <w:shd w:val="clear" w:color="000000" w:fill="auto"/>
                        <w:tabs>
                          <w:tab w:val="left" w:pos="9637"/>
                        </w:tabs>
                        <w:ind w:firstLine="567"/>
                        <w:jc w:val="both"/>
                        <w:rPr>
                          <w:color w:val="000000"/>
                          <w:szCs w:val="24"/>
                          <w:lang w:eastAsia="ar-SA"/>
                        </w:rPr>
                      </w:pPr>
                      <w:sdt>
                        <w:sdtPr>
                          <w:alias w:val="Numeris"/>
                          <w:tag w:val="nr_40e3c4ddb0b243e3a928dc7bda4807fd"/>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c6be4216e2094ba2b2ab019837871fc0"/>
                    <w:lock w:val="sdtLocked"/>
                    <w:richText/>
                  </w:sdtPr>
                  <w:sdtContent>
                    <w:p>
                      <w:pPr>
                        <w:shd w:val="clear" w:color="000000" w:fill="auto"/>
                        <w:tabs>
                          <w:tab w:val="left" w:pos="9637"/>
                        </w:tabs>
                        <w:ind w:firstLine="567"/>
                        <w:jc w:val="both"/>
                        <w:rPr>
                          <w:color w:val="000000"/>
                          <w:szCs w:val="24"/>
                          <w:lang w:eastAsia="ar-SA"/>
                        </w:rPr>
                      </w:pPr>
                      <w:sdt>
                        <w:sdtPr>
                          <w:alias w:val="Numeris"/>
                          <w:tag w:val="nr_c6be4216e2094ba2b2ab019837871fc0"/>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40910894992c4b0394bbe92f557dffca"/>
                <w:lock w:val="sdtLocked"/>
                <w:richText/>
              </w:sdtPr>
              <w:sdtContent>
                <w:p>
                  <w:pPr>
                    <w:shd w:val="clear" w:color="000000" w:fill="auto"/>
                    <w:tabs>
                      <w:tab w:val="left" w:pos="9637"/>
                    </w:tabs>
                    <w:ind w:firstLine="567"/>
                    <w:jc w:val="both"/>
                    <w:rPr>
                      <w:color w:val="000000"/>
                      <w:szCs w:val="24"/>
                      <w:lang w:eastAsia="ar-SA"/>
                    </w:rPr>
                  </w:pPr>
                  <w:sdt>
                    <w:sdtPr>
                      <w:alias w:val="Numeris"/>
                      <w:tag w:val="nr_40910894992c4b0394bbe92f557dffc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7e81327308774f4db7abb2bac7b79c5c"/>
                <w:lock w:val="sdtLocked"/>
                <w:richText/>
              </w:sdtPr>
              <w:sdtContent>
                <w:p>
                  <w:pPr>
                    <w:shd w:val="clear" w:color="000000" w:fill="auto"/>
                    <w:suppressAutoHyphens/>
                    <w:ind w:firstLine="567"/>
                    <w:jc w:val="both"/>
                    <w:rPr>
                      <w:rFonts w:eastAsia="Calibri"/>
                      <w:color w:val="000000"/>
                      <w:szCs w:val="24"/>
                    </w:rPr>
                  </w:pPr>
                  <w:sdt>
                    <w:sdtPr>
                      <w:alias w:val="Numeris"/>
                      <w:tag w:val="nr_7e81327308774f4db7abb2bac7b79c5c"/>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shd w:val="clear" w:color="000000" w:fill="auto"/>
                    <w:rPr>
                      <w:szCs w:val="24"/>
                    </w:rPr>
                  </w:pPr>
                </w:p>
              </w:sdtContent>
            </w:sdt>
          </w:sdtContent>
        </w:sdt>
        <w:sdt>
          <w:sdtPr>
            <w:alias w:val="skyrius"/>
            <w:tag w:val="part_c6d31c0216924175a2e361c87487458e"/>
            <w:lock w:val="sdtLocked"/>
            <w:richText/>
          </w:sdtPr>
          <w:sdtContent>
            <w:p>
              <w:pPr>
                <w:shd w:val="clear" w:color="000000" w:fill="auto"/>
                <w:suppressAutoHyphens/>
                <w:ind w:firstLine="567"/>
                <w:jc w:val="center"/>
                <w:rPr>
                  <w:b/>
                  <w:bCs/>
                  <w:caps/>
                  <w:szCs w:val="24"/>
                  <w:lang w:eastAsia="ar-SA"/>
                </w:rPr>
              </w:pPr>
              <w:sdt>
                <w:sdtPr>
                  <w:alias w:val="Numeris"/>
                  <w:tag w:val="nr_c6d31c0216924175a2e361c87487458e"/>
                  <w:lock w:val="sdtLocked"/>
                  <w:richText/>
                </w:sdtPr>
                <w:sdtContent>
                  <w:r>
                    <w:rPr>
                      <w:b/>
                      <w:bCs/>
                      <w:caps/>
                      <w:szCs w:val="24"/>
                      <w:lang w:eastAsia="ar-SA"/>
                    </w:rPr>
                    <w:t>V</w:t>
                  </w:r>
                </w:sdtContent>
              </w:sdt>
              <w:r>
                <w:rPr>
                  <w:b/>
                  <w:bCs/>
                  <w:caps/>
                  <w:szCs w:val="24"/>
                  <w:lang w:eastAsia="ar-SA"/>
                </w:rPr>
                <w:t xml:space="preserve">. </w:t>
              </w:r>
              <w:sdt>
                <w:sdtPr>
                  <w:alias w:val="Pavadinimas"/>
                  <w:tag w:val="title_c6d31c0216924175a2e361c87487458e"/>
                  <w:lock w:val="sdtLocked"/>
                  <w:richText/>
                </w:sdtPr>
                <w:sdtContent>
                  <w:r>
                    <w:rPr>
                      <w:b/>
                      <w:bCs/>
                      <w:caps/>
                      <w:szCs w:val="24"/>
                      <w:lang w:eastAsia="ar-SA"/>
                    </w:rPr>
                    <w:t>ATSAKOMYBĖ</w:t>
                  </w:r>
                </w:sdtContent>
              </w:sdt>
            </w:p>
            <w:p>
              <w:pPr>
                <w:shd w:val="clear" w:color="000000" w:fill="auto"/>
                <w:rPr>
                  <w:szCs w:val="24"/>
                </w:rPr>
              </w:pPr>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6ea644bde51f4198b2349809d77f3ad8"/>
        <w:lock w:val="sdtLocked"/>
        <w:richText/>
      </w:sdtPr>
      <w:sdtContent>
        <w:p>
          <w:pPr>
            <w:ind w:firstLine="9639"/>
            <w:jc w:val="both"/>
            <w:sectPr>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567" w:footer="567" w:gutter="0"/>
              <w:pgNumType w:start="1"/>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 xml:space="preserve">vandens telkiniuose plaukiojimo priemonėmis </w:t>
          </w:r>
        </w:p>
        <w:p>
          <w:pPr>
            <w:ind w:firstLine="9639"/>
            <w:jc w:val="both"/>
            <w:rPr>
              <w:b/>
              <w:szCs w:val="24"/>
            </w:rPr>
          </w:pPr>
          <w:r>
            <w:rPr>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6ea644bde51f4198b2349809d77f3ad8"/>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6350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 leidžiama plaukioti, hidroplanais leidžiama kilti ir tūpti nuo birželio 21 d. iki plaukiojimo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5.</w:t>
                </w:r>
              </w:p>
              <w:p>
                <w:pPr>
                  <w:snapToGrid w:val="0"/>
                  <w:jc w:val="both"/>
                  <w:rPr>
                    <w:b/>
                    <w:sz w:val="23"/>
                    <w:szCs w:val="23"/>
                  </w:rPr>
                </w:pP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Šilutės r.</w:t>
                </w:r>
              </w:p>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Krokų lankos ežeras (Nemuno deltos RP)</w:t>
                </w:r>
              </w:p>
              <w:p>
                <w:pPr>
                  <w:snapToGrid w:val="0"/>
                  <w:rPr>
                    <w:b/>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878,8</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10031790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tcPr>
              <w:p>
                <w:pPr>
                  <w:snapToGrid w:val="0"/>
                  <w:rPr>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b/>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361,1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12030201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123</w:t>
                </w:r>
              </w:p>
            </w:tc>
            <w:tc>
              <w:tcPr>
                <w:tcW w:w="765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w:t>
                </w:r>
                <w:r>
                  <w:rPr>
                    <w:b/>
                    <w:color w:val="000000"/>
                    <w:szCs w:val="24"/>
                  </w:rPr>
                  <w:t xml:space="preserve"> </w:t>
                </w:r>
                <w:r>
                  <w:rPr>
                    <w:color w:val="000000"/>
                    <w:szCs w:val="24"/>
                  </w:rPr>
                  <w:t xml:space="preserve">sezoną, suderinus savaeigių plaukiojimo variklių galingumą, jų skaičių su Trakų istorinio nacionalinio parko direkcija ir Trakų rajono savivaldybės </w:t>
                </w:r>
              </w:p>
              <w:p>
                <w:pPr>
                  <w:snapToGrid w:val="0"/>
                  <w:rPr>
                    <w:b/>
                    <w:color w:val="000000"/>
                    <w:sz w:val="23"/>
                    <w:szCs w:val="23"/>
                  </w:rPr>
                </w:pPr>
                <w:r>
                  <w:rPr>
                    <w:color w:val="000000"/>
                    <w:szCs w:val="24"/>
                  </w:rPr>
                  <w:t>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Vilniaus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Gelūžės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18,8</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12040142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Vandens sporto tikslais (treniruočių, varžybų ir regatų metu) leidžiama plaukioti savaeigėmis plaukiojimo priemonėmis, kurių bendras variklių galingumas neviršija 220 kW (300 AG), visą plaukiojimo sezoną. Sportinių treniruočių, varžybų ir regatų organizatoriai apie šių renginių laiką ir vietą turi raštu informuoti AAD ir Elektrėnų savivaldybę.</w:t>
                </w:r>
              </w:p>
              <w:p>
                <w:pPr>
                  <w:rPr>
                    <w:szCs w:val="24"/>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p>
                <w:pPr>
                  <w:rPr>
                    <w:b/>
                    <w:color w:val="000000"/>
                    <w:sz w:val="23"/>
                    <w:szCs w:val="23"/>
                  </w:rPr>
                </w:pPr>
                <w:r>
                  <w:rPr>
                    <w:szCs w:val="24"/>
                  </w:rPr>
                  <w:t>Nuo birželio 21 d. iki plaukiojimo sezono pabaigos leidžiama plaukioti savaeigėmis plaukiojimo priemonėmis, kurių bendras variklių galingumas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Utenos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neviršija 150 AG (110 kW). Asmeniniais, pramoginiais ir sportiniais laivais, varomais vidaus degimo varikliais, turinčiais vandens srauto pompą, plaukioti draudžiama.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ežeras</w:t>
                </w:r>
              </w:p>
              <w:p>
                <w:pPr>
                  <w:snapToGrid w:val="0"/>
                  <w:rPr>
                    <w:color w:val="000000"/>
                    <w:sz w:val="23"/>
                    <w:szCs w:val="23"/>
                  </w:rPr>
                </w:pPr>
                <w:r>
                  <w:rPr>
                    <w:color w:val="000000"/>
                    <w:sz w:val="23"/>
                    <w:szCs w:val="23"/>
                  </w:rPr>
                  <w:t>Luodis</w:t>
                </w:r>
              </w:p>
              <w:p>
                <w:pPr>
                  <w:snapToGrid w:val="0"/>
                  <w:rPr>
                    <w:b/>
                    <w:color w:val="000000"/>
                    <w:sz w:val="23"/>
                    <w:szCs w:val="23"/>
                  </w:rPr>
                </w:pPr>
                <w:r>
                  <w:rPr>
                    <w:color w:val="000000"/>
                    <w:sz w:val="23"/>
                    <w:szCs w:val="23"/>
                  </w:rPr>
                  <w:t>(Gražutės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1290,6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12230013</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32–42</w:t>
                </w:r>
              </w:p>
            </w:tc>
            <w:tc>
              <w:tcPr>
                <w:tcW w:w="7653" w:type="dxa"/>
                <w:tcBorders>
                  <w:top w:val="single" w:sz="4" w:space="0" w:color="auto"/>
                  <w:left w:val="single" w:sz="4" w:space="0" w:color="auto"/>
                  <w:bottom w:val="single" w:sz="4" w:space="0" w:color="auto"/>
                  <w:right w:val="single" w:sz="4" w:space="0" w:color="auto"/>
                </w:tcBorders>
              </w:tcPr>
              <w:p>
                <w:pPr>
                  <w:rPr>
                    <w:sz w:val="23"/>
                    <w:szCs w:val="23"/>
                    <w:lang w:eastAsia="lt-LT"/>
                  </w:rPr>
                </w:pPr>
                <w:r>
                  <w:rPr>
                    <w:sz w:val="23"/>
                    <w:szCs w:val="23"/>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lang w:eastAsia="lt-LT"/>
                  </w:rPr>
                </w:pPr>
                <w:r>
                  <w:rPr>
                    <w:sz w:val="23"/>
                    <w:szCs w:val="23"/>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lang w:eastAsia="lt-LT"/>
                  </w:rPr>
                </w:pPr>
                <w:r>
                  <w:rPr>
                    <w:sz w:val="23"/>
                    <w:szCs w:val="23"/>
                    <w:lang w:eastAsia="lt-LT"/>
                  </w:rPr>
                  <w:t xml:space="preserve">nuo liepos 1 d. iki rugsėjo 20 d. savaeigėmis plaukiojimo priemonėmis, kurių bendras variklių galingumas neviršija 75 AG (56 kW). </w:t>
                </w:r>
              </w:p>
              <w:p>
                <w:pPr>
                  <w:snapToGrid w:val="0"/>
                  <w:rPr>
                    <w:b/>
                    <w:color w:val="000000"/>
                    <w:sz w:val="23"/>
                    <w:szCs w:val="23"/>
                  </w:rPr>
                </w:pPr>
                <w:r>
                  <w:rPr>
                    <w:sz w:val="23"/>
                    <w:szCs w:val="23"/>
                    <w:lang w:eastAsia="lt-LT"/>
                  </w:rPr>
                  <w:t>Sporto pratybų ir renginių, taip pat žvejybos varžybų organizatoriai renginių laiką, vietą, savaeigių plaukiojimo priemonių skaičių, jų variklių galingumą ir sąlygas turi suderinti su Sartų ir Gražutės RP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Telšių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272,2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30040090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13-19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kurių bendras variklių galingumas neviršija 150 AG (110 KW), visą plaukiojimo sezoną Telšių rajono savivaldybės patvirtintame Vietinės reikšmės vandens turizmo trasų Masčio ežere, Telšių mieste specialiajame plane nustatytomis savaeigių valčių trasomis ir zonomis,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rPr>
                    <w:b/>
                    <w:color w:val="000000"/>
                    <w:sz w:val="23"/>
                    <w:szCs w:val="23"/>
                  </w:rPr>
                </w:pPr>
                <w:r>
                  <w:rPr>
                    <w:szCs w:val="24"/>
                  </w:rPr>
                  <w:t xml:space="preserve">Asmeniniais, pramoginiais ir sportiniais laivais, varomais vidaus degimo varikliais, turinčiais vandens srauto pompą, leidžiama plaukioti </w:t>
                </w:r>
                <w:r>
                  <w:rPr>
                    <w:color w:val="000000"/>
                    <w:szCs w:val="24"/>
                  </w:rPr>
                  <w:t>nuo birželio 21 d. iki plaukiojimo sezono pabaigos.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594,3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rPr>
                    <w:b/>
                    <w:color w:val="000000"/>
                    <w:sz w:val="23"/>
                    <w:szCs w:val="23"/>
                  </w:rPr>
                </w:pPr>
                <w:r>
                  <w:rPr>
                    <w:szCs w:val="24"/>
                  </w:rPr>
                  <w:t>Asmeniniais, pramoginiais ir sportiniais laivais, varomais vidaus degimo varikliais, turinčiais vandens srauto pompą, leidžiama plaukioti nuo birželio 21 d. iki plaukiojimo sezono pabaigos</w:t>
                </w:r>
                <w:r>
                  <w:rPr>
                    <w:color w:val="000000"/>
                    <w:szCs w:val="24"/>
                  </w:rP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Arinas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441,8</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12140420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43-294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 leidžiama</w:t>
                </w:r>
                <w:r>
                  <w:rPr>
                    <w:color w:val="000000"/>
                    <w:szCs w:val="24"/>
                  </w:rPr>
                  <w:t xml:space="preserve"> plaukioti nuo birželio 21 d. iki plaukiojimo sezono pabaigos, ne arčiau kaip 200 m nuo kranto ties Asvejos regioninio parko riba.</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76f0aea211e98451fa7b5933515d">
            <w:r w:rsidRPr="00532B9F">
              <w:rPr>
                <w:rFonts w:ascii="Times New Roman" w:eastAsia="MS Mincho" w:hAnsi="Times New Roman"/>
                <w:sz w:val="20"/>
                <w:iCs/>
                <w:color w:val="0000FF" w:themeColor="hyperlink"/>
                <w:u w:val="single"/>
              </w:rPr>
              <w:t>D1-432</w:t>
            </w:r>
          </w:fldSimple>
          <w:r>
            <w:rPr>
              <w:rFonts w:ascii="Times New Roman" w:eastAsia="MS Mincho" w:hAnsi="Times New Roman"/>
              <w:sz w:val="20"/>
              <w:iCs/>
            </w:rPr>
            <w:t>,
2019-07-23,
paskelbta TAR 2019-07-25, i. k. 2019-12234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463A2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5.xml"/>
  <Relationship Id="rId15" Type="http://schemas.openxmlformats.org/officeDocument/2006/relationships/header" Target="header26.xml"/>
  <Relationship Id="rId16" Type="http://schemas.openxmlformats.org/officeDocument/2006/relationships/footer" Target="footer20.xml"/>
  <Relationship Id="rId17" Type="http://schemas.openxmlformats.org/officeDocument/2006/relationships/footer" Target="footer21.xml"/>
  <Relationship Id="rId18" Type="http://schemas.openxmlformats.org/officeDocument/2006/relationships/header" Target="header27.xml"/>
  <Relationship Id="rId19" Type="http://schemas.openxmlformats.org/officeDocument/2006/relationships/footer" Target="footer22.xml"/>
  <Relationship Id="rId2" Type="http://schemas.openxmlformats.org/officeDocument/2006/relationships/header" Target="header20.xml"/>
  <Relationship Id="rId20" Type="http://schemas.openxmlformats.org/officeDocument/2006/relationships/header" Target="header40.xml"/>
  <Relationship Id="rId21" Type="http://schemas.openxmlformats.org/officeDocument/2006/relationships/header" Target="header41.xml"/>
  <Relationship Id="rId22" Type="http://schemas.openxmlformats.org/officeDocument/2006/relationships/footer" Target="footer35.xml"/>
  <Relationship Id="rId23" Type="http://schemas.openxmlformats.org/officeDocument/2006/relationships/footer" Target="footer36.xml"/>
  <Relationship Id="rId24" Type="http://schemas.openxmlformats.org/officeDocument/2006/relationships/header" Target="header42.xml"/>
  <Relationship Id="rId25" Type="http://schemas.openxmlformats.org/officeDocument/2006/relationships/footer" Target="footer37.xml"/>
  <Relationship Id="rId26" Type="http://schemas.openxmlformats.org/officeDocument/2006/relationships/customXml" Target="../customXml/item1.xml"/>
  <Relationship Id="rId3" Type="http://schemas.openxmlformats.org/officeDocument/2006/relationships/footer" Target="footer15.xml"/>
  <Relationship Id="rId4" Type="http://schemas.openxmlformats.org/officeDocument/2006/relationships/header" Target="header21.xml"/>
  <Relationship Id="rId5" Type="http://schemas.openxmlformats.org/officeDocument/2006/relationships/footer" Target="footer1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9eca7341eee439bb3c0e630a125b3b3">
    <Part Type="skyrius" Nr="1" Title="BENDROSIOS NUOSTATOS" DocPartId="3344ddd1eba246968457be2ef78c6e0f" PartId="82797135a45245e2828a4490c8bdb5fc">
      <Part Type="punktas" Nr="1" Abbr="1 p." DocPartId="4a08bd4696c84121a95b3d09793dd4ff" PartId="2df70350776d4dfaa8334b3f1ee9464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d8a02773fe024d35be6b46638adb827a"/>
        <Part Type="punktas" Nr="2.5" Abbr="2.5 p." DocPartId="9eb52f009afc4736a9f6eb4e579e2bd7" PartId="15d8b450f6ae4ed9be15c408460229ae"/>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3d5243a331ae4375aa6a2f109c7244f9"/>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b8453882fb62499093ab7f7883de37be"/>
      <Part Type="punktas" Nr="9" Abbr="9 p." DocPartId="a091f0f8d5064fc3821dcbe32faaa4d1" PartId="50aae521306e42429559061e2978a72d"/>
    </Part>
    <Part Type="skyrius" Nr="2" Title="APLINKOSAUGOS SĄLYGOS PLAUKIOTI VANDENS TELKINIUOSE, NEPATENKANČIUOSE Į SAUGOMAS TERITORIJAS" DocPartId="55076ab9521f48e4bc0442416f73ac7e" PartId="5931e37893ac4cb29f07e1e2ca0811da">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APLINKOSAUGOS SĄLYGOS PLAUKIOTI VANDENS TELKINIUOSE, ESANČIUOSE SAUGOMOSE TERITORIJOSE" DocPartId="3d4cd5902c81460cbf5b93f26515bc38" PartId="f30e7871896d4b4db21e52d01f5e3b59">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9d7dd4151b124644ab68e2ce6a577b25"/>
          <Part Type="papunktis" Nr="14.2.4" Abbr="14.2.4 pp." DocPartId="2aa9ba115c8d4d75b41c384f4581fbd3" PartId="6e9c44ccabe94f378fb8c8389082012d"/>
        </Part>
      </Part>
    </Part>
    <Part Type="skyrius" Nr="4" Title="PLŪDURIUOJANČIŲ PRIEMONIŲ LAIKYMAS IR NAUDOJIMAS" DocPartId="d5c68db8247f448899a5b7ad57a126e0" PartId="a133201f70244f65a1c9e468c60d6ca5">
      <Part Type="punktas" Nr="15" Abbr="15 p." DocPartId="6cde71656f8c496a9547dfcbadd546bd" PartId="74f6434722444637b16ffd06355676e8"/>
      <Part Type="punktas" Nr="16" Abbr="16 p." DocPartId="ed59447e297f456395d25d038f7313f7" PartId="6b0f9de8676f4069a7669fef92956343">
        <Part Type="punktas" Nr="16.1" Abbr="16.1 p." DocPartId="c760061917554f24a67ce5e4f171d2e7" PartId="40e3c4ddb0b243e3a928dc7bda4807fd"/>
        <Part Type="punktas" Nr="16.2" Abbr="16.2 p." DocPartId="9452b85d03ad4f3387f86940ffeb0881" PartId="c6be4216e2094ba2b2ab019837871fc0"/>
      </Part>
      <Part Type="punktas" Nr="17" Abbr="17 p." DocPartId="add5f259b9db4ab49213b6d1e82eafb0" PartId="40910894992c4b0394bbe92f557dffca"/>
      <Part Type="punktas" Nr="18" Abbr="18 p." DocPartId="38289d0af7844a8e9da766c05ee5992e" PartId="7e81327308774f4db7abb2bac7b79c5c"/>
    </Part>
    <Part Type="skyrius" Nr="5" Title="ATSAKOMYBĖ" DocPartId="61c443a516ed46e4b48a0d1b412ac838" PartId="c6d31c0216924175a2e361c87487458e">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6ea644bde51f4198b2349809d77f3ad8"/>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4D64E852-041C-4AC1-A9FC-56337D2E3EB0}">
  <ds:schemaRefs>
    <ds:schemaRef ds:uri="http://lrs.lt/TAIS/DocParts"/>
  </ds:schemaRefs>
</ds:datastoreItem>
</file>

<file path=docProps/app.xml><?xml version="1.0" encoding="utf-8"?>
<Properties xmlns="http://schemas.openxmlformats.org/officeDocument/2006/extended-properties">
  <Template>Normal.dotm</Template>
  <TotalTime>92</TotalTime>
  <Pages>13</Pages>
  <Words>20977</Words>
  <Characters>11958</Characters>
  <Application>Microsoft Office Word</Application>
  <DocSecurity>0</DocSecurity>
  <Lines>99</Lines>
  <Paragraphs>65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32870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2019-07-26T06:26:00Z</dcterms:modified>
  <revision>36</revision>
</coreProperties>
</file>