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2018-06-05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ca06ad5429f34ba9b5fe95f0aac87704"/>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sectPr>
              <w:headerReference w:type="even" r:id="rId14"/>
              <w:headerReference w:type="default" r:id="rId15"/>
              <w:footerReference w:type="even" r:id="rId16"/>
              <w:footerReference w:type="default" r:id="rId17"/>
              <w:headerReference w:type="first" r:id="rId18"/>
              <w:footerReference w:type="first" r:id="rId19"/>
              <w:footnotePr>
                <w:pos w:val="beneathText"/>
              </w:footnotePr>
              <w:pgSz w:w="11905" w:h="16837"/>
              <w:pgMar w:top="1134" w:right="567" w:bottom="1134" w:left="1701" w:header="567" w:footer="0" w:gutter="0"/>
              <w:cols w:space="1296"/>
              <w:titlePg/>
              <w:docGrid w:linePitch="360"/>
            </w:sectPr>
          </w:pP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ca06ad5429f34ba9b5fe95f0aac8770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4-1 pp."/>
                    <w:tag w:val="part_6194007a3ca946049381d34dcc9ee904"/>
                    <w:lock w:val="sdtLocked"/>
                    <w:richText/>
                  </w:sdtPr>
                  <w:sdtContent>
                    <w:p>
                      <w:pPr>
                        <w:ind w:firstLine="567"/>
                        <w:jc w:val="both"/>
                        <w:rPr>
                          <w:rFonts w:eastAsia="Calibri"/>
                          <w:szCs w:val="24"/>
                        </w:rPr>
                      </w:pPr>
                      <w:sdt>
                        <w:sdtPr>
                          <w:alias w:val="Numeris"/>
                          <w:tag w:val="nr_6194007a3ca946049381d34dcc9ee904"/>
                          <w:lock w:val="sdtLocked"/>
                          <w:richText/>
                        </w:sdtPr>
                        <w:sdtContent>
                          <w:r>
                            <w:rPr>
                              <w:szCs w:val="24"/>
                            </w:rPr>
                            <w:t>2.4</w:t>
                          </w:r>
                          <w:r>
                            <w:rPr>
                              <w:szCs w:val="24"/>
                              <w:vertAlign w:val="superscript"/>
                            </w:rPr>
                            <w:t>1</w:t>
                          </w:r>
                        </w:sdtContent>
                      </w:sdt>
                      <w:r>
                        <w:rPr>
                          <w:szCs w:val="24"/>
                        </w:rPr>
                        <w:t xml:space="preserve">. </w:t>
                      </w:r>
                      <w:r>
                        <w:rPr>
                          <w:b/>
                          <w:szCs w:val="24"/>
                        </w:rPr>
                        <w:t>navigacijos sezonas</w:t>
                      </w:r>
                      <w:r>
                        <w:rPr>
                          <w:szCs w:val="24"/>
                        </w:rPr>
                        <w:t xml:space="preserve"> – laikotarpis nuo ledo ištirpimo vandens telkinyje iki ledo dangos susidarymo. Jeigu nesusidaro pastovi ledo danga, navigacijos sezonas trunka nuo balandžio 1 d. iki gruodžio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2.5 p."/>
                    <w:tag w:val="part_47b0af918cd042b89405934a3f6ce286"/>
                    <w:lock w:val="sdtLocked"/>
                    <w:richText/>
                  </w:sdtPr>
                  <w:sdtContent>
                    <w:p>
                      <w:pPr>
                        <w:ind w:firstLine="567"/>
                        <w:jc w:val="both"/>
                        <w:rPr>
                          <w:rFonts w:eastAsia="Calibri"/>
                          <w:szCs w:val="24"/>
                        </w:rPr>
                      </w:pPr>
                      <w:sdt>
                        <w:sdtPr>
                          <w:alias w:val="Numeris"/>
                          <w:tag w:val="nr_47b0af918cd042b89405934a3f6ce286"/>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22999a92033f4a2cbff499427bb516dd"/>
                    <w:lock w:val="sdtLocked"/>
                    <w:richText/>
                  </w:sdtPr>
                  <w:sdtContent>
                    <w:p>
                      <w:pPr>
                        <w:ind w:firstLine="567"/>
                        <w:jc w:val="both"/>
                        <w:rPr>
                          <w:rFonts w:eastAsia="Calibri"/>
                          <w:szCs w:val="24"/>
                        </w:rPr>
                      </w:pPr>
                      <w:sdt>
                        <w:sdtPr>
                          <w:alias w:val="Numeris"/>
                          <w:tag w:val="nr_22999a92033f4a2cbff499427bb516dd"/>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fd5eeed340b946d29065353ad6d3b3c7"/>
                    <w:lock w:val="sdtLocked"/>
                    <w:richText/>
                  </w:sdtPr>
                  <w:sdtContent>
                    <w:p>
                      <w:pPr>
                        <w:ind w:firstLine="567"/>
                        <w:jc w:val="both"/>
                        <w:rPr>
                          <w:szCs w:val="24"/>
                          <w:lang w:eastAsia="lt-LT"/>
                        </w:rPr>
                      </w:pPr>
                      <w:sdt>
                        <w:sdtPr>
                          <w:alias w:val="Numeris"/>
                          <w:tag w:val="nr_fd5eeed340b946d29065353ad6d3b3c7"/>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ff4af0c7552042feb044500b5051c7a8"/>
                        <w:lock w:val="sdtLocked"/>
                        <w:richText/>
                      </w:sdtPr>
                      <w:sdtContent>
                        <w:p>
                          <w:pPr>
                            <w:ind w:firstLine="567"/>
                            <w:jc w:val="both"/>
                            <w:rPr>
                              <w:szCs w:val="24"/>
                              <w:lang w:eastAsia="lt-LT"/>
                            </w:rPr>
                          </w:pPr>
                          <w:sdt>
                            <w:sdtPr>
                              <w:alias w:val="Numeris"/>
                              <w:tag w:val="nr_ff4af0c7552042feb044500b5051c7a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7b1b2b43fc464cbab4589a7a987af03c"/>
                        <w:lock w:val="sdtLocked"/>
                        <w:richText/>
                      </w:sdtPr>
                      <w:sdtContent>
                        <w:p>
                          <w:pPr>
                            <w:ind w:firstLine="567"/>
                            <w:jc w:val="both"/>
                            <w:rPr>
                              <w:rFonts w:eastAsia="Calibri"/>
                              <w:szCs w:val="24"/>
                            </w:rPr>
                          </w:pPr>
                          <w:sdt>
                            <w:sdtPr>
                              <w:alias w:val="Numeris"/>
                              <w:tag w:val="nr_7b1b2b43fc464cbab4589a7a987af03c"/>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1 p."/>
                <w:tag w:val="part_d116daeb5b9f4daba40bd8a4573a4c0f"/>
                <w:lock w:val="sdtLocked"/>
                <w:richText/>
              </w:sdtPr>
              <w:sdtContent>
                <w:p>
                  <w:pPr>
                    <w:ind w:firstLine="567"/>
                    <w:jc w:val="both"/>
                    <w:rPr>
                      <w:rFonts w:eastAsia="Calibri"/>
                      <w:szCs w:val="24"/>
                    </w:rPr>
                  </w:pPr>
                  <w:sdt>
                    <w:sdtPr>
                      <w:alias w:val="Numeris"/>
                      <w:tag w:val="nr_d116daeb5b9f4daba40bd8a4573a4c0f"/>
                      <w:lock w:val="sdtLocked"/>
                      <w:richText/>
                    </w:sdtPr>
                    <w:sdtContent>
                      <w:r>
                        <w:rPr>
                          <w:szCs w:val="24"/>
                        </w:rPr>
                        <w:t>4</w:t>
                      </w:r>
                      <w:r>
                        <w:rPr>
                          <w:szCs w:val="24"/>
                          <w:vertAlign w:val="superscript"/>
                        </w:rPr>
                        <w:t>1</w:t>
                      </w:r>
                    </w:sdtContent>
                  </w:sdt>
                  <w:r>
                    <w:rPr>
                      <w:szCs w:val="24"/>
                    </w:rPr>
                    <w:t xml:space="preserve">. </w:t>
                  </w:r>
                  <w:r>
                    <w:rPr>
                      <w:color w:val="000000"/>
                    </w:rPr>
                    <w:t>Burinėmis jachtomis, turinčiomis vidaus degimo variklius, leidžiama plaukioti su išjungtais varikliais vandens telkiniuose, kuriuose nedraudžiamas plaukiojimas nesavaeigėmis plaukiojimo priemonėmis. Tokiu atveju vidaus degimo varikliai gali būti naudojami tik kaip pagalbinė priemonė švartuojantis ir (arba) kilus pavojui burinės jachtos, įgulos ir (arba) trečiųjų asmenų saugumui.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982913263ce04732a1d32fd9d2f17232"/>
                <w:lock w:val="sdtLocked"/>
                <w:richText/>
              </w:sdtPr>
              <w:sdtContent>
                <w:p>
                  <w:pPr>
                    <w:ind w:firstLine="567"/>
                    <w:jc w:val="both"/>
                    <w:rPr>
                      <w:szCs w:val="24"/>
                      <w:lang w:eastAsia="lt-LT"/>
                    </w:rPr>
                  </w:pPr>
                  <w:sdt>
                    <w:sdtPr>
                      <w:alias w:val="Numeris"/>
                      <w:tag w:val="nr_982913263ce04732a1d32fd9d2f17232"/>
                      <w:lock w:val="sdtLocked"/>
                      <w:richText/>
                    </w:sdtPr>
                    <w:sdtContent>
                      <w:r>
                        <w:rPr>
                          <w:szCs w:val="24"/>
                          <w:lang w:eastAsia="lt-LT"/>
                        </w:rPr>
                        <w:t>14</w:t>
                      </w:r>
                    </w:sdtContent>
                  </w:sdt>
                  <w:r>
                    <w:rPr>
                      <w:szCs w:val="24"/>
                      <w:lang w:eastAsia="lt-LT"/>
                    </w:rPr>
                    <w:t>. Savaeigėmis plaukiojimo priemonėmis draudžiama plaukioti:</w:t>
                  </w:r>
                </w:p>
                <w:sdt>
                  <w:sdtPr>
                    <w:alias w:val="14.1 p."/>
                    <w:tag w:val="part_3708370450dd455ea3d2bee358253747"/>
                    <w:lock w:val="sdtLocked"/>
                    <w:richText/>
                  </w:sdtPr>
                  <w:sdtContent>
                    <w:p>
                      <w:pPr>
                        <w:ind w:firstLine="567"/>
                        <w:jc w:val="both"/>
                        <w:rPr>
                          <w:szCs w:val="24"/>
                          <w:lang w:eastAsia="lt-LT"/>
                        </w:rPr>
                      </w:pPr>
                      <w:sdt>
                        <w:sdtPr>
                          <w:alias w:val="Numeris"/>
                          <w:tag w:val="nr_3708370450dd455ea3d2bee358253747"/>
                          <w:lock w:val="sdtLocked"/>
                          <w:richText/>
                        </w:sdtPr>
                        <w:sdtContent>
                          <w:r>
                            <w:rPr>
                              <w:szCs w:val="24"/>
                              <w:lang w:eastAsia="lt-LT"/>
                            </w:rPr>
                            <w:t>14.1</w:t>
                          </w:r>
                        </w:sdtContent>
                      </w:sdt>
                      <w:r>
                        <w:rPr>
                          <w:szCs w:val="24"/>
                          <w:lang w:eastAsia="lt-LT"/>
                        </w:rPr>
                        <w:t>. vandens telkiniuose, esančiuose telmologiniuose, botaniniuose, zoologiniuose ir botaniniuose</w:t>
                      </w:r>
                      <w:r>
                        <w:rPr>
                          <w:color w:val="000000"/>
                          <w:szCs w:val="24"/>
                          <w:lang w:eastAsia="lt-LT"/>
                        </w:rPr>
                        <w:t>-</w:t>
                      </w:r>
                      <w:r>
                        <w:rPr>
                          <w:szCs w:val="24"/>
                          <w:lang w:eastAsia="lt-LT"/>
                        </w:rPr>
                        <w:t>zoologiniuose draustiniuose;</w:t>
                      </w:r>
                    </w:p>
                  </w:sdtContent>
                </w:sdt>
                <w:sdt>
                  <w:sdtPr>
                    <w:alias w:val="14.2 p."/>
                    <w:tag w:val="part_635c3a5ff2224f83adbcba4a6ef5380c"/>
                    <w:lock w:val="sdtLocked"/>
                    <w:richText/>
                  </w:sdtPr>
                  <w:sdtContent>
                    <w:p>
                      <w:pPr>
                        <w:ind w:firstLine="567"/>
                        <w:jc w:val="both"/>
                        <w:rPr>
                          <w:szCs w:val="24"/>
                          <w:lang w:eastAsia="lt-LT"/>
                        </w:rPr>
                      </w:pPr>
                      <w:sdt>
                        <w:sdtPr>
                          <w:alias w:val="Numeris"/>
                          <w:tag w:val="nr_635c3a5ff2224f83adbcba4a6ef5380c"/>
                          <w:lock w:val="sdtLocked"/>
                          <w:richText/>
                        </w:sdtPr>
                        <w:sdtContent>
                          <w:r>
                            <w:rPr>
                              <w:szCs w:val="24"/>
                              <w:lang w:eastAsia="lt-LT"/>
                            </w:rPr>
                            <w:t>14.2</w:t>
                          </w:r>
                        </w:sdtContent>
                      </w:sdt>
                      <w:r>
                        <w:rPr>
                          <w:szCs w:val="24"/>
                          <w:lang w:eastAsia="lt-LT"/>
                        </w:rPr>
                        <w:t>. valstybiniuose parkuose esančiuose vandens telkiniuose, išskyrus:</w:t>
                      </w:r>
                    </w:p>
                    <w:sdt>
                      <w:sdtPr>
                        <w:alias w:val="14.2.1 p."/>
                        <w:tag w:val="part_1fe64ee4d3c74cb8939593aeb86a1845"/>
                        <w:lock w:val="sdtLocked"/>
                        <w:richText/>
                      </w:sdtPr>
                      <w:sdtContent>
                        <w:p>
                          <w:pPr>
                            <w:ind w:firstLine="567"/>
                            <w:jc w:val="both"/>
                            <w:rPr>
                              <w:szCs w:val="24"/>
                              <w:lang w:eastAsia="lt-LT"/>
                            </w:rPr>
                          </w:pPr>
                          <w:sdt>
                            <w:sdtPr>
                              <w:alias w:val="Numeris"/>
                              <w:tag w:val="nr_1fe64ee4d3c74cb8939593aeb86a1845"/>
                              <w:lock w:val="sdtLocked"/>
                              <w:richText/>
                            </w:sdtPr>
                            <w:sdtContent>
                              <w:r>
                                <w:rPr>
                                  <w:szCs w:val="24"/>
                                  <w:lang w:eastAsia="lt-LT"/>
                                </w:rPr>
                                <w:t>14.2.1</w:t>
                              </w:r>
                            </w:sdtContent>
                          </w:sdt>
                          <w:r>
                            <w:rPr>
                              <w:szCs w:val="24"/>
                              <w:lang w:eastAsia="lt-LT"/>
                            </w:rPr>
                            <w:t xml:space="preserve">. kai bendras variklių galingumas neviršija </w:t>
                          </w:r>
                          <w:r>
                            <w:rPr>
                              <w:color w:val="000000"/>
                              <w:szCs w:val="24"/>
                              <w:lang w:eastAsia="lt-LT"/>
                            </w:rPr>
                            <w:t>10 AG (8 kW),</w:t>
                          </w:r>
                          <w:r>
                            <w:rPr>
                              <w:szCs w:val="24"/>
                              <w:lang w:eastAsia="lt-LT"/>
                            </w:rPr>
                            <w:t xml:space="preserve"> galima plaukioti nuo birželio 21 d. iki navigacijos sezono pabaigos. Šias plaukiojimo priemones švartuoti galima įrengtose prieplaukose, prie lieptų, vandens turistų įlipimo</w:t>
                          </w:r>
                          <w:r>
                            <w:rPr>
                              <w:color w:val="000000"/>
                              <w:szCs w:val="24"/>
                              <w:lang w:eastAsia="lt-LT"/>
                            </w:rPr>
                            <w:t xml:space="preserve"> ir </w:t>
                          </w:r>
                          <w:r>
                            <w:rPr>
                              <w:szCs w:val="24"/>
                              <w:lang w:eastAsia="lt-LT"/>
                            </w:rPr>
                            <w:t>išlipimo vietose;</w:t>
                          </w:r>
                        </w:p>
                      </w:sdtContent>
                    </w:sdt>
                    <w:sdt>
                      <w:sdtPr>
                        <w:alias w:val="14.2.2 p."/>
                        <w:tag w:val="part_044dae2dfc304dbea63648aef3717784"/>
                        <w:lock w:val="sdtLocked"/>
                        <w:richText/>
                      </w:sdtPr>
                      <w:sdtContent>
                        <w:p>
                          <w:pPr>
                            <w:ind w:firstLine="567"/>
                            <w:jc w:val="both"/>
                            <w:rPr>
                              <w:szCs w:val="24"/>
                              <w:lang w:eastAsia="lt-LT"/>
                            </w:rPr>
                          </w:pPr>
                          <w:sdt>
                            <w:sdtPr>
                              <w:alias w:val="Numeris"/>
                              <w:tag w:val="nr_044dae2dfc304dbea63648aef3717784"/>
                              <w:lock w:val="sdtLocked"/>
                              <w:richText/>
                            </w:sdtPr>
                            <w:sdtContent>
                              <w:r>
                                <w:rPr>
                                  <w:szCs w:val="24"/>
                                  <w:lang w:eastAsia="lt-LT"/>
                                </w:rPr>
                                <w:t>14.2.2</w:t>
                              </w:r>
                            </w:sdtContent>
                          </w:sdt>
                          <w:r>
                            <w:rPr>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2eb246c1cda643f7993539fe904a1cfe"/>
                        <w:lock w:val="sdtLocked"/>
                        <w:richText/>
                      </w:sdtPr>
                      <w:sdtContent>
                        <w:p>
                          <w:pPr>
                            <w:ind w:firstLine="567"/>
                            <w:jc w:val="both"/>
                            <w:rPr>
                              <w:szCs w:val="24"/>
                              <w:lang w:eastAsia="lt-LT"/>
                            </w:rPr>
                          </w:pPr>
                          <w:sdt>
                            <w:sdtPr>
                              <w:alias w:val="Numeris"/>
                              <w:tag w:val="nr_2eb246c1cda643f7993539fe904a1cfe"/>
                              <w:lock w:val="sdtLocked"/>
                              <w:richText/>
                            </w:sdtPr>
                            <w:sdtContent>
                              <w:r>
                                <w:rPr>
                                  <w:szCs w:val="24"/>
                                  <w:lang w:eastAsia="lt-LT"/>
                                </w:rPr>
                                <w:t>14.2.3</w:t>
                              </w:r>
                            </w:sdtContent>
                          </w:sdt>
                          <w:r>
                            <w:rPr>
                              <w:szCs w:val="24"/>
                              <w:lang w:eastAsia="lt-LT"/>
                            </w:rPr>
                            <w:t>. keturtakčiais varikliais, kai bendras variklių galingumas neviršija 10 AG (8 kW), varomomis plaukiojimo priemonėmis nuo birželio 1 d. iki navigacijos 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
                        <w:tag w:val="part_8d0d7ad9baf24295a4d770025594cf23"/>
                        <w:lock w:val="sdtLocked"/>
                        <w:richText/>
                      </w:sdtPr>
                      <w:sdtContent>
                        <w:p>
                          <w:pPr>
                            <w:ind w:firstLine="567"/>
                            <w:jc w:val="both"/>
                            <w:rPr>
                              <w:rFonts w:eastAsia="Calibri"/>
                              <w:b/>
                              <w:szCs w:val="24"/>
                            </w:rPr>
                          </w:pPr>
                          <w:sdt>
                            <w:sdtPr>
                              <w:alias w:val="Numeris"/>
                              <w:tag w:val="nr_8d0d7ad9baf24295a4d770025594cf23"/>
                              <w:lock w:val="sdtLocked"/>
                              <w:richText/>
                            </w:sdtPr>
                            <w:sdtContent>
                              <w:r>
                                <w:rPr>
                                  <w:szCs w:val="24"/>
                                  <w:lang w:eastAsia="lt-LT"/>
                                </w:rPr>
                                <w:t>14.2.4</w:t>
                              </w:r>
                            </w:sdtContent>
                          </w:sdt>
                          <w:r>
                            <w:rPr>
                              <w:szCs w:val="24"/>
                              <w:lang w:eastAsia="lt-LT"/>
                            </w:rPr>
                            <w:t>. kai vykdomos sporto pratybos, sporto renginiai, nardymo su akvalangais veikla ir žvejybos varžybos šių Aplinkosaugos sąlygų priede nurodytuose vandens telkiniuose ir šiame priede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d423a506a5fe4e2296d22343363f31bd"/>
        <w:lock w:val="sdtLocked"/>
        <w:richText/>
      </w:sdtPr>
      <w:sdtContent>
        <w:p>
          <w:pPr>
            <w:jc w:val="center"/>
            <w:rPr>
              <w:szCs w:val="24"/>
              <w:lang w:eastAsia="ar-SA"/>
            </w:rPr>
          </w:pPr>
        </w:p>
        <w:p>
          <w:pPr>
            <w:jc w:val="center"/>
            <w:rPr>
              <w:szCs w:val="24"/>
              <w:lang w:eastAsia="ar-SA"/>
            </w:rPr>
            <w:sectPr>
              <w:footnotePr>
                <w:pos w:val="beneathText"/>
              </w:footnotePr>
              <w:pgSz w:w="11905" w:h="16837"/>
              <w:pgMar w:top="1134" w:right="567" w:bottom="1134" w:left="1701" w:header="567" w:footer="0" w:gutter="0"/>
              <w:pgNumType w:start="1"/>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d423a506a5fe4e2296d22343363f31bd"/>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Luodžio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w:t>
                </w:r>
                <w:r>
                  <w:rPr>
                    <w:sz w:val="23"/>
                    <w:szCs w:val="23"/>
                  </w:rPr>
                  <w:t>–</w:t>
                </w:r>
                <w:r>
                  <w:rPr>
                    <w:sz w:val="23"/>
                    <w:szCs w:val="23"/>
                    <w:lang w:eastAsia="lt-LT"/>
                  </w:rPr>
                  <w:t>42</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w:t>
                </w:r>
                <w:r>
                  <w:rPr>
                    <w:sz w:val="23"/>
                    <w:szCs w:val="23"/>
                  </w:rPr>
                  <w:t>taip pat juridinių asmenų, vykdančių su žvejyba susijusią ekonominę veiklą,</w:t>
                </w:r>
                <w:r>
                  <w:rPr>
                    <w:color w:val="000000"/>
                    <w:sz w:val="23"/>
                    <w:szCs w:val="23"/>
                  </w:rPr>
                  <w:t xml:space="preserve"> organizuojamų žūklės varžybų metu, leidžiama plaukioti: </w:t>
                </w:r>
              </w:p>
              <w:p>
                <w:pPr>
                  <w:snapToGrid w:val="0"/>
                  <w:ind w:firstLine="240"/>
                  <w:rPr>
                    <w:color w:val="000000"/>
                    <w:sz w:val="23"/>
                    <w:szCs w:val="23"/>
                  </w:rPr>
                </w:pPr>
                <w:r>
                  <w:rPr>
                    <w:color w:val="000000"/>
                    <w:sz w:val="23"/>
                    <w:szCs w:val="23"/>
                  </w:rPr>
                  <w:t xml:space="preserve">nuo gegužės 15 d. iki birželio 30 d. savaeigėmis plaukiojimo priemonėmis, kurių bendras variklių galingumas neviršija 10 AG (8 kW), o organizatoriams, plaukiojimo saugumui užtikrinti </w:t>
                </w:r>
                <w:r>
                  <w:rPr>
                    <w:sz w:val="23"/>
                    <w:szCs w:val="23"/>
                  </w:rPr>
                  <w:t xml:space="preserve">– </w:t>
                </w:r>
                <w:r>
                  <w:rPr>
                    <w:color w:val="000000"/>
                    <w:sz w:val="23"/>
                    <w:szCs w:val="23"/>
                  </w:rPr>
                  <w:t xml:space="preserve">savaeigėmis plaukiojimo priemonėmis, kurių bendras variklių galingumas neviršija 50 AG (37 kW); </w:t>
                </w:r>
              </w:p>
              <w:p>
                <w:pPr>
                  <w:ind w:firstLine="240"/>
                  <w:rPr>
                    <w:color w:val="000000"/>
                    <w:sz w:val="23"/>
                    <w:szCs w:val="23"/>
                  </w:rPr>
                </w:pPr>
                <w:r>
                  <w:rPr>
                    <w:color w:val="000000"/>
                    <w:sz w:val="23"/>
                    <w:szCs w:val="23"/>
                  </w:rPr>
                  <w:t xml:space="preserve">nuo liepos 1 d. iki rugsėjo 20 d. savaeigėmis plaukiojimo priemonėmis, kurių bendras variklių galingumas neviršija 75 AG (56 kW). </w:t>
                </w:r>
              </w:p>
              <w:p>
                <w:pPr>
                  <w:rPr>
                    <w:color w:val="000000"/>
                    <w:sz w:val="23"/>
                    <w:szCs w:val="23"/>
                  </w:rPr>
                </w:pPr>
                <w:r>
                  <w:rPr>
                    <w:color w:val="000000"/>
                    <w:sz w:val="23"/>
                    <w:szCs w:val="23"/>
                  </w:rPr>
                  <w:t>Sporto pratybų ir renginių, taip pat žvejybos varžybų organizatoriai renginių laiką</w:t>
                </w:r>
                <w:r>
                  <w:rPr>
                    <w:b/>
                    <w:color w:val="000000"/>
                    <w:sz w:val="23"/>
                    <w:szCs w:val="23"/>
                  </w:rPr>
                  <w:t>,</w:t>
                </w:r>
                <w:r>
                  <w:rPr>
                    <w:color w:val="000000"/>
                    <w:sz w:val="23"/>
                    <w:szCs w:val="23"/>
                  </w:rPr>
                  <w:t xml:space="preserve"> vietą</w:t>
                </w:r>
                <w:r>
                  <w:rPr>
                    <w:b/>
                    <w:color w:val="000000"/>
                    <w:sz w:val="23"/>
                    <w:szCs w:val="23"/>
                  </w:rPr>
                  <w:t>,</w:t>
                </w:r>
                <w:r>
                  <w:rPr>
                    <w:color w:val="000000"/>
                    <w:sz w:val="23"/>
                    <w:szCs w:val="23"/>
                  </w:rPr>
                  <w:t xml:space="preserve"> savaeigių plaukiojimo priemonių skaičių ir jų variklių galingumą bei sąlygas turi suderinti su Gražutės RP direkcija ir Zarasų rajono savivaldybės administracija.</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21</w:t>
                </w:r>
                <w:r>
                  <w:rPr>
                    <w:szCs w:val="24"/>
                  </w:rPr>
                  <w:t>–</w:t>
                </w:r>
                <w:r>
                  <w:rPr>
                    <w:sz w:val="23"/>
                    <w:szCs w:val="23"/>
                    <w:lang w:eastAsia="lt-LT"/>
                  </w:rPr>
                  <w:t>49</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paminėto galingumo savaeiges plaukiojimo priemones organizuojant nardymo su akvalangais veiklą gali tik narai gelbėtojai, turintys tarptautinius naro gelbėtojų pažymėjimus.</w:t>
                </w:r>
              </w:p>
              <w:p>
                <w:pPr>
                  <w:jc w:val="both"/>
                  <w:rPr>
                    <w:sz w:val="23"/>
                    <w:szCs w:val="23"/>
                  </w:rPr>
                </w:pPr>
                <w:r>
                  <w:rPr>
                    <w:sz w:val="23"/>
                    <w:szCs w:val="23"/>
                  </w:rPr>
                  <w:t>Organizatoriai apie veiklos vykdymo datą, laiką ir vietą turi raštu informuoti Žemaitijos nacionalinio parko direkciją ir Aplinkos ministerijos Šiaulių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19.</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Telšių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272,2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30040090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13-19</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Leidžiama plaukioti savaeigėmis plaukiojimo priemonėmis, kurių bendras variklių galingumas neviršija 150 AG (110 KW), visą navigacijos sezoną Telšių rajono savivaldybės patvirtintame Vietinės reikšmės vandens turizmo trasų Masčio ežere, Telšių mieste specialiajame plane nustatytomis savaeigių valčių trasomis ir zonomis, teikiant viešąją paslaugą – pažintinį plaukiojimą pramoginiu laivu. </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20.</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Šiaulių m.</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Talkšos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57,5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41040010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15-11</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Leidžiama plaukioti savaeigėmis plaukiojimo priemonėmis, kurių bendras variklių galingumas neviršija 150 AG (110 kW), visą navigacijos sezoną masinio renginio, kuriam yra gautas Šiaulių miesto savivaldybės administracijos direktoriaus leidimas, metu. Renginių organizatoriai apie renginio datą, laiką, vietą, savaeigių plaukiojimo priemonių skaičių ir jų variklių galingumą turi raštu informuoti Aplinkos ministerijos Šiaulių regiono aplinkos apsaugos departamentą ir Šiaulių miesto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21.</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Kupiškio r.</w:t>
                </w:r>
              </w:p>
              <w:p>
                <w:pPr>
                  <w:jc w:val="both"/>
                  <w:rPr>
                    <w:sz w:val="23"/>
                    <w:szCs w:val="23"/>
                  </w:rPr>
                </w:pPr>
                <w:r>
                  <w:rPr>
                    <w:sz w:val="23"/>
                    <w:szCs w:val="23"/>
                  </w:rPr>
                  <w:t>Rokiškio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Kupiškio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822,4</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41050100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nuo birželio 21 d. iki navigacijos sezono pabaigos.</w:t>
                </w:r>
              </w:p>
              <w:p>
                <w:pPr>
                  <w:jc w:val="both"/>
                  <w:rPr>
                    <w:sz w:val="23"/>
                    <w:szCs w:val="23"/>
                  </w:rPr>
                </w:pPr>
                <w:r>
                  <w:rPr>
                    <w:sz w:val="23"/>
                    <w:szCs w:val="23"/>
                  </w:rPr>
                  <w:t>Nacionalinės sporto (šakos) federacijos apie šių renginių, pratybų datą, laiką ir vietą turi raštu informuoti Aplinkos ministerijos Panevėžio regiono aplinkos apsaugos departamentą, Kupiškio rajono savivaldybės administraciją ir (ar) Rokiškio rajono savivaldybės administraciją.</w:t>
                </w:r>
              </w:p>
              <w:p>
                <w:pPr>
                  <w:jc w:val="both"/>
                  <w:rPr>
                    <w:sz w:val="23"/>
                    <w:szCs w:val="23"/>
                  </w:rPr>
                </w:pPr>
                <w:r>
                  <w:rPr>
                    <w:sz w:val="23"/>
                    <w:szCs w:val="23"/>
                  </w:rPr>
                  <w:t>Leidžiama plaukioti savaeigėmis plaukiojimo priemonėmis, kurių bendras variklių galingumas neviršija 150 AG (110 KW), visą navigacijos sezoną Kupiškio rajono savivaldybės ir (ar) Rokiškio rajono savivaldybės nustatytomis vandens turizmo trasomis, teikiant viešąją paslaugą – pažintinį plaukiojimą pramoginiu laivu.</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6bb3a03d3511e6bcc5c96b48152012">
            <w:r w:rsidRPr="00532B9F">
              <w:rPr>
                <w:rFonts w:ascii="Times New Roman" w:eastAsia="MS Mincho" w:hAnsi="Times New Roman"/>
                <w:sz w:val="20"/>
                <w:i/>
                <w:iCs/>
                <w:color w:val="0000FF" w:themeColor="hyperlink"/>
                <w:u w:val="single"/>
              </w:rPr>
              <w:t>D1-455</w:t>
            </w:r>
          </w:fldSimple>
          <w:r>
            <w:rPr>
              <w:rFonts w:ascii="Times New Roman" w:eastAsia="MS Mincho" w:hAnsi="Times New Roman"/>
              <w:sz w:val="20"/>
              <w:i/>
              <w:iCs/>
            </w:rPr>
            <w:t>,
2016-06-28,
paskelbta TAR 2016-06-29, i. k. 2016-17800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67eb10468911e7846ef01bfffb9b64">
            <w:r w:rsidRPr="00532B9F">
              <w:rPr>
                <w:rFonts w:ascii="Times New Roman" w:eastAsia="MS Mincho" w:hAnsi="Times New Roman"/>
                <w:sz w:val="20"/>
                <w:i/>
                <w:iCs/>
                <w:color w:val="0000FF" w:themeColor="hyperlink"/>
                <w:u w:val="single"/>
              </w:rPr>
              <w:t>D1-457</w:t>
            </w:r>
          </w:fldSimple>
          <w:r>
            <w:rPr>
              <w:rFonts w:ascii="Times New Roman" w:eastAsia="MS Mincho" w:hAnsi="Times New Roman"/>
              <w:sz w:val="20"/>
              <w:i/>
              <w:iCs/>
            </w:rPr>
            <w:t>,
2017-05-30,
paskelbta TAR 2017-06-01, i. k. 2017-09321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6f328067e911e8ac27abd8fa093003">
            <w:r w:rsidRPr="00532B9F">
              <w:rPr>
                <w:rFonts w:ascii="Times New Roman" w:eastAsia="MS Mincho" w:hAnsi="Times New Roman"/>
                <w:sz w:val="20"/>
                <w:i/>
                <w:iCs/>
                <w:color w:val="0000FF" w:themeColor="hyperlink"/>
                <w:u w:val="single"/>
              </w:rPr>
              <w:t>D1-442</w:t>
            </w:r>
          </w:fldSimple>
          <w:r>
            <w:rPr>
              <w:rFonts w:ascii="Times New Roman" w:eastAsia="MS Mincho" w:hAnsi="Times New Roman"/>
              <w:sz w:val="20"/>
              <w:i/>
              <w:iCs/>
            </w:rPr>
            <w:t>,
2018-06-01,
paskelbta TAR 2018-06-04, i. k. 2018-09206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6bb3a03d3511e6bcc5c96b48152012">
            <w:r w:rsidRPr="00532B9F">
              <w:rPr>
                <w:rFonts w:ascii="Times New Roman" w:eastAsia="MS Mincho" w:hAnsi="Times New Roman"/>
                <w:sz w:val="20"/>
                <w:iCs/>
                <w:color w:val="0000FF" w:themeColor="hyperlink"/>
                <w:u w:val="single"/>
              </w:rPr>
              <w:t>D1-455</w:t>
            </w:r>
          </w:fldSimple>
          <w:r>
            <w:rPr>
              <w:rFonts w:ascii="Times New Roman" w:eastAsia="MS Mincho" w:hAnsi="Times New Roman"/>
              <w:sz w:val="20"/>
              <w:iCs/>
            </w:rPr>
            <w:t>,
2016-06-28,
paskelbta TAR 2016-06-29, i. k. 2016-17800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267eb10468911e7846ef01bfffb9b64">
            <w:r w:rsidRPr="00532B9F">
              <w:rPr>
                <w:rFonts w:ascii="Times New Roman" w:eastAsia="MS Mincho" w:hAnsi="Times New Roman"/>
                <w:sz w:val="20"/>
                <w:iCs/>
                <w:color w:val="0000FF" w:themeColor="hyperlink"/>
                <w:u w:val="single"/>
              </w:rPr>
              <w:t>D1-457</w:t>
            </w:r>
          </w:fldSimple>
          <w:r>
            <w:rPr>
              <w:rFonts w:ascii="Times New Roman" w:eastAsia="MS Mincho" w:hAnsi="Times New Roman"/>
              <w:sz w:val="20"/>
              <w:iCs/>
            </w:rPr>
            <w:t>,
2017-05-30,
paskelbta TAR 2017-06-01, i. k. 2017-09321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f328067e911e8ac27abd8fa093003">
            <w:r w:rsidRPr="00532B9F">
              <w:rPr>
                <w:rFonts w:ascii="Times New Roman" w:eastAsia="MS Mincho" w:hAnsi="Times New Roman"/>
                <w:sz w:val="20"/>
                <w:iCs/>
                <w:color w:val="0000FF" w:themeColor="hyperlink"/>
                <w:u w:val="single"/>
              </w:rPr>
              <w:t>D1-442</w:t>
            </w:r>
          </w:fldSimple>
          <w:r>
            <w:rPr>
              <w:rFonts w:ascii="Times New Roman" w:eastAsia="MS Mincho" w:hAnsi="Times New Roman"/>
              <w:sz w:val="20"/>
              <w:iCs/>
            </w:rPr>
            <w:t>,
2018-06-01,
paskelbta TAR 2018-06-04, i. k. 2018-09206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A63C2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eader" Target="header19.xml"/>
  <Relationship Id="rId15" Type="http://schemas.openxmlformats.org/officeDocument/2006/relationships/header" Target="header20.xml"/>
  <Relationship Id="rId16" Type="http://schemas.openxmlformats.org/officeDocument/2006/relationships/footer" Target="footer15.xml"/>
  <Relationship Id="rId17" Type="http://schemas.openxmlformats.org/officeDocument/2006/relationships/footer" Target="footer16.xml"/>
  <Relationship Id="rId18" Type="http://schemas.openxmlformats.org/officeDocument/2006/relationships/header" Target="header21.xml"/>
  <Relationship Id="rId19" Type="http://schemas.openxmlformats.org/officeDocument/2006/relationships/footer" Target="footer17.xml"/>
  <Relationship Id="rId2" Type="http://schemas.openxmlformats.org/officeDocument/2006/relationships/header" Target="header17.xml"/>
  <Relationship Id="rId20"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header" Target="header18.xml"/>
  <Relationship Id="rId5" Type="http://schemas.openxmlformats.org/officeDocument/2006/relationships/footer" Target="footer14.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ca06ad5429f34ba9b5fe95f0aac87704">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apunktis" Nr="2.4-1" Abbr="2.4-1 pp." DocPartId="043e48da33a8416cb51c395398985e90" PartId="6194007a3ca946049381d34dcc9ee904"/>
        <Part Type="punktas" Nr="2.5" Abbr="2.5 p." DocPartId="9eb52f009afc4736a9f6eb4e579e2bd7" PartId="47b0af918cd042b89405934a3f6ce286"/>
      </Part>
      <Part Type="punktas" Nr="3" Abbr="3 p." DocPartId="bdd2924dddfb43d9bb78e2c8804502c5" PartId="4376702577984e228353b59c4a86dcf9">
        <Part Type="punktas" Nr="3.1" Abbr="3.1 p." DocPartId="c797763a02c44c2aa8e0e8074549f31f" PartId="d48d50a0e8dc4c7aaba43d526f0bd0f8"/>
        <Part Type="punktas" Nr="3.2" Abbr="3.2 p." DocPartId="67108606a83f46b6ad6da4b2c95a4262" PartId="b5b527db065842d4a397f1db5a4f2dfd"/>
        <Part Type="punktas" Nr="3.3" Abbr="3.3 p." DocPartId="d2589ba1364c46ebb666534fc5442d1c" PartId="22999a92033f4a2cbff499427bb516dd"/>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fd5eeed340b946d29065353ad6d3b3c7">
          <Part Type="punktas" Nr="4.2.1" Abbr="4.2.1 p." DocPartId="00921676f5e844b6b57a2c3c5450f569" PartId="ff4af0c7552042feb044500b5051c7a8"/>
          <Part Type="punktas" Nr="4.2.2" Abbr="4.2.2 p." DocPartId="7d3b438a527b40a2bea6b8834e981c20" PartId="7b1b2b43fc464cbab4589a7a987af03c"/>
        </Part>
      </Part>
      <Part Type="punktas" Nr="4-1" Abbr="4-1 p." DocPartId="4a45758dd59b434c839172795ac6f6f0" PartId="d116daeb5b9f4daba40bd8a4573a4c0f"/>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982913263ce04732a1d32fd9d2f17232">
        <Part Type="punktas" Nr="14.1" Abbr="14.1 p." DocPartId="9be6440bfc2e46d383db721a5b65c78d" PartId="3708370450dd455ea3d2bee358253747"/>
        <Part Type="punktas" Nr="14.2" Abbr="14.2 p." DocPartId="1895f149a7f348649dd958a8c857b56a" PartId="635c3a5ff2224f83adbcba4a6ef5380c">
          <Part Type="punktas" Nr="14.2.1" Abbr="14.2.1 p." DocPartId="0957c8d2e55946daa624f0f955bc56fb" PartId="1fe64ee4d3c74cb8939593aeb86a1845"/>
          <Part Type="punktas" Nr="14.2.2" Abbr="14.2.2 p." DocPartId="5acb575b76174d919c0c47ae539c2cbc" PartId="044dae2dfc304dbea63648aef3717784"/>
          <Part Type="punktas" Nr="14.2.3" Abbr="14.2.3 p." DocPartId="827d2a84f4d7496d87e8273f75f2dbf8" PartId="2eb246c1cda643f7993539fe904a1cfe"/>
          <Part Type="punktas" Nr="14.2.4" Abbr="14.2.4 p." DocPartId="a039b646f1f44fb0bc558ec2a58340e9" PartId="8d0d7ad9baf24295a4d770025594cf2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DocPartId="9a1dda3fc34746698eefd941177638cc" PartId="37b686250ee349118b80f0df2c703dc1"/>
  </Part>
  <Part Type="priedas" Abbr="pr." Title="VANDENS TELKINIAI, KURIUOSE PLAUKIOJIMAS TAM TIKROMIS PLAUKIOJIMO PRIEMONĖMIS LEIDŽIAMAS" DocPartId="7a1f73fcb341431fa0763daa37890089" PartId="d423a506a5fe4e2296d22343363f31bd"/>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46F9F485-C7DB-4286-BCF8-EAA7A5A76C0F}">
  <ds:schemaRefs>
    <ds:schemaRef ds:uri="http://lrs.lt/TAIS/DocParts"/>
  </ds:schemaRefs>
</ds:datastoreItem>
</file>

<file path=docProps/app.xml><?xml version="1.0" encoding="utf-8"?>
<Properties xmlns="http://schemas.openxmlformats.org/officeDocument/2006/extended-properties">
  <Template>Normal.dotm</Template>
  <TotalTime>84</TotalTime>
  <Pages>15</Pages>
  <Words>26028</Words>
  <Characters>14836</Characters>
  <Application>Microsoft Office Word</Application>
  <DocSecurity>0</DocSecurity>
  <Lines>123</Lines>
  <Paragraphs>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40783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2018-06-05T05:45:00Z</dcterms:modified>
  <revision>30</revision>
</coreProperties>
</file>