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27766f62312438b810ac53321c65418"/>
        <w:lock w:val="sdtLocked"/>
        <w:richText/>
      </w:sdtPr>
      <w:sdtContent>
        <w:p>
          <w:pPr>
            <w:jc w:val="both"/>
            <w:rPr>
              <w:rFonts w:ascii="Times New Roman" w:hAnsi="Times New Roman"/>
            </w:rPr>
          </w:pPr>
          <w:r>
            <w:rPr>
              <w:rFonts w:ascii="Times New Roman" w:hAnsi="Times New Roman"/>
              <w:b/>
              <w:i/>
            </w:rPr>
            <w:t>Suvestinė redakcija nuo 2005-09-01 iki 2010-03-13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0C7F5C55">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18" w:tgtFrame="_blank" w:history="1">
                <w:r>
                  <w:rPr>
                    <w:color w:val="0000FF" w:themeColor="hyperlink"/>
                    <w:u w:val="single"/>
                  </w:rPr>
                  <w:t>61-1726</w:t>
                </w:r>
              </w:hyperlink>
              <w:r>
                <w:rPr>
                  <w:color w:val="000000"/>
                </w:rPr>
                <w:t xml:space="preserve">; 2000, Nr. 90-2276; 2002, Nr. </w:t>
              </w:r>
              <w:hyperlink r:id="rId19" w:tgtFrame="_blank" w:history="1">
                <w:r>
                  <w:rPr>
                    <w:color w:val="0000FF" w:themeColor="hyperlink"/>
                    <w:u w:val="single"/>
                  </w:rPr>
                  <w:t>13-475</w:t>
                </w:r>
              </w:hyperlink>
              <w:r>
                <w:rPr>
                  <w:color w:val="000000"/>
                </w:rPr>
                <w:t xml:space="preserve">) 20 straipsniu, Lietuvos Respublikos aplinkos ministerijos nuostatų (Žin., 1998, Nr. </w:t>
              </w:r>
              <w:hyperlink r:id="rId20" w:tgtFrame="_blank" w:history="1">
                <w:r>
                  <w:rPr>
                    <w:color w:val="0000FF" w:themeColor="hyperlink"/>
                    <w:u w:val="single"/>
                  </w:rPr>
                  <w:t>84-2353</w:t>
                </w:r>
              </w:hyperlink>
              <w:r>
                <w:rPr>
                  <w:color w:val="000000"/>
                </w:rPr>
                <w:t xml:space="preserve">; 2002, Nr. </w:t>
              </w:r>
              <w:hyperlink r:id="rId21"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22"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dfd5ef4bb59a4107ac1c5eee8ae35096"/>
            <w:lock w:val="sdtLocked"/>
            <w:richText/>
          </w:sdtPr>
          <w:sdtContent>
            <w:p>
              <w:pPr>
                <w:ind w:firstLine="709"/>
                <w:jc w:val="both"/>
                <w:rPr>
                  <w:color w:val="000000"/>
                </w:rPr>
              </w:pPr>
              <w:sdt>
                <w:sdtPr>
                  <w:alias w:val="Numeris"/>
                  <w:tag w:val="nr_dfd5ef4bb59a4107ac1c5eee8ae35096"/>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Valstybinei aplinkos apsaugos inspekcijai bei regionų aplinkos apsaugos departamentams.</w:t>
              </w:r>
            </w:p>
          </w:sdtContent>
        </w:sdt>
        <w:sdt>
          <w:sdtPr>
            <w:alias w:val="6 p."/>
            <w:tag w:val="part_b8445e4401064b7db7de64259370e15e"/>
            <w:lock w:val="sdtLocked"/>
            <w:richText/>
          </w:sdtPr>
          <w:sdtContent>
            <w:p>
              <w:pPr>
                <w:ind w:firstLine="709"/>
                <w:jc w:val="both"/>
                <w:rPr>
                  <w:color w:val="000000"/>
                </w:rPr>
              </w:pPr>
              <w:sdt>
                <w:sdtPr>
                  <w:alias w:val="Numeris"/>
                  <w:tag w:val="nr_b8445e4401064b7db7de64259370e15e"/>
                  <w:lock w:val="sdtLocked"/>
                  <w:richText/>
                </w:sdtPr>
                <w:sdtContent>
                  <w:r>
                    <w:rPr>
                      <w:color w:val="000000"/>
                    </w:rPr>
                    <w:t>6</w:t>
                  </w:r>
                </w:sdtContent>
              </w:sdt>
              <w:r>
                <w:rPr>
                  <w:color w:val="000000"/>
                </w:rPr>
                <w:t xml:space="preserve">. Šio įsakymo vykdymo kontrolę </w:t>
              </w:r>
              <w:r>
                <w:rPr>
                  <w:color w:val="000000"/>
                  <w:spacing w:val="60"/>
                </w:rPr>
                <w:t xml:space="preserve">pavedu </w:t>
              </w:r>
              <w:r>
                <w:rPr>
                  <w:color w:val="000000"/>
                </w:rPr>
                <w:t>ministerijos sekretoriui Aleksandrui Spruogiui.</w:t>
              </w:r>
            </w:p>
            <w:p>
              <w:pPr>
                <w:ind w:firstLine="709"/>
                <w:jc w:val="both"/>
                <w:rPr>
                  <w:color w:val="000000"/>
                </w:rPr>
              </w:pPr>
            </w:p>
            <w:p>
              <w:pPr>
                <w:ind w:firstLine="709"/>
                <w:jc w:val="both"/>
                <w:rPr>
                  <w:color w:val="000000"/>
                </w:rPr>
              </w:pPr>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64c93b513d3149ccb97abceec9d540ea"/>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64c93b513d3149ccb97abceec9d540ea"/>
              <w:lock w:val="sdtLocked"/>
              <w:richText/>
            </w:sdtPr>
            <w:sdtContent>
              <w:r>
                <w:rPr>
                  <w:b/>
                  <w:caps/>
                  <w:color w:val="000000"/>
                </w:rPr>
                <w:t>EKSPLOATUOTI NETINKAMŲ TRANSPORTO PRIEMONIŲ TVARKYMO TAISYKLĖS</w:t>
              </w:r>
            </w:sdtContent>
          </w:sdt>
        </w:p>
        <w:p>
          <w:pPr>
            <w:ind w:firstLine="709"/>
            <w:jc w:val="both"/>
            <w:rPr>
              <w:color w:val="000000"/>
            </w:rPr>
          </w:pP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7d0ac11e77d64d20be0212f56d493f19"/>
                <w:lock w:val="sdtLocked"/>
                <w:richText/>
              </w:sdtPr>
              <w:sdtContent>
                <w:p>
                  <w:pPr>
                    <w:ind w:firstLine="709"/>
                    <w:jc w:val="both"/>
                    <w:rPr>
                      <w:color w:val="000000"/>
                    </w:rPr>
                  </w:pPr>
                  <w:sdt>
                    <w:sdtPr>
                      <w:alias w:val="Numeris"/>
                      <w:tag w:val="nr_7d0ac11e77d64d20be0212f56d493f19"/>
                      <w:lock w:val="sdtLocked"/>
                      <w:richText/>
                    </w:sdtPr>
                    <w:sdtContent>
                      <w:r>
                        <w:rPr>
                          <w:color w:val="000000"/>
                        </w:rPr>
                        <w:t>3</w:t>
                      </w:r>
                    </w:sdtContent>
                  </w:sdt>
                  <w:r>
                    <w:rPr>
                      <w:color w:val="000000"/>
                    </w:rPr>
                    <w:t>. Fiziniai ir juridiniai asmenys, užsiimantys eksploatuoti netinkamų transporto priemonių surinkimu ir apdorojimu, be šių Taisyklių, turi laikytis visų atliekų tvarkytojams taikomų reikalavimų bei kitais teisės aktais nustatytų reikalavimų.</w:t>
                  </w:r>
                </w:p>
              </w:sdtContent>
            </w:sdt>
            <w:sdt>
              <w:sdtPr>
                <w:alias w:val="4 p."/>
                <w:tag w:val="part_c0f8ae14eb634ca38806a57f92ade5ee"/>
                <w:lock w:val="sdtLocked"/>
                <w:richText/>
              </w:sdtPr>
              <w:sdtContent>
                <w:p>
                  <w:pPr>
                    <w:ind w:firstLine="709"/>
                    <w:jc w:val="both"/>
                    <w:rPr>
                      <w:color w:val="000000"/>
                    </w:rPr>
                  </w:pPr>
                  <w:sdt>
                    <w:sdtPr>
                      <w:alias w:val="Numeris"/>
                      <w:tag w:val="nr_c0f8ae14eb634ca38806a57f92ade5ee"/>
                      <w:lock w:val="sdtLocked"/>
                      <w:richText/>
                    </w:sdtPr>
                    <w:sdtContent>
                      <w:r>
                        <w:rPr>
                          <w:color w:val="000000"/>
                        </w:rPr>
                        <w:t>4</w:t>
                      </w:r>
                    </w:sdtContent>
                  </w:sdt>
                  <w:r>
                    <w:rPr>
                      <w:color w:val="000000"/>
                    </w:rPr>
                    <w:t>. Triratėms motorinėms transporto priemonėms taikomos tik šių Taisyklių 9 ir 10 punktų bei V skyriaus reikalavimai.</w:t>
                  </w:r>
                </w:p>
              </w:sdtContent>
            </w:sdt>
            <w:sdt>
              <w:sdtPr>
                <w:alias w:val="5 p."/>
                <w:tag w:val="part_39f59d5f23e442c893801c2ea5c182c2"/>
                <w:lock w:val="sdtLocked"/>
                <w:richText/>
              </w:sdtPr>
              <w:sdtContent>
                <w:p>
                  <w:pPr>
                    <w:ind w:firstLine="709"/>
                    <w:jc w:val="both"/>
                    <w:rPr>
                      <w:color w:val="000000"/>
                    </w:rPr>
                  </w:pPr>
                  <w:sdt>
                    <w:sdtPr>
                      <w:alias w:val="Numeris"/>
                      <w:tag w:val="nr_39f59d5f23e442c893801c2ea5c182c2"/>
                      <w:lock w:val="sdtLocked"/>
                      <w:richText/>
                    </w:sdtPr>
                    <w:sdtContent>
                      <w:r>
                        <w:rPr>
                          <w:color w:val="000000"/>
                        </w:rPr>
                        <w:t>5</w:t>
                      </w:r>
                    </w:sdtContent>
                  </w:sdt>
                  <w:r>
                    <w:rPr>
                      <w:color w:val="000000"/>
                    </w:rPr>
                    <w:t>. Taisyklės parengtos vadovaujantis Europos Parlamento ir Tarybos 2000 m. rugsėjo 18 d. direktyvos 2000/53/EC dėl eksploatuoti netinkamų transporto priemonių reikalavimais.</w:t>
                  </w:r>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6a8e841122494bc88b316cf564f986b4"/>
                    <w:lock w:val="sdtLocked"/>
                    <w:richText/>
                  </w:sdtPr>
                  <w:sdtContent>
                    <w:p>
                      <w:pPr>
                        <w:ind w:firstLine="709"/>
                        <w:jc w:val="both"/>
                        <w:rPr>
                          <w:color w:val="000000"/>
                        </w:rPr>
                      </w:pPr>
                      <w:sdt>
                        <w:sdtPr>
                          <w:alias w:val="Numeris"/>
                          <w:tag w:val="nr_6a8e841122494bc88b316cf564f986b4"/>
                          <w:lock w:val="sdtLocked"/>
                          <w:richText/>
                        </w:sdtPr>
                        <w:sdtContent>
                          <w:r>
                            <w:rPr>
                              <w:color w:val="000000"/>
                            </w:rPr>
                            <w:t>6.1</w:t>
                          </w:r>
                        </w:sdtContent>
                      </w:sdt>
                      <w:r>
                        <w:rPr>
                          <w:color w:val="000000"/>
                        </w:rPr>
                        <w:t xml:space="preserve">. Lietuvos Respublikos atliekų tvarkymo įstatymą (Žin., 2002, Nr. </w:t>
                      </w:r>
                      <w:hyperlink r:id="rId23" w:tgtFrame="_blank" w:history="1">
                        <w:r>
                          <w:rPr>
                            <w:color w:val="0000FF" w:themeColor="hyperlink"/>
                            <w:u w:val="single"/>
                          </w:rPr>
                          <w:t>13-475</w:t>
                        </w:r>
                      </w:hyperlink>
                      <w:r>
                        <w:rPr>
                          <w:color w:val="000000"/>
                        </w:rPr>
                        <w:t>) [6.1.];</w:t>
                      </w:r>
                    </w:p>
                  </w:sdtContent>
                </w:sdt>
                <w:sdt>
                  <w:sdtPr>
                    <w:alias w:val="6.2 p."/>
                    <w:tag w:val="part_8a1ecccd91c94a9fabbda6ccb574b129"/>
                    <w:lock w:val="sdtLocked"/>
                    <w:richText/>
                  </w:sdtPr>
                  <w:sdtContent>
                    <w:p>
                      <w:pPr>
                        <w:ind w:firstLine="709"/>
                        <w:jc w:val="both"/>
                        <w:rPr>
                          <w:color w:val="000000"/>
                        </w:rPr>
                      </w:pPr>
                      <w:sdt>
                        <w:sdtPr>
                          <w:alias w:val="Numeris"/>
                          <w:tag w:val="nr_8a1ecccd91c94a9fabbda6ccb574b129"/>
                          <w:lock w:val="sdtLocked"/>
                          <w:richText/>
                        </w:sdtPr>
                        <w:sdtContent>
                          <w:r>
                            <w:rPr>
                              <w:color w:val="000000"/>
                            </w:rPr>
                            <w:t>6.2</w:t>
                          </w:r>
                        </w:sdtContent>
                      </w:sdt>
                      <w:r>
                        <w:rPr>
                          <w:color w:val="000000"/>
                        </w:rPr>
                        <w:t xml:space="preserve">. Transporto priemonių ir sudėtinių transporto priemonių dalių atitikties įvertinimo tvarką, patvirtintą Lietuvos Respublikos susisiekimo ministro 2001 m. balandžio 19 d. įsakymu Nr. 130 (Žin., 2001, Nr. </w:t>
                      </w:r>
                      <w:hyperlink r:id="rId24" w:tgtFrame="_blank" w:history="1">
                        <w:r>
                          <w:rPr>
                            <w:color w:val="0000FF" w:themeColor="hyperlink"/>
                            <w:u w:val="single"/>
                          </w:rPr>
                          <w:t>36-1221</w:t>
                        </w:r>
                      </w:hyperlink>
                      <w:r>
                        <w:rPr>
                          <w:color w:val="000000"/>
                        </w:rPr>
                        <w:t>) [6.2.];</w:t>
                      </w:r>
                    </w:p>
                  </w:sdtContent>
                </w:sdt>
                <w:sdt>
                  <w:sdtPr>
                    <w:alias w:val="6.3 p."/>
                    <w:tag w:val="part_3bda79200df54e829a26384fa0ee1f9e"/>
                    <w:lock w:val="sdtLocked"/>
                    <w:richText/>
                  </w:sdtPr>
                  <w:sdtContent>
                    <w:p>
                      <w:pPr>
                        <w:ind w:firstLine="709"/>
                        <w:jc w:val="both"/>
                        <w:rPr>
                          <w:color w:val="000000"/>
                        </w:rPr>
                      </w:pPr>
                      <w:sdt>
                        <w:sdtPr>
                          <w:alias w:val="Numeris"/>
                          <w:tag w:val="nr_3bda79200df54e829a26384fa0ee1f9e"/>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25" w:tgtFrame="_blank" w:history="1">
                        <w:r>
                          <w:rPr>
                            <w:color w:val="0000FF" w:themeColor="hyperlink"/>
                            <w:u w:val="single"/>
                          </w:rPr>
                          <w:t>63-2065</w:t>
                        </w:r>
                      </w:hyperlink>
                      <w:r>
                        <w:rPr>
                          <w:color w:val="000000"/>
                        </w:rPr>
                        <w:t xml:space="preserve">; 2001, Nr. </w:t>
                      </w:r>
                      <w:hyperlink r:id="rId26" w:tgtFrame="_blank" w:history="1">
                        <w:r>
                          <w:rPr>
                            <w:color w:val="0000FF" w:themeColor="hyperlink"/>
                            <w:u w:val="single"/>
                          </w:rPr>
                          <w:t>45-1604</w:t>
                        </w:r>
                      </w:hyperlink>
                      <w:r>
                        <w:rPr>
                          <w:color w:val="000000"/>
                        </w:rPr>
                        <w:t xml:space="preserve">; 2002, Nr. </w:t>
                      </w:r>
                      <w:hyperlink r:id="rId27" w:tgtFrame="_blank" w:history="1">
                        <w:r>
                          <w:rPr>
                            <w:color w:val="0000FF" w:themeColor="hyperlink"/>
                            <w:u w:val="single"/>
                          </w:rPr>
                          <w:t>100-4461</w:t>
                        </w:r>
                      </w:hyperlink>
                      <w:r>
                        <w:rPr>
                          <w:color w:val="000000"/>
                        </w:rPr>
                        <w:t>) [6.3.];</w:t>
                      </w:r>
                    </w:p>
                  </w:sdtContent>
                </w:sdt>
                <w:sdt>
                  <w:sdtPr>
                    <w:alias w:val="6.4 p."/>
                    <w:tag w:val="part_45668e1ebbdb48bfa024f259a6338a34"/>
                    <w:lock w:val="sdtLocked"/>
                    <w:richText/>
                  </w:sdtPr>
                  <w:sdtContent>
                    <w:p>
                      <w:pPr>
                        <w:ind w:firstLine="709"/>
                        <w:jc w:val="both"/>
                        <w:rPr>
                          <w:color w:val="000000"/>
                        </w:rPr>
                      </w:pPr>
                      <w:sdt>
                        <w:sdtPr>
                          <w:alias w:val="Numeris"/>
                          <w:tag w:val="nr_45668e1ebbdb48bfa024f259a6338a34"/>
                          <w:lock w:val="sdtLocked"/>
                          <w:richText/>
                        </w:sdtPr>
                        <w:sdtContent>
                          <w:r>
                            <w:t>6.4</w:t>
                          </w:r>
                        </w:sdtContent>
                      </w:sdt>
                      <w:r>
                        <w:t xml:space="preserve">. Ūkio subjektų požeminio vandens monitoringo vykdymo tvarką, patvirtintą Lietuvos geologijos tarnybos prie Lietuvos Respublikos aplinkos ministerijos direktoriaus 2003 m. spalio 24 d. įsakymu Nr. 1-59 (Žin., 2003, Nr. </w:t>
                      </w:r>
                      <w:hyperlink r:id="rId28" w:tgtFrame="_blank" w:history="1">
                        <w:r>
                          <w:rPr>
                            <w:color w:val="0000FF" w:themeColor="hyperlink"/>
                            <w:u w:val="single"/>
                          </w:rPr>
                          <w:t>101-4578</w:t>
                        </w:r>
                      </w:hyperlink>
                      <w:r>
                        <w:t xml:space="preserve">) [6.4.];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538af287512541b18dae62ca261f469c"/>
                    <w:lock w:val="sdtLocked"/>
                    <w:richText/>
                  </w:sdtPr>
                  <w:sdtContent>
                    <w:p>
                      <w:pPr>
                        <w:ind w:firstLine="709"/>
                        <w:jc w:val="both"/>
                        <w:rPr>
                          <w:color w:val="000000"/>
                        </w:rPr>
                      </w:pPr>
                      <w:sdt>
                        <w:sdtPr>
                          <w:alias w:val="Numeris"/>
                          <w:tag w:val="nr_538af287512541b18dae62ca261f469c"/>
                          <w:lock w:val="sdtLocked"/>
                          <w:richText/>
                        </w:sdtPr>
                        <w:sdtContent>
                          <w:r>
                            <w:rPr>
                              <w:color w:val="000000"/>
                            </w:rPr>
                            <w:t>6.6</w:t>
                          </w:r>
                        </w:sdtContent>
                      </w:sdt>
                      <w:r>
                        <w:rPr>
                          <w:color w:val="000000"/>
                        </w:rPr>
                        <w:t xml:space="preserve">. Lietuvos Respublikos cheminių medžiagų ir preparatų įstatymą (Žin., 2000, Nr. </w:t>
                      </w:r>
                      <w:hyperlink r:id="rId29" w:tgtFrame="_blank" w:history="1">
                        <w:r>
                          <w:rPr>
                            <w:color w:val="0000FF" w:themeColor="hyperlink"/>
                            <w:u w:val="single"/>
                          </w:rPr>
                          <w:t>36-987</w:t>
                        </w:r>
                      </w:hyperlink>
                      <w:r>
                        <w:rPr>
                          <w:color w:val="000000"/>
                        </w:rPr>
                        <w:t>) [6.6.];</w:t>
                      </w:r>
                    </w:p>
                  </w:sdtContent>
                </w:sdt>
                <w:sdt>
                  <w:sdtPr>
                    <w:alias w:val="6.7 p."/>
                    <w:tag w:val="part_2b142b35421e4271a88bdf29128fa652"/>
                    <w:lock w:val="sdtLocked"/>
                    <w:richText/>
                  </w:sdtPr>
                  <w:sdtContent>
                    <w:p>
                      <w:pPr>
                        <w:ind w:firstLine="709"/>
                        <w:jc w:val="both"/>
                        <w:rPr>
                          <w:color w:val="000000"/>
                        </w:rPr>
                      </w:pPr>
                      <w:sdt>
                        <w:sdtPr>
                          <w:alias w:val="Numeris"/>
                          <w:tag w:val="nr_2b142b35421e4271a88bdf29128fa652"/>
                          <w:lock w:val="sdtLocked"/>
                          <w:richText/>
                        </w:sdtPr>
                        <w:sdtContent>
                          <w:r>
                            <w:rPr>
                              <w:color w:val="000000"/>
                            </w:rPr>
                            <w:t>6.7</w:t>
                          </w:r>
                        </w:sdtContent>
                      </w:sdt>
                      <w:r>
                        <w:rPr>
                          <w:color w:val="000000"/>
                        </w:rPr>
                        <w:t xml:space="preserve">. Pavojingų medžiagų ir preparatų klasifikavimo ir ženklinimo tvarką, patvirtintą Lietuvos Respublikos aplinkos ministro ir Lietuvos Respublikos sveikatos apsaugos ministro 2000 m. gruodžio 19 d. įsakymu Nr. 532/742 (Žin., 2001, Nr. </w:t>
                      </w:r>
                      <w:hyperlink r:id="rId30" w:tgtFrame="_blank" w:history="1">
                        <w:r>
                          <w:rPr>
                            <w:color w:val="0000FF" w:themeColor="hyperlink"/>
                            <w:u w:val="single"/>
                          </w:rPr>
                          <w:t>16-509</w:t>
                        </w:r>
                      </w:hyperlink>
                      <w:r>
                        <w:rPr>
                          <w:color w:val="000000"/>
                        </w:rPr>
                        <w:t xml:space="preserve">; 2002, Nr. </w:t>
                      </w:r>
                      <w:hyperlink r:id="rId31" w:tgtFrame="_blank" w:history="1">
                        <w:r>
                          <w:rPr>
                            <w:color w:val="0000FF" w:themeColor="hyperlink"/>
                            <w:u w:val="single"/>
                          </w:rPr>
                          <w:t>81-3501</w:t>
                        </w:r>
                      </w:hyperlink>
                      <w:r>
                        <w:rPr>
                          <w:color w:val="000000"/>
                        </w:rPr>
                        <w:t>) [6.7.];</w:t>
                      </w:r>
                    </w:p>
                  </w:sdtContent>
                </w:sdt>
                <w:sdt>
                  <w:sdtPr>
                    <w:alias w:val="6.8 p."/>
                    <w:tag w:val="part_17637ecd188047c0b0177f59e5c70a2f"/>
                    <w:lock w:val="sdtLocked"/>
                    <w:richText/>
                  </w:sdtPr>
                  <w:sdtContent>
                    <w:p>
                      <w:pPr>
                        <w:ind w:firstLine="709"/>
                        <w:jc w:val="both"/>
                        <w:rPr>
                          <w:color w:val="000000"/>
                        </w:rPr>
                      </w:pPr>
                      <w:sdt>
                        <w:sdtPr>
                          <w:alias w:val="Numeris"/>
                          <w:tag w:val="nr_17637ecd188047c0b0177f59e5c70a2f"/>
                          <w:lock w:val="sdtLocked"/>
                          <w:richText/>
                        </w:sdtPr>
                        <w:sdtContent>
                          <w:r>
                            <w:rPr>
                              <w:color w:val="000000"/>
                            </w:rPr>
                            <w:t>6.8</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 m. lapkričio 30 d. įsakymu Nr. 387 (Žin., 1999, Nr. </w:t>
                      </w:r>
                      <w:hyperlink r:id="rId32" w:tgtFrame="_blank" w:history="1">
                        <w:r>
                          <w:rPr>
                            <w:color w:val="0000FF" w:themeColor="hyperlink"/>
                            <w:u w:val="single"/>
                          </w:rPr>
                          <w:t>106-3087</w:t>
                        </w:r>
                      </w:hyperlink>
                      <w:r>
                        <w:rPr>
                          <w:color w:val="000000"/>
                        </w:rPr>
                        <w:t xml:space="preserve">; 2002, Nr. </w:t>
                      </w:r>
                      <w:hyperlink r:id="rId33" w:tgtFrame="_blank" w:history="1">
                        <w:r>
                          <w:rPr>
                            <w:color w:val="0000FF" w:themeColor="hyperlink"/>
                            <w:u w:val="single"/>
                          </w:rPr>
                          <w:t>17-705</w:t>
                        </w:r>
                      </w:hyperlink>
                      <w:r>
                        <w:rPr>
                          <w:color w:val="000000"/>
                        </w:rPr>
                        <w:t xml:space="preserve">; 2002, Nr. </w:t>
                      </w:r>
                      <w:hyperlink r:id="rId34" w:tgtFrame="_blank" w:history="1">
                        <w:r>
                          <w:rPr>
                            <w:color w:val="0000FF" w:themeColor="hyperlink"/>
                            <w:u w:val="single"/>
                          </w:rPr>
                          <w:t>81-3497</w:t>
                        </w:r>
                      </w:hyperlink>
                      <w:r>
                        <w:rPr>
                          <w:color w:val="000000"/>
                        </w:rPr>
                        <w:t>) [6.8.];</w:t>
                      </w:r>
                    </w:p>
                  </w:sdtContent>
                </w:sdt>
                <w:sdt>
                  <w:sdtPr>
                    <w:alias w:val="6.9 p."/>
                    <w:tag w:val="part_c9b61383410a4a4599d06bab5c1f3c00"/>
                    <w:lock w:val="sdtLocked"/>
                    <w:richText/>
                  </w:sdtPr>
                  <w:sdtContent>
                    <w:p>
                      <w:pPr>
                        <w:ind w:firstLine="709"/>
                        <w:jc w:val="both"/>
                        <w:rPr>
                          <w:color w:val="000000"/>
                        </w:rPr>
                      </w:pPr>
                      <w:sdt>
                        <w:sdtPr>
                          <w:alias w:val="Numeris"/>
                          <w:tag w:val="nr_c9b61383410a4a4599d06bab5c1f3c00"/>
                          <w:lock w:val="sdtLocked"/>
                          <w:richText/>
                        </w:sdtPr>
                        <w:sdtContent>
                          <w:r>
                            <w:rPr>
                              <w:color w:val="000000"/>
                            </w:rPr>
                            <w:t>6.9</w:t>
                          </w:r>
                        </w:sdtContent>
                      </w:sdt>
                      <w:r>
                        <w:rPr>
                          <w:color w:val="000000"/>
                        </w:rPr>
                        <w:t xml:space="preserve">. Taršos integruotos prevencijos ir kontrolės leidimų išdavimo, atnaujinimo ir panaikinimo taisykles, patvirtintas Lietuvos Respublikos aplinkos ministro 2002 m. vasario 27 d. įsakymu Nr. 80 (Žin., 2002, Nr. </w:t>
                      </w:r>
                      <w:hyperlink r:id="rId35" w:tgtFrame="_blank" w:history="1">
                        <w:r>
                          <w:rPr>
                            <w:color w:val="0000FF" w:themeColor="hyperlink"/>
                            <w:u w:val="single"/>
                          </w:rPr>
                          <w:t>81-3498</w:t>
                        </w:r>
                      </w:hyperlink>
                      <w:r>
                        <w:rPr>
                          <w:color w:val="000000"/>
                        </w:rPr>
                        <w:t xml:space="preserve">; 2002, Nr. </w:t>
                      </w:r>
                      <w:hyperlink r:id="rId36" w:tgtFrame="_blank" w:history="1">
                        <w:r>
                          <w:rPr>
                            <w:color w:val="0000FF" w:themeColor="hyperlink"/>
                            <w:u w:val="single"/>
                          </w:rPr>
                          <w:t>85-3684</w:t>
                        </w:r>
                      </w:hyperlink>
                      <w:r>
                        <w:rPr>
                          <w:color w:val="000000"/>
                        </w:rPr>
                        <w:t>) [6.9.].</w:t>
                      </w:r>
                    </w:p>
                  </w:sdtContent>
                </w:sdt>
                <w:sdt>
                  <w:sdtPr>
                    <w:alias w:val="6.9-1 p."/>
                    <w:tag w:val="part_d5aa67d7cd3a443199e9664e4ab9e8f9"/>
                    <w:lock w:val="sdtLocked"/>
                    <w:richText/>
                  </w:sdtPr>
                  <w:sdtContent>
                    <w:p>
                      <w:pPr>
                        <w:ind w:firstLine="709"/>
                        <w:jc w:val="both"/>
                      </w:pPr>
                      <w:sdt>
                        <w:sdtPr>
                          <w:alias w:val="Numeris"/>
                          <w:tag w:val="nr_d5aa67d7cd3a443199e9664e4ab9e8f9"/>
                          <w:lock w:val="sdtLocked"/>
                          <w:richText/>
                        </w:sdtPr>
                        <w:sdtContent>
                          <w:r>
                            <w:t>6.9</w:t>
                          </w:r>
                          <w:r>
                            <w:rPr>
                              <w:vertAlign w:val="superscript"/>
                            </w:rPr>
                            <w:t>1</w:t>
                          </w:r>
                        </w:sdtContent>
                      </w:sdt>
                      <w:r>
                        <w:t xml:space="preserve"> Aplinkosaugos reikalavimus paviršinėms nuotekoms tvarkyti, patvirtintus Lietuvos Respublikos aplinkos ministro 2003 m. gruodžio 24 d. įsakymu Nr. 687 (Žin., 2004, Nr. </w:t>
                      </w:r>
                      <w:hyperlink r:id="rId43" w:tgtFrame="_blank" w:history="1">
                        <w:r>
                          <w:rPr>
                            <w:color w:val="0000FF" w:themeColor="hyperlink"/>
                            <w:u w:val="single"/>
                          </w:rPr>
                          <w:t>10-289</w:t>
                        </w:r>
                      </w:hyperlink>
                      <w:r>
                        <w:t>) [6.9-1];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2 p."/>
                    <w:tag w:val="part_f8c25078b9524b3080fcca5edc085d52"/>
                    <w:lock w:val="sdtLocked"/>
                    <w:richText/>
                  </w:sdtPr>
                  <w:sdtContent>
                    <w:p>
                      <w:pPr>
                        <w:ind w:firstLine="709"/>
                        <w:jc w:val="both"/>
                      </w:pPr>
                      <w:sdt>
                        <w:sdtPr>
                          <w:alias w:val="Numeris"/>
                          <w:tag w:val="nr_f8c25078b9524b3080fcca5edc085d52"/>
                          <w:lock w:val="sdtLocked"/>
                          <w:richText/>
                        </w:sdtPr>
                        <w:sdtContent>
                          <w:r>
                            <w:t>6.9</w:t>
                          </w:r>
                          <w:r>
                            <w:rPr>
                              <w:vertAlign w:val="superscript"/>
                            </w:rPr>
                            <w:t>2</w:t>
                          </w:r>
                        </w:sdtContent>
                      </w:sdt>
                      <w:r>
                        <w:t xml:space="preserve"> Mažų nuotekų kiekių tvarkymo reglamentą, patvirtintą Lietuvos Respublikos aplinkos ministro 2002 m. lapkričio 19 d. įsakymu Nr. 596 (Žin., 2002, Nr. </w:t>
                      </w:r>
                      <w:hyperlink r:id="rId44" w:tgtFrame="_blank" w:history="1">
                        <w:r>
                          <w:rPr>
                            <w:color w:val="0000FF" w:themeColor="hyperlink"/>
                            <w:u w:val="single"/>
                          </w:rPr>
                          <w:t>115-5159</w:t>
                        </w:r>
                      </w:hyperlink>
                      <w:r>
                        <w:t xml:space="preserve">; 2004, Nr. </w:t>
                      </w:r>
                      <w:hyperlink r:id="rId45" w:tgtFrame="_blank" w:history="1">
                        <w:r>
                          <w:rPr>
                            <w:color w:val="0000FF" w:themeColor="hyperlink"/>
                            <w:u w:val="single"/>
                          </w:rPr>
                          <w:t>157-5740</w:t>
                        </w:r>
                      </w:hyperlink>
                      <w:r>
                        <w:t>) [6.9-2];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6.9-3 p."/>
                    <w:tag w:val="part_d312bdbc56444052bcb4373fd05db8b8"/>
                    <w:lock w:val="sdtLocked"/>
                    <w:richText/>
                  </w:sdtPr>
                  <w:sdtContent>
                    <w:p>
                      <w:pPr>
                        <w:ind w:firstLine="709"/>
                        <w:jc w:val="both"/>
                        <w:rPr>
                          <w:color w:val="000000"/>
                        </w:rPr>
                      </w:pPr>
                      <w:sdt>
                        <w:sdtPr>
                          <w:alias w:val="Numeris"/>
                          <w:tag w:val="nr_d312bdbc56444052bcb4373fd05db8b8"/>
                          <w:lock w:val="sdtLocked"/>
                          <w:richText/>
                        </w:sdtPr>
                        <w:sdtContent>
                          <w:r>
                            <w:t>6.9</w:t>
                          </w:r>
                          <w:r>
                            <w:rPr>
                              <w:vertAlign w:val="superscript"/>
                            </w:rPr>
                            <w:t>3</w:t>
                          </w:r>
                        </w:sdtContent>
                      </w:sdt>
                      <w:r>
                        <w:t xml:space="preserve"> Aplinkosaugos reikalavimus nuotekoms tvarkyti, patvirtintus Lietuvos Respublikos aplinkos ministro 2001 m. spalio 5 d. įsakymu Nr. 495 (Žin., 2001, Nr. 87-3504) [6.9-3].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7 p."/>
                <w:tag w:val="part_ef70a352259c4747967b07f710216107"/>
                <w:lock w:val="sdtLocked"/>
                <w:richText/>
              </w:sdtPr>
              <w:sdtContent>
                <w:p>
                  <w:pPr>
                    <w:ind w:firstLine="709"/>
                    <w:jc w:val="both"/>
                    <w:rPr>
                      <w:color w:val="000000"/>
                    </w:rPr>
                  </w:pPr>
                  <w:sdt>
                    <w:sdtPr>
                      <w:alias w:val="Numeris"/>
                      <w:tag w:val="nr_ef70a352259c4747967b07f710216107"/>
                      <w:lock w:val="sdtLocked"/>
                      <w:richText/>
                    </w:sdtPr>
                    <w:sdtContent>
                      <w:r>
                        <w:rPr>
                          <w:color w:val="000000"/>
                        </w:rPr>
                        <w:t>7</w:t>
                      </w:r>
                    </w:sdtContent>
                  </w:sdt>
                  <w:r>
                    <w:rPr>
                      <w:color w:val="000000"/>
                    </w:rPr>
                    <w:t>. Pagrindinės šiose Taisyklėse vartojamos sąvokos:</w:t>
                  </w:r>
                </w:p>
                <w:sdt>
                  <w:sdtPr>
                    <w:alias w:val="7.1 p."/>
                    <w:tag w:val="part_c64d5b0ddcf24df0bf3a61cf020bd2e6"/>
                    <w:lock w:val="sdtLocked"/>
                    <w:richText/>
                  </w:sdtPr>
                  <w:sdtContent>
                    <w:p>
                      <w:pPr>
                        <w:ind w:firstLine="709"/>
                        <w:jc w:val="both"/>
                        <w:rPr>
                          <w:color w:val="000000"/>
                        </w:rPr>
                      </w:pPr>
                      <w:sdt>
                        <w:sdtPr>
                          <w:alias w:val="Numeris"/>
                          <w:tag w:val="nr_c64d5b0ddcf24df0bf3a61cf020bd2e6"/>
                          <w:lock w:val="sdtLocked"/>
                          <w:richText/>
                        </w:sdtPr>
                        <w:sdtContent>
                          <w:r>
                            <w:rPr>
                              <w:color w:val="000000"/>
                            </w:rPr>
                            <w:t>7.1</w:t>
                          </w:r>
                        </w:sdtContent>
                      </w:sdt>
                      <w:r>
                        <w:rPr>
                          <w:color w:val="000000"/>
                        </w:rPr>
                        <w:t>.</w:t>
                      </w:r>
                      <w:r>
                        <w:rPr>
                          <w:b/>
                          <w:color w:val="000000"/>
                        </w:rPr>
                        <w:t xml:space="preserve"> Transporto priemonė</w:t>
                      </w:r>
                      <w:r>
                        <w:rPr>
                          <w:color w:val="000000"/>
                        </w:rPr>
                        <w:t xml:space="preserve"> – bet kokia transporto priemonė, priskiriama M</w:t>
                      </w:r>
                      <w:r>
                        <w:rPr>
                          <w:color w:val="000000"/>
                          <w:position w:val="-5"/>
                        </w:rPr>
                        <w:t>1</w:t>
                      </w:r>
                      <w:r>
                        <w:rPr>
                          <w:color w:val="000000"/>
                        </w:rPr>
                        <w:t xml:space="preserve"> (ne mažiau kaip keturis ratus turinti transporto priemonė, skirta keleiviams vežti, turinti ne daugiau kaip 8 sėdimas vietas keleiviams ir 1 sėdimą vietą vairuotojui) arba N</w:t>
                      </w:r>
                      <w:r>
                        <w:rPr>
                          <w:color w:val="000000"/>
                          <w:position w:val="-5"/>
                        </w:rPr>
                        <w:t>1</w:t>
                      </w:r>
                      <w:r>
                        <w:rPr>
                          <w:color w:val="000000"/>
                        </w:rPr>
                        <w:t xml:space="preserve"> (ne mažiau kaip keturis ratus turinti transporto priemonė, skirta kroviniams vežti, kurios bendroji masė ne didesnė kaip 3,5 t) klasėms bei triratė motorinė transporto priemonė, išskyrus motorines trirates transporto priemones su simetriškai išdėstytais ratais.</w:t>
                      </w:r>
                    </w:p>
                  </w:sdtContent>
                </w:sdt>
                <w:sdt>
                  <w:sdtPr>
                    <w:alias w:val="7.2 p."/>
                    <w:tag w:val="part_e471e9ae69cd473894fddfe42f52501b"/>
                    <w:lock w:val="sdtLocked"/>
                    <w:richText/>
                  </w:sdtPr>
                  <w:sdtContent>
                    <w:p>
                      <w:pPr>
                        <w:ind w:firstLine="709"/>
                        <w:jc w:val="both"/>
                        <w:rPr>
                          <w:color w:val="000000"/>
                        </w:rPr>
                      </w:pPr>
                      <w:sdt>
                        <w:sdtPr>
                          <w:alias w:val="Numeris"/>
                          <w:tag w:val="nr_e471e9ae69cd473894fddfe42f52501b"/>
                          <w:lock w:val="sdtLocked"/>
                          <w:richText/>
                        </w:sdtPr>
                        <w:sdtContent>
                          <w:r>
                            <w:rPr>
                              <w:color w:val="000000"/>
                            </w:rPr>
                            <w:t>7.2</w:t>
                          </w:r>
                        </w:sdtContent>
                      </w:sdt>
                      <w:r>
                        <w:rPr>
                          <w:color w:val="000000"/>
                        </w:rPr>
                        <w:t>.</w:t>
                      </w:r>
                      <w:r>
                        <w:rPr>
                          <w:b/>
                          <w:color w:val="000000"/>
                        </w:rPr>
                        <w:t xml:space="preserve"> Eksploatuoti netinkama transporto priemonė</w:t>
                      </w:r>
                      <w:r>
                        <w:rPr>
                          <w:color w:val="000000"/>
                        </w:rPr>
                        <w:t xml:space="preserve"> – transporto priemonė, priskiriama atliekoms, apibrėžtoms [6.1.] įstatyme.</w:t>
                      </w:r>
                    </w:p>
                  </w:sdtContent>
                </w:sdt>
                <w:sdt>
                  <w:sdtPr>
                    <w:alias w:val="7.3 p."/>
                    <w:tag w:val="part_756594291df742e290d7a595bf605305"/>
                    <w:lock w:val="sdtLocked"/>
                    <w:richText/>
                  </w:sdtPr>
                  <w:sdtContent>
                    <w:p>
                      <w:pPr>
                        <w:ind w:firstLine="709"/>
                        <w:jc w:val="both"/>
                        <w:rPr>
                          <w:color w:val="000000"/>
                        </w:rPr>
                      </w:pPr>
                      <w:sdt>
                        <w:sdtPr>
                          <w:alias w:val="Numeris"/>
                          <w:tag w:val="nr_756594291df742e290d7a595bf605305"/>
                          <w:lock w:val="sdtLocked"/>
                          <w:richText/>
                        </w:sdtPr>
                        <w:sdtContent>
                          <w:r>
                            <w:rPr>
                              <w:color w:val="000000"/>
                            </w:rPr>
                            <w:t>7.3</w:t>
                          </w:r>
                        </w:sdtContent>
                      </w:sdt>
                      <w:r>
                        <w:rPr>
                          <w:color w:val="000000"/>
                        </w:rPr>
                        <w:t>.</w:t>
                      </w:r>
                      <w:r>
                        <w:rPr>
                          <w:b/>
                          <w:color w:val="000000"/>
                        </w:rPr>
                        <w:t xml:space="preserve"> Gamintojas</w:t>
                      </w:r>
                      <w:r>
                        <w:rPr>
                          <w:color w:val="000000"/>
                        </w:rPr>
                        <w:t xml:space="preserve"> – fizinis ar juridinis asmuo, kurio veikla susijusi su transporto priemonių gamyba arba importu.</w:t>
                      </w:r>
                    </w:p>
                  </w:sdtContent>
                </w:sdt>
                <w:sdt>
                  <w:sdtPr>
                    <w:alias w:val="7.4 p."/>
                    <w:tag w:val="part_90afc9ea81a24d09998248bdb3e40256"/>
                    <w:lock w:val="sdtLocked"/>
                    <w:richText/>
                  </w:sdtPr>
                  <w:sdtContent>
                    <w:p>
                      <w:pPr>
                        <w:ind w:firstLine="709"/>
                        <w:jc w:val="both"/>
                        <w:rPr>
                          <w:color w:val="000000"/>
                        </w:rPr>
                      </w:pPr>
                      <w:sdt>
                        <w:sdtPr>
                          <w:alias w:val="Numeris"/>
                          <w:tag w:val="nr_90afc9ea81a24d09998248bdb3e40256"/>
                          <w:lock w:val="sdtLocked"/>
                          <w:richText/>
                        </w:sdtPr>
                        <w:sdtContent>
                          <w:r>
                            <w:rPr>
                              <w:color w:val="000000"/>
                            </w:rPr>
                            <w:t>7.4</w:t>
                          </w:r>
                        </w:sdtContent>
                      </w:sdt>
                      <w:r>
                        <w:rPr>
                          <w:color w:val="000000"/>
                        </w:rPr>
                        <w:t>.</w:t>
                      </w:r>
                      <w:r>
                        <w:rPr>
                          <w:b/>
                          <w:color w:val="000000"/>
                        </w:rPr>
                        <w:t xml:space="preserve"> Prevencija</w:t>
                      </w:r>
                      <w:r>
                        <w:rPr>
                          <w:color w:val="000000"/>
                        </w:rPr>
                        <w:t xml:space="preserve"> – priemonės, kurių tikslas yra sumažinti eksploatuoti netinkamų transporto priemonių ir jų dalių bei medžiagų kiekį ir kenksmingumą aplinkai.</w:t>
                      </w:r>
                    </w:p>
                  </w:sdtContent>
                </w:sdt>
                <w:sdt>
                  <w:sdtPr>
                    <w:alias w:val="7.5 p."/>
                    <w:tag w:val="part_e624d0fac503425481e9c4997befb022"/>
                    <w:lock w:val="sdtLocked"/>
                    <w:richText/>
                  </w:sdtPr>
                  <w:sdtContent>
                    <w:p>
                      <w:pPr>
                        <w:ind w:firstLine="709"/>
                        <w:jc w:val="both"/>
                        <w:rPr>
                          <w:color w:val="000000"/>
                        </w:rPr>
                      </w:pPr>
                      <w:sdt>
                        <w:sdtPr>
                          <w:alias w:val="Numeris"/>
                          <w:tag w:val="nr_e624d0fac503425481e9c4997befb022"/>
                          <w:lock w:val="sdtLocked"/>
                          <w:richText/>
                        </w:sdtPr>
                        <w:sdtContent>
                          <w:r>
                            <w:rPr>
                              <w:color w:val="000000"/>
                            </w:rPr>
                            <w:t>7.5</w:t>
                          </w:r>
                        </w:sdtContent>
                      </w:sdt>
                      <w:r>
                        <w:rPr>
                          <w:color w:val="000000"/>
                        </w:rPr>
                        <w:t>.</w:t>
                      </w:r>
                      <w:r>
                        <w:rPr>
                          <w:b/>
                          <w:color w:val="000000"/>
                        </w:rPr>
                        <w:t xml:space="preserve"> Apdorojimas</w:t>
                      </w:r>
                      <w:r>
                        <w:rPr>
                          <w:color w:val="000000"/>
                        </w:rPr>
                        <w:t xml:space="preserve"> – bet kuri veikla, vykdoma atidavus (siekiant išvengti gyvenamosios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6 p."/>
                    <w:tag w:val="part_d4915941b8fd40568b0db3ae2927b53b"/>
                    <w:lock w:val="sdtLocked"/>
                    <w:richText/>
                  </w:sdtPr>
                  <w:sdtContent>
                    <w:p>
                      <w:pPr>
                        <w:ind w:firstLine="709"/>
                        <w:jc w:val="both"/>
                        <w:rPr>
                          <w:color w:val="000000"/>
                        </w:rPr>
                      </w:pPr>
                      <w:sdt>
                        <w:sdtPr>
                          <w:alias w:val="Numeris"/>
                          <w:tag w:val="nr_d4915941b8fd40568b0db3ae2927b53b"/>
                          <w:lock w:val="sdtLocked"/>
                          <w:richText/>
                        </w:sdtPr>
                        <w:sdtContent>
                          <w:r>
                            <w:rPr>
                              <w:color w:val="000000"/>
                            </w:rPr>
                            <w:t>7.6</w:t>
                          </w:r>
                        </w:sdtContent>
                      </w:sdt>
                      <w:r>
                        <w:rPr>
                          <w:color w:val="000000"/>
                        </w:rPr>
                        <w:t>.</w:t>
                      </w:r>
                      <w:r>
                        <w:rPr>
                          <w:b/>
                          <w:color w:val="000000"/>
                        </w:rPr>
                        <w:t xml:space="preserve"> Pakartotinis naudojimas</w:t>
                      </w:r>
                      <w:r>
                        <w:rPr>
                          <w:color w:val="000000"/>
                        </w:rPr>
                        <w:t xml:space="preserve"> – eksploatuoti netinkamos transporto priemonės dalių naudojimas tam pačiam tikslui, kuriam jos buvo pagamintos.</w:t>
                      </w:r>
                    </w:p>
                  </w:sdtContent>
                </w:sdt>
                <w:sdt>
                  <w:sdtPr>
                    <w:alias w:val="7.7 p."/>
                    <w:tag w:val="part_8cedeb167bf742b094f0719372cffaf3"/>
                    <w:lock w:val="sdtLocked"/>
                    <w:richText/>
                  </w:sdtPr>
                  <w:sdtContent>
                    <w:p>
                      <w:pPr>
                        <w:ind w:firstLine="709"/>
                        <w:jc w:val="both"/>
                        <w:rPr>
                          <w:color w:val="000000"/>
                        </w:rPr>
                      </w:pPr>
                      <w:sdt>
                        <w:sdtPr>
                          <w:alias w:val="Numeris"/>
                          <w:tag w:val="nr_8cedeb167bf742b094f0719372cffaf3"/>
                          <w:lock w:val="sdtLocked"/>
                          <w:richText/>
                        </w:sdtPr>
                        <w:sdtContent>
                          <w:r>
                            <w:rPr>
                              <w:color w:val="000000"/>
                            </w:rPr>
                            <w:t>7.7</w:t>
                          </w:r>
                        </w:sdtContent>
                      </w:sdt>
                      <w:r>
                        <w:rPr>
                          <w:color w:val="000000"/>
                        </w:rPr>
                        <w:t>.</w:t>
                      </w:r>
                      <w:r>
                        <w:rPr>
                          <w:b/>
                          <w:color w:val="000000"/>
                        </w:rPr>
                        <w:t xml:space="preserve"> Perdirbimas</w:t>
                      </w:r>
                      <w:r>
                        <w:rPr>
                          <w:color w:val="000000"/>
                        </w:rPr>
                        <w:t xml:space="preserve"> – atliekų perdirbimas gamybos proceso metu, kad jos būtų panaudotos pirminiam tikslui arba kitiems tikslams, išskyrus energijos naudojimą. Energijos naudojimas yra degiųjų atliekų naudojimas energijai gauti, jas deginant atskirai arba kartu su kitomis atliekomis ir naudojant gautą šilumą.</w:t>
                      </w:r>
                    </w:p>
                  </w:sdtContent>
                </w:sdt>
                <w:sdt>
                  <w:sdtPr>
                    <w:alias w:val="7.8 p."/>
                    <w:tag w:val="part_b70be9d7ec004a8fbd12e41526987013"/>
                    <w:lock w:val="sdtLocked"/>
                    <w:richText/>
                  </w:sdtPr>
                  <w:sdtContent>
                    <w:p>
                      <w:pPr>
                        <w:ind w:firstLine="709"/>
                        <w:jc w:val="both"/>
                        <w:rPr>
                          <w:color w:val="000000"/>
                        </w:rPr>
                      </w:pPr>
                      <w:sdt>
                        <w:sdtPr>
                          <w:alias w:val="Numeris"/>
                          <w:tag w:val="nr_b70be9d7ec004a8fbd12e41526987013"/>
                          <w:lock w:val="sdtLocked"/>
                          <w:richText/>
                        </w:sdtPr>
                        <w:sdtContent>
                          <w:r>
                            <w:rPr>
                              <w:color w:val="000000"/>
                            </w:rPr>
                            <w:t>7.8</w:t>
                          </w:r>
                        </w:sdtContent>
                      </w:sdt>
                      <w:r>
                        <w:rPr>
                          <w:color w:val="000000"/>
                        </w:rPr>
                        <w:t>.</w:t>
                      </w:r>
                      <w:r>
                        <w:rPr>
                          <w:b/>
                          <w:color w:val="000000"/>
                        </w:rPr>
                        <w:t xml:space="preserve"> Naudojimas</w:t>
                      </w:r>
                      <w:r>
                        <w:rPr>
                          <w:color w:val="000000"/>
                        </w:rPr>
                        <w:t xml:space="preserve"> – atliekų tvarkymo būdas, nurodytas [6.1.] įstatyme.</w:t>
                      </w:r>
                    </w:p>
                  </w:sdtContent>
                </w:sdt>
                <w:sdt>
                  <w:sdtPr>
                    <w:alias w:val="7.9 p."/>
                    <w:tag w:val="part_495891982b0c480d92b8af7b75a51040"/>
                    <w:lock w:val="sdtLocked"/>
                    <w:richText/>
                  </w:sdtPr>
                  <w:sdtContent>
                    <w:p>
                      <w:pPr>
                        <w:ind w:firstLine="709"/>
                        <w:jc w:val="both"/>
                        <w:rPr>
                          <w:color w:val="000000"/>
                        </w:rPr>
                      </w:pPr>
                      <w:sdt>
                        <w:sdtPr>
                          <w:alias w:val="Numeris"/>
                          <w:tag w:val="nr_495891982b0c480d92b8af7b75a51040"/>
                          <w:lock w:val="sdtLocked"/>
                          <w:richText/>
                        </w:sdtPr>
                        <w:sdtContent>
                          <w:r>
                            <w:rPr>
                              <w:color w:val="000000"/>
                            </w:rPr>
                            <w:t>7.9</w:t>
                          </w:r>
                        </w:sdtContent>
                      </w:sdt>
                      <w:r>
                        <w:rPr>
                          <w:color w:val="000000"/>
                        </w:rPr>
                        <w:t>.</w:t>
                      </w:r>
                      <w:r>
                        <w:rPr>
                          <w:b/>
                          <w:color w:val="000000"/>
                        </w:rPr>
                        <w:t xml:space="preserve"> Šalinimas</w:t>
                      </w:r>
                      <w:r>
                        <w:rPr>
                          <w:color w:val="000000"/>
                        </w:rPr>
                        <w:t xml:space="preserve"> – atliekų tvarkymo būdas, nurodytas [6.1.] įstatyme.</w:t>
                      </w:r>
                    </w:p>
                  </w:sdtContent>
                </w:sdt>
                <w:sdt>
                  <w:sdtPr>
                    <w:alias w:val="7.10 p."/>
                    <w:tag w:val="part_5d5fe4fb35384a63ae96f26f3f2294fa"/>
                    <w:lock w:val="sdtLocked"/>
                    <w:richText/>
                  </w:sdtPr>
                  <w:sdtContent>
                    <w:p>
                      <w:pPr>
                        <w:ind w:firstLine="709"/>
                        <w:jc w:val="both"/>
                        <w:rPr>
                          <w:color w:val="000000"/>
                        </w:rPr>
                      </w:pPr>
                      <w:sdt>
                        <w:sdtPr>
                          <w:alias w:val="Numeris"/>
                          <w:tag w:val="nr_5d5fe4fb35384a63ae96f26f3f2294fa"/>
                          <w:lock w:val="sdtLocked"/>
                          <w:richText/>
                        </w:sdtPr>
                        <w:sdtContent>
                          <w:r>
                            <w:rPr>
                              <w:color w:val="000000"/>
                            </w:rPr>
                            <w:t>7.10</w:t>
                          </w:r>
                        </w:sdtContent>
                      </w:sdt>
                      <w:r>
                        <w:rPr>
                          <w:color w:val="000000"/>
                        </w:rPr>
                        <w:t>.</w:t>
                      </w:r>
                      <w:r>
                        <w:rPr>
                          <w:b/>
                          <w:color w:val="000000"/>
                        </w:rPr>
                        <w:t xml:space="preserve"> Ekonominės veiklos vykdytojai</w:t>
                      </w:r>
                      <w:r>
                        <w:rPr>
                          <w:color w:val="000000"/>
                        </w:rPr>
                        <w:t xml:space="preserve"> – gamintojai, tiekėjai, surinkėjai, autotransporto priemonių draudimo kompanijos, išmontuotojai, smulkintojai, naudotojai, perdirbėjai bei kiti fiziniai ir juridiniai asmenys, vykdantys eksploatuoti netinkamų transporto priemonių bei jų dalių ir medžiagų apdorojimą.</w:t>
                      </w:r>
                    </w:p>
                  </w:sdtContent>
                </w:sdt>
                <w:sdt>
                  <w:sdtPr>
                    <w:alias w:val="7.11 p."/>
                    <w:tag w:val="part_dfed7efbb0f843c1b501de537389ec3d"/>
                    <w:lock w:val="sdtLocked"/>
                    <w:richText/>
                  </w:sdtPr>
                  <w:sdtContent>
                    <w:p>
                      <w:pPr>
                        <w:ind w:firstLine="709"/>
                        <w:jc w:val="both"/>
                        <w:rPr>
                          <w:color w:val="000000"/>
                        </w:rPr>
                      </w:pPr>
                      <w:sdt>
                        <w:sdtPr>
                          <w:alias w:val="Numeris"/>
                          <w:tag w:val="nr_dfed7efbb0f843c1b501de537389ec3d"/>
                          <w:lock w:val="sdtLocked"/>
                          <w:richText/>
                        </w:sdtPr>
                        <w:sdtContent>
                          <w:r>
                            <w:rPr>
                              <w:color w:val="000000"/>
                            </w:rPr>
                            <w:t>7.11</w:t>
                          </w:r>
                        </w:sdtContent>
                      </w:sdt>
                      <w:r>
                        <w:rPr>
                          <w:color w:val="000000"/>
                        </w:rPr>
                        <w:t>.</w:t>
                      </w:r>
                      <w:r>
                        <w:rPr>
                          <w:b/>
                          <w:color w:val="000000"/>
                        </w:rPr>
                        <w:t xml:space="preserve"> Pavojinga medžiaga</w:t>
                      </w:r>
                      <w:r>
                        <w:rPr>
                          <w:color w:val="000000"/>
                        </w:rPr>
                        <w:t xml:space="preserve"> – bet kuri cheminė medžiaga, laikoma pavojinga pagal [6.6.] įstatymo nuostatas.</w:t>
                      </w:r>
                    </w:p>
                  </w:sdtContent>
                </w:sdt>
                <w:sdt>
                  <w:sdtPr>
                    <w:alias w:val="7.12 p."/>
                    <w:tag w:val="part_36f69f76168840bb99f563ed9d6294af"/>
                    <w:lock w:val="sdtLocked"/>
                    <w:richText/>
                  </w:sdtPr>
                  <w:sdtContent>
                    <w:p>
                      <w:pPr>
                        <w:ind w:firstLine="709"/>
                        <w:jc w:val="both"/>
                        <w:rPr>
                          <w:color w:val="000000"/>
                        </w:rPr>
                      </w:pPr>
                      <w:sdt>
                        <w:sdtPr>
                          <w:alias w:val="Numeris"/>
                          <w:tag w:val="nr_36f69f76168840bb99f563ed9d6294af"/>
                          <w:lock w:val="sdtLocked"/>
                          <w:richText/>
                        </w:sdtPr>
                        <w:sdtContent>
                          <w:r>
                            <w:rPr>
                              <w:color w:val="000000"/>
                            </w:rPr>
                            <w:t>7.12</w:t>
                          </w:r>
                        </w:sdtContent>
                      </w:sdt>
                      <w:r>
                        <w:rPr>
                          <w:color w:val="000000"/>
                        </w:rPr>
                        <w:t>.</w:t>
                      </w:r>
                      <w:r>
                        <w:rPr>
                          <w:b/>
                          <w:color w:val="000000"/>
                        </w:rPr>
                        <w:t xml:space="preserve"> Smulkintuvas</w:t>
                      </w:r>
                      <w:r>
                        <w:rPr>
                          <w:color w:val="000000"/>
                        </w:rPr>
                        <w:t xml:space="preserve"> – bet koks įrenginys, susmulkinantis eksploatuoti netinkamas transporto priemones į gabalus arba dalis, įskaitant pakartotinį gauto metalo laužo panaudojimą.</w:t>
                      </w:r>
                    </w:p>
                  </w:sdtContent>
                </w:sdt>
                <w:sdt>
                  <w:sdtPr>
                    <w:alias w:val="7.13 p."/>
                    <w:tag w:val="part_1010b9d63a8446c4ae2b804e153e438d"/>
                    <w:lock w:val="sdtLocked"/>
                    <w:richText/>
                  </w:sdtPr>
                  <w:sdtContent>
                    <w:p>
                      <w:pPr>
                        <w:ind w:firstLine="709"/>
                        <w:jc w:val="both"/>
                        <w:rPr>
                          <w:color w:val="000000"/>
                        </w:rPr>
                      </w:pPr>
                      <w:sdt>
                        <w:sdtPr>
                          <w:alias w:val="Numeris"/>
                          <w:tag w:val="nr_1010b9d63a8446c4ae2b804e153e438d"/>
                          <w:lock w:val="sdtLocked"/>
                          <w:richText/>
                        </w:sdtPr>
                        <w:sdtContent>
                          <w:r>
                            <w:rPr>
                              <w:color w:val="000000"/>
                            </w:rPr>
                            <w:t>7.13</w:t>
                          </w:r>
                        </w:sdtContent>
                      </w:sdt>
                      <w:r>
                        <w:rPr>
                          <w:color w:val="000000"/>
                        </w:rPr>
                        <w:t>.</w:t>
                      </w:r>
                      <w:r>
                        <w:rPr>
                          <w:b/>
                          <w:color w:val="000000"/>
                        </w:rPr>
                        <w:t xml:space="preserve"> Informacija apie išmontavimą</w:t>
                      </w:r>
                      <w:r>
                        <w:rPr>
                          <w:color w:val="000000"/>
                        </w:rPr>
                        <w:t xml:space="preserve"> – visa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CD-ROM, internetas).</w:t>
                      </w:r>
                    </w:p>
                  </w:sdtContent>
                </w:sdt>
                <w:sdt>
                  <w:sdtPr>
                    <w:alias w:val="7.14 p."/>
                    <w:tag w:val="part_036efd7783784b8e810a14b07accab56"/>
                    <w:lock w:val="sdtLocked"/>
                    <w:richText/>
                  </w:sdtPr>
                  <w:sdtContent>
                    <w:p>
                      <w:pPr>
                        <w:ind w:firstLine="709"/>
                        <w:jc w:val="both"/>
                        <w:rPr>
                          <w:color w:val="000000"/>
                        </w:rPr>
                      </w:pPr>
                      <w:sdt>
                        <w:sdtPr>
                          <w:alias w:val="Numeris"/>
                          <w:tag w:val="nr_036efd7783784b8e810a14b07accab56"/>
                          <w:lock w:val="sdtLocked"/>
                          <w:richText/>
                        </w:sdtPr>
                        <w:sdtContent>
                          <w:r>
                            <w:rPr>
                              <w:color w:val="000000"/>
                            </w:rPr>
                            <w:t>7.14</w:t>
                          </w:r>
                        </w:sdtContent>
                      </w:sdt>
                      <w:r>
                        <w:rPr>
                          <w:color w:val="000000"/>
                        </w:rPr>
                        <w:t>.</w:t>
                      </w:r>
                      <w:r>
                        <w:rPr>
                          <w:b/>
                          <w:color w:val="000000"/>
                        </w:rPr>
                        <w:t xml:space="preserve"> Leidimas </w:t>
                      </w:r>
                      <w:r>
                        <w:rPr>
                          <w:color w:val="000000"/>
                        </w:rPr>
                        <w:t>– gamtos išteklių naudojimo leidimas [6.8.] arba taršos integruotos prevencijos ir kontrolės leidimas [6.9.], kurį nustatyta tvarka išduoda regionų aplinkos apsaugos departamentai ir kuriuo leidžiama eksploatuoti netinkamų transporto priemonių surinkimo ir apdorojimo įmones.</w:t>
                      </w:r>
                    </w:p>
                    <w:p>
                      <w:pPr>
                        <w:ind w:firstLine="709"/>
                        <w:jc w:val="both"/>
                        <w:rPr>
                          <w:color w:val="000000"/>
                        </w:rPr>
                      </w:pPr>
                    </w:p>
                  </w:sdtContent>
                </w:sdt>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394d57b0665b470894e9d3e176b1f283"/>
                <w:lock w:val="sdtLocked"/>
                <w:richText/>
              </w:sdtPr>
              <w:sdtContent>
                <w:p>
                  <w:pPr>
                    <w:ind w:firstLine="709"/>
                    <w:jc w:val="both"/>
                    <w:rPr>
                      <w:color w:val="000000"/>
                    </w:rPr>
                  </w:pPr>
                  <w:sdt>
                    <w:sdtPr>
                      <w:alias w:val="Numeris"/>
                      <w:tag w:val="nr_394d57b0665b470894e9d3e176b1f283"/>
                      <w:lock w:val="sdtLocked"/>
                      <w:richText/>
                    </w:sdtPr>
                    <w:sdtContent>
                      <w:r>
                        <w:rPr>
                          <w:color w:val="000000"/>
                        </w:rPr>
                        <w:t>9</w:t>
                      </w:r>
                    </w:sdtContent>
                  </w:sdt>
                  <w:r>
                    <w:rPr>
                      <w:color w:val="000000"/>
                    </w:rPr>
                    <w:t>. Eksploatuoti netinkamas transporto priemones gali surinkti ir apdoroti tik apdorojimo įmonės, turinčios leidimą, kuriame apibrėžtos eksploatuoti netinkamų transporto priemonių surinkimo ir apdorojimo sąlygos.</w:t>
                  </w:r>
                </w:p>
              </w:sdtContent>
            </w:sdt>
            <w:sdt>
              <w:sdtPr>
                <w:alias w:val="10 p."/>
                <w:tag w:val="part_21ed1f8f12a8451887903a06b2345539"/>
                <w:lock w:val="sdtLocked"/>
                <w:richText/>
              </w:sdtPr>
              <w:sdtContent>
                <w:p>
                  <w:pPr>
                    <w:ind w:firstLine="709"/>
                    <w:jc w:val="both"/>
                    <w:rPr>
                      <w:color w:val="000000"/>
                    </w:rPr>
                  </w:pPr>
                  <w:sdt>
                    <w:sdtPr>
                      <w:alias w:val="Numeris"/>
                      <w:tag w:val="nr_21ed1f8f12a8451887903a06b2345539"/>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laikino saugojimo ir pervežimo į apdorojimo įmonę sąlygos, atitinkančios šių Taisyklių reikalavimus. Sutarties kopija turi būti pateikta regiono aplinkos apsaugos departamentui, kuris išdavė gamtos išteklių naudojimo arba taršos integruotos prevencijos ir kontrolės leidimą pagal [6.8.] ir [6.9.] reikalavimus eksploatuoti netinkamų transporto priemonių apdorojimo įmonei.</w:t>
                  </w:r>
                </w:p>
              </w:sdtContent>
            </w:sdt>
            <w:sdt>
              <w:sdtPr>
                <w:alias w:val="11 p."/>
                <w:tag w:val="part_2807c2ae4265434dbcc0262520e70f3e"/>
                <w:lock w:val="sdtLocked"/>
                <w:richText/>
              </w:sdtPr>
              <w:sdtContent>
                <w:p>
                  <w:pPr>
                    <w:ind w:firstLine="709"/>
                    <w:jc w:val="both"/>
                    <w:rPr>
                      <w:color w:val="000000"/>
                    </w:rPr>
                  </w:pPr>
                  <w:sdt>
                    <w:sdtPr>
                      <w:alias w:val="Numeris"/>
                      <w:tag w:val="nr_2807c2ae4265434dbcc0262520e70f3e"/>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laikino saugojimo zona, įrengta pagal šių Taisyklių 19 punkto reikalavimus.</w:t>
                  </w:r>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35f8007bfcde4de39324c39fd671bec9"/>
                    <w:lock w:val="sdtLocked"/>
                    <w:richText/>
                  </w:sdtPr>
                  <w:sdtContent>
                    <w:p>
                      <w:pPr>
                        <w:ind w:firstLine="709"/>
                        <w:jc w:val="both"/>
                      </w:pPr>
                      <w:sdt>
                        <w:sdtPr>
                          <w:alias w:val="Numeris"/>
                          <w:tag w:val="nr_35f8007bfcde4de39324c39fd671bec9"/>
                          <w:lock w:val="sdtLocked"/>
                          <w:richText/>
                        </w:sdtPr>
                        <w:sdtContent>
                          <w:r>
                            <w:t>13.1</w:t>
                          </w:r>
                        </w:sdtContent>
                      </w:sdt>
                      <w: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bei registravimo duomenis tvarkančiai valstybės įmonei „Regitra“, antrasis laikomas pažymėjimą išdavusioje įmonėje, o trečiasis (per 10 dienų nuo praėjusio ketvirčio pabaigos) pateikiamas gamtos išteklių naudojimo arba taršos integruotos prevencijos ir kontrolės leidimą pagal [6.8.] ir [6.9.] reikalavimus išdavusiam regiono aplinkos apsaugos departamentui;</w:t>
                      </w:r>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a8e13cf8f6b142b3a29ffb5b894971cb"/>
                    <w:lock w:val="sdtLocked"/>
                    <w:richText/>
                  </w:sdtPr>
                  <w:sdtContent>
                    <w:p>
                      <w:pPr>
                        <w:ind w:firstLine="709"/>
                        <w:jc w:val="both"/>
                        <w:rPr>
                          <w:color w:val="000000"/>
                        </w:rPr>
                      </w:pPr>
                      <w:sdt>
                        <w:sdtPr>
                          <w:alias w:val="Numeris"/>
                          <w:tag w:val="nr_a8e13cf8f6b142b3a29ffb5b894971cb"/>
                          <w:lock w:val="sdtLocked"/>
                          <w:richText/>
                        </w:sdtPr>
                        <w:sdtContent>
                          <w:r>
                            <w:rPr>
                              <w:color w:val="000000"/>
                            </w:rPr>
                            <w:t>16.1</w:t>
                          </w:r>
                        </w:sdtContent>
                      </w:sdt>
                      <w:r>
                        <w:rPr>
                          <w:color w:val="000000"/>
                        </w:rPr>
                        <w:t>. eksploatuoti netinkama transporto priemonė buvo registruota Lietuvoje mažiau kaip tris mėnesius iki jos atidavimo eksploatuoti netinkamų transporto priemonių surinkimo ar apdorojimo įmonei;</w:t>
                      </w:r>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8e2633bd9e2c44ca863d28d0b3a639b4"/>
                <w:lock w:val="sdtLocked"/>
                <w:richText/>
              </w:sdtPr>
              <w:sdtContent>
                <w:p>
                  <w:pPr>
                    <w:ind w:firstLine="709"/>
                    <w:jc w:val="both"/>
                    <w:rPr>
                      <w:color w:val="000000"/>
                    </w:rPr>
                  </w:pPr>
                  <w:sdt>
                    <w:sdtPr>
                      <w:alias w:val="Numeris"/>
                      <w:tag w:val="nr_8e2633bd9e2c44ca863d28d0b3a639b4"/>
                      <w:lock w:val="sdtLocked"/>
                      <w:richText/>
                    </w:sdtPr>
                    <w:sdtContent>
                      <w:r>
                        <w:rPr>
                          <w:color w:val="000000"/>
                        </w:rPr>
                        <w:t>17</w:t>
                      </w:r>
                    </w:sdtContent>
                  </w:sdt>
                  <w:r>
                    <w:rPr>
                      <w:color w:val="000000"/>
                    </w:rPr>
                    <w:t>. Eksploatuoti netinkamų transporto priemonių apdorojimo įmonės turi laikytis pavojingų atliekų naudojimo ir šalinimo veiklai nustatytų [6.3.] reikalavimų.</w:t>
                  </w:r>
                </w:p>
              </w:sdtContent>
            </w:sdt>
            <w:sdt>
              <w:sdtPr>
                <w:alias w:val="18 p."/>
                <w:tag w:val="part_e4794a1fd1744350b15a9ee5bdc88c89"/>
                <w:lock w:val="sdtLocked"/>
                <w:richText/>
              </w:sdtPr>
              <w:sdtContent>
                <w:p>
                  <w:pPr>
                    <w:ind w:firstLine="709"/>
                    <w:jc w:val="both"/>
                    <w:rPr>
                      <w:color w:val="000000"/>
                    </w:rPr>
                  </w:pPr>
                  <w:sdt>
                    <w:sdtPr>
                      <w:alias w:val="Numeris"/>
                      <w:tag w:val="nr_e4794a1fd1744350b15a9ee5bdc88c8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9655866a7b874a8687edc39a6edc2c14"/>
                    <w:lock w:val="sdtLocked"/>
                    <w:richText/>
                  </w:sdtPr>
                  <w:sdtContent>
                    <w:p>
                      <w:pPr>
                        <w:ind w:firstLine="709"/>
                        <w:jc w:val="both"/>
                        <w:rPr>
                          <w:color w:val="000000"/>
                        </w:rPr>
                      </w:pPr>
                      <w:sdt>
                        <w:sdtPr>
                          <w:alias w:val="Numeris"/>
                          <w:tag w:val="nr_9655866a7b874a8687edc39a6edc2c14"/>
                          <w:lock w:val="sdtLocked"/>
                          <w:richText/>
                        </w:sdtPr>
                        <w:sdtContent>
                          <w:r>
                            <w:rPr>
                              <w:color w:val="000000"/>
                            </w:rPr>
                            <w:t>18.1</w:t>
                          </w:r>
                        </w:sdtContent>
                      </w:sdt>
                      <w:r>
                        <w:rPr>
                          <w:color w:val="000000"/>
                        </w:rPr>
                        <w:t>. personalo;</w:t>
                      </w:r>
                    </w:p>
                  </w:sdtContent>
                </w:sdt>
                <w:sdt>
                  <w:sdtPr>
                    <w:alias w:val="18.2 p."/>
                    <w:tag w:val="part_3d93294826ab454ebfe7f2ac595a2f4d"/>
                    <w:lock w:val="sdtLocked"/>
                    <w:richText/>
                  </w:sdtPr>
                  <w:sdtContent>
                    <w:p>
                      <w:pPr>
                        <w:ind w:firstLine="709"/>
                        <w:jc w:val="both"/>
                        <w:rPr>
                          <w:color w:val="000000"/>
                        </w:rPr>
                      </w:pPr>
                      <w:sdt>
                        <w:sdtPr>
                          <w:alias w:val="Numeris"/>
                          <w:tag w:val="nr_3d93294826ab454ebfe7f2ac595a2f4d"/>
                          <w:lock w:val="sdtLocked"/>
                          <w:richText/>
                        </w:sdtPr>
                        <w:sdtContent>
                          <w:r>
                            <w:rPr>
                              <w:color w:val="000000"/>
                            </w:rPr>
                            <w:t>18.2</w:t>
                          </w:r>
                        </w:sdtContent>
                      </w:sdt>
                      <w:r>
                        <w:rPr>
                          <w:color w:val="000000"/>
                        </w:rPr>
                        <w:t>. eksploatuoti netinkamų transporto priemonių priėmimo ir saugojimo;</w:t>
                      </w:r>
                    </w:p>
                  </w:sdtContent>
                </w:sdt>
                <w:sdt>
                  <w:sdtPr>
                    <w:alias w:val="18.3 p."/>
                    <w:tag w:val="part_f3ba91296cce42018c83c58f1f84a4fd"/>
                    <w:lock w:val="sdtLocked"/>
                    <w:richText/>
                  </w:sdtPr>
                  <w:sdtContent>
                    <w:p>
                      <w:pPr>
                        <w:ind w:firstLine="709"/>
                        <w:jc w:val="both"/>
                        <w:rPr>
                          <w:color w:val="000000"/>
                        </w:rPr>
                      </w:pPr>
                      <w:sdt>
                        <w:sdtPr>
                          <w:alias w:val="Numeris"/>
                          <w:tag w:val="nr_f3ba91296cce42018c83c58f1f84a4fd"/>
                          <w:lock w:val="sdtLocked"/>
                          <w:richText/>
                        </w:sdtPr>
                        <w:sdtContent>
                          <w:r>
                            <w:rPr>
                              <w:color w:val="000000"/>
                            </w:rPr>
                            <w:t>18.3</w:t>
                          </w:r>
                        </w:sdtContent>
                      </w:sdt>
                      <w:r>
                        <w:rPr>
                          <w:color w:val="000000"/>
                        </w:rPr>
                        <w:t>. eksploatuoti netinkamų transporto priemonių išmontavimo;</w:t>
                      </w:r>
                    </w:p>
                  </w:sdtContent>
                </w:sdt>
                <w:sdt>
                  <w:sdtPr>
                    <w:alias w:val="18.4 p."/>
                    <w:tag w:val="part_b44d8078dd9c4080b6178bde5d5e4c0a"/>
                    <w:lock w:val="sdtLocked"/>
                    <w:richText/>
                  </w:sdtPr>
                  <w:sdtContent>
                    <w:p>
                      <w:pPr>
                        <w:ind w:firstLine="709"/>
                        <w:jc w:val="both"/>
                        <w:rPr>
                          <w:color w:val="000000"/>
                        </w:rPr>
                      </w:pPr>
                      <w:sdt>
                        <w:sdtPr>
                          <w:alias w:val="Numeris"/>
                          <w:tag w:val="nr_b44d8078dd9c4080b6178bde5d5e4c0a"/>
                          <w:lock w:val="sdtLocked"/>
                          <w:richText/>
                        </w:sdtPr>
                        <w:sdtContent>
                          <w:r>
                            <w:rPr>
                              <w:color w:val="000000"/>
                            </w:rPr>
                            <w:t>18.4</w:t>
                          </w:r>
                        </w:sdtContent>
                      </w:sdt>
                      <w:r>
                        <w:rPr>
                          <w:color w:val="000000"/>
                        </w:rPr>
                        <w:t>. metalo laužo ir kitų antrinių žaliavų laikino saugojimo;</w:t>
                      </w:r>
                    </w:p>
                  </w:sdtContent>
                </w:sdt>
                <w:sdt>
                  <w:sdtPr>
                    <w:alias w:val="18.5 p."/>
                    <w:tag w:val="part_c39b791a3517495db41a06aeebe50a37"/>
                    <w:lock w:val="sdtLocked"/>
                    <w:richText/>
                  </w:sdtPr>
                  <w:sdtContent>
                    <w:p>
                      <w:pPr>
                        <w:ind w:firstLine="709"/>
                        <w:jc w:val="both"/>
                        <w:rPr>
                          <w:color w:val="000000"/>
                        </w:rPr>
                      </w:pPr>
                      <w:sdt>
                        <w:sdtPr>
                          <w:alias w:val="Numeris"/>
                          <w:tag w:val="nr_c39b791a3517495db41a06aeebe50a37"/>
                          <w:lock w:val="sdtLocked"/>
                          <w:richText/>
                        </w:sdtPr>
                        <w:sdtContent>
                          <w:r>
                            <w:rPr>
                              <w:color w:val="000000"/>
                            </w:rPr>
                            <w:t>18.5</w:t>
                          </w:r>
                        </w:sdtContent>
                      </w:sdt>
                      <w:r>
                        <w:rPr>
                          <w:color w:val="000000"/>
                        </w:rPr>
                        <w:t>. mazgų ir dalių, tinkamų tolesniam naudojimui, saugojimo;</w:t>
                      </w:r>
                    </w:p>
                  </w:sdtContent>
                </w:sdt>
                <w:sdt>
                  <w:sdtPr>
                    <w:alias w:val="18.6 p."/>
                    <w:tag w:val="part_fd1881feb8cf452cb90336d151b27a2a"/>
                    <w:lock w:val="sdtLocked"/>
                    <w:richText/>
                  </w:sdtPr>
                  <w:sdtContent>
                    <w:p>
                      <w:pPr>
                        <w:ind w:firstLine="709"/>
                        <w:jc w:val="both"/>
                        <w:rPr>
                          <w:color w:val="000000"/>
                        </w:rPr>
                      </w:pPr>
                      <w:sdt>
                        <w:sdtPr>
                          <w:alias w:val="Numeris"/>
                          <w:tag w:val="nr_fd1881feb8cf452cb90336d151b27a2a"/>
                          <w:lock w:val="sdtLocked"/>
                          <w:richText/>
                        </w:sdtPr>
                        <w:sdtContent>
                          <w:r>
                            <w:rPr>
                              <w:color w:val="000000"/>
                            </w:rPr>
                            <w:t>18.6</w:t>
                          </w:r>
                        </w:sdtContent>
                      </w:sdt>
                      <w:r>
                        <w:rPr>
                          <w:color w:val="000000"/>
                        </w:rPr>
                        <w:t>. pavojingų atliekų saugojimo;</w:t>
                      </w:r>
                    </w:p>
                  </w:sdtContent>
                </w:sdt>
                <w:sdt>
                  <w:sdtPr>
                    <w:alias w:val="18.7 p."/>
                    <w:tag w:val="part_5df11cbcba804b71b555e0f0a92f2c40"/>
                    <w:lock w:val="sdtLocked"/>
                    <w:richText/>
                  </w:sdtPr>
                  <w:sdtContent>
                    <w:p>
                      <w:pPr>
                        <w:ind w:firstLine="709"/>
                        <w:jc w:val="both"/>
                        <w:rPr>
                          <w:color w:val="000000"/>
                        </w:rPr>
                      </w:pPr>
                      <w:sdt>
                        <w:sdtPr>
                          <w:alias w:val="Numeris"/>
                          <w:tag w:val="nr_5df11cbcba804b71b555e0f0a92f2c40"/>
                          <w:lock w:val="sdtLocked"/>
                          <w:richText/>
                        </w:sdtPr>
                        <w:sdtContent>
                          <w:r>
                            <w:rPr>
                              <w:color w:val="000000"/>
                            </w:rPr>
                            <w:t>18.7</w:t>
                          </w:r>
                        </w:sdtContent>
                      </w:sdt>
                      <w:r>
                        <w:rPr>
                          <w:color w:val="000000"/>
                        </w:rPr>
                        <w:t>. naudotų padangų saugojimo;</w:t>
                      </w:r>
                    </w:p>
                  </w:sdtContent>
                </w:sdt>
                <w:sdt>
                  <w:sdtPr>
                    <w:alias w:val="18.8 p."/>
                    <w:tag w:val="part_230172c0ad8548b1a8f8da148c717e52"/>
                    <w:lock w:val="sdtLocked"/>
                    <w:richText/>
                  </w:sdtPr>
                  <w:sdtContent>
                    <w:p>
                      <w:pPr>
                        <w:ind w:firstLine="709"/>
                        <w:jc w:val="both"/>
                        <w:rPr>
                          <w:color w:val="000000"/>
                        </w:rPr>
                      </w:pPr>
                      <w:sdt>
                        <w:sdtPr>
                          <w:alias w:val="Numeris"/>
                          <w:tag w:val="nr_230172c0ad8548b1a8f8da148c717e52"/>
                          <w:lock w:val="sdtLocked"/>
                          <w:richText/>
                        </w:sdtPr>
                        <w:sdtContent>
                          <w:r>
                            <w:rPr>
                              <w:color w:val="000000"/>
                            </w:rPr>
                            <w:t>18.8</w:t>
                          </w:r>
                        </w:sdtContent>
                      </w:sdt>
                      <w:r>
                        <w:rPr>
                          <w:color w:val="000000"/>
                        </w:rPr>
                        <w:t>. kitų nepavojingų atliekų saugojimo.</w:t>
                      </w:r>
                    </w:p>
                  </w:sdtContent>
                </w:sdt>
              </w:sdtContent>
            </w:sdt>
            <w:sdt>
              <w:sdtPr>
                <w:alias w:val="19 p."/>
                <w:tag w:val="part_37c2594083984a3bac0417aacf679339"/>
                <w:lock w:val="sdtLocked"/>
                <w:richText/>
              </w:sdtPr>
              <w:sdtContent>
                <w:p>
                  <w:pPr>
                    <w:ind w:firstLine="709"/>
                    <w:jc w:val="both"/>
                  </w:pPr>
                  <w:sdt>
                    <w:sdtPr>
                      <w:alias w:val="Numeris"/>
                      <w:tag w:val="nr_37c2594083984a3bac0417aacf679339"/>
                      <w:lock w:val="sdtLocked"/>
                      <w:richText/>
                    </w:sdtPr>
                    <w:sdtContent>
                      <w:r>
                        <w:t>19</w:t>
                      </w:r>
                    </w:sdtContent>
                  </w:sdt>
                  <w:r>
                    <w:t>. Eksploatuoti netinkamų transporto priemonių priėmimo ir saugojimo (įskaitant laikiną saugojimą) zona, nurodyta šių Taisyklių 18.2 punkte, turi būti padengta nelaidžia danga, atsparia benzino ir kitų skysčių ardančiajam poveikiui, ir turi turėti:</w:t>
                  </w:r>
                </w:p>
                <w:sdt>
                  <w:sdtPr>
                    <w:alias w:val="19.1 p."/>
                    <w:tag w:val="part_fe038f7bf599492591d4e9ca97bc58a7"/>
                    <w:lock w:val="sdtLocked"/>
                    <w:richText/>
                  </w:sdtPr>
                  <w:sdtContent>
                    <w:p>
                      <w:pPr>
                        <w:ind w:firstLine="709"/>
                        <w:jc w:val="both"/>
                      </w:pPr>
                      <w:sdt>
                        <w:sdtPr>
                          <w:alias w:val="Numeris"/>
                          <w:tag w:val="nr_fe038f7bf599492591d4e9ca97bc58a7"/>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5ff1c61da5b840f38541dee74ad456b1"/>
                    <w:lock w:val="sdtLocked"/>
                    <w:richText/>
                  </w:sdtPr>
                  <w:sdtContent>
                    <w:p>
                      <w:pPr>
                        <w:ind w:firstLine="709"/>
                        <w:jc w:val="both"/>
                        <w:rPr>
                          <w:color w:val="000000"/>
                        </w:rPr>
                      </w:pPr>
                      <w:sdt>
                        <w:sdtPr>
                          <w:alias w:val="Numeris"/>
                          <w:tag w:val="nr_5ff1c61da5b840f38541dee74ad456b1"/>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 p."/>
                <w:tag w:val="part_60f3023bc1c74f92b97e9e5561762422"/>
                <w:lock w:val="sdtLocked"/>
                <w:richText/>
              </w:sdtPr>
              <w:sdtContent>
                <w:p>
                  <w:pPr>
                    <w:ind w:firstLine="709"/>
                    <w:jc w:val="both"/>
                    <w:rPr>
                      <w:color w:val="000000"/>
                    </w:rPr>
                  </w:pPr>
                  <w:sdt>
                    <w:sdtPr>
                      <w:alias w:val="Numeris"/>
                      <w:tag w:val="nr_60f3023bc1c74f92b97e9e5561762422"/>
                      <w:lock w:val="sdtLocked"/>
                      <w:richText/>
                    </w:sdtPr>
                    <w:sdtContent>
                      <w:r>
                        <w:rPr>
                          <w:color w:val="000000"/>
                        </w:rPr>
                        <w:t>20</w:t>
                      </w:r>
                    </w:sdtContent>
                  </w:sdt>
                  <w:r>
                    <w:rPr>
                      <w:color w:val="000000"/>
                    </w:rPr>
                    <w:t>. Eksploatuoti netinkamų transporto priemonių išmontavimo ir pavojingų atliekų saugojimo zonos, nurodytos šių Taisyklių 18.3 ir 18.6 punktuose, turi būti padengtos nelaidžia danga, atsparia benzino ir kitų skysčių ardančiajam poveikiui, ir turi turėti:</w:t>
                  </w:r>
                </w:p>
                <w:sdt>
                  <w:sdtPr>
                    <w:alias w:val="20.1 p."/>
                    <w:tag w:val="part_be066b24e3c84907b62813d402c31e34"/>
                    <w:lock w:val="sdtLocked"/>
                    <w:richText/>
                  </w:sdtPr>
                  <w:sdtContent>
                    <w:p>
                      <w:pPr>
                        <w:ind w:firstLine="709"/>
                        <w:jc w:val="both"/>
                        <w:rPr>
                          <w:color w:val="000000"/>
                        </w:rPr>
                      </w:pPr>
                      <w:sdt>
                        <w:sdtPr>
                          <w:alias w:val="Numeris"/>
                          <w:tag w:val="nr_be066b24e3c84907b62813d402c31e34"/>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605952e2f4c54a76adf41d77a53474b2"/>
                    <w:lock w:val="sdtLocked"/>
                    <w:richText/>
                  </w:sdtPr>
                  <w:sdtContent>
                    <w:p>
                      <w:pPr>
                        <w:ind w:firstLine="709"/>
                        <w:jc w:val="both"/>
                        <w:rPr>
                          <w:color w:val="000000"/>
                        </w:rPr>
                      </w:pPr>
                      <w:sdt>
                        <w:sdtPr>
                          <w:alias w:val="Numeris"/>
                          <w:tag w:val="nr_605952e2f4c54a76adf41d77a53474b2"/>
                          <w:lock w:val="sdtLocked"/>
                          <w:richText/>
                        </w:sdtPr>
                        <w:sdtContent>
                          <w:r>
                            <w:rPr>
                              <w:color w:val="000000"/>
                            </w:rPr>
                            <w:t>20.2</w:t>
                          </w:r>
                        </w:sdtContent>
                      </w:sdt>
                      <w:r>
                        <w:rPr>
                          <w:color w:val="000000"/>
                        </w:rPr>
                        <w:t>. sandarias talpas arba konteinerius saugoti akumuliatoriams, filtrams bei polichlorintų bifenilų ar polichlorintų terfenilų (PCB/PCT) turintiems kondensatoriams;</w:t>
                      </w:r>
                    </w:p>
                  </w:sdtContent>
                </w:sdt>
                <w:sdt>
                  <w:sdtPr>
                    <w:alias w:val="20.3 p."/>
                    <w:tag w:val="part_c325b7b811b54324b9a40bbea9639ab3"/>
                    <w:lock w:val="sdtLocked"/>
                    <w:richText/>
                  </w:sdtPr>
                  <w:sdtContent>
                    <w:p>
                      <w:pPr>
                        <w:ind w:firstLine="709"/>
                        <w:jc w:val="both"/>
                        <w:rPr>
                          <w:color w:val="000000"/>
                        </w:rPr>
                      </w:pPr>
                      <w:sdt>
                        <w:sdtPr>
                          <w:alias w:val="Numeris"/>
                          <w:tag w:val="nr_c325b7b811b54324b9a40bbea9639ab3"/>
                          <w:lock w:val="sdtLocked"/>
                          <w:richText/>
                        </w:sdtPr>
                        <w:sdtContent>
                          <w:r>
                            <w:rPr>
                              <w:color w:val="000000"/>
                            </w:rPr>
                            <w:t>20.3</w:t>
                          </w:r>
                        </w:sdtContent>
                      </w:sdt>
                      <w:r>
                        <w:rPr>
                          <w:color w:val="000000"/>
                        </w:rPr>
                        <w:t>. sandarias talpas izoliuotai saugoti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a04ada2418b6405a91799acb54b9ca31"/>
                    <w:lock w:val="sdtLocked"/>
                    <w:richText/>
                  </w:sdtPr>
                  <w:sdtContent>
                    <w:p>
                      <w:pPr>
                        <w:ind w:firstLine="709"/>
                        <w:jc w:val="both"/>
                        <w:rPr>
                          <w:color w:val="000000"/>
                        </w:rPr>
                      </w:pPr>
                      <w:sdt>
                        <w:sdtPr>
                          <w:alias w:val="Numeris"/>
                          <w:tag w:val="nr_a04ada2418b6405a91799acb54b9ca31"/>
                          <w:lock w:val="sdtLocked"/>
                          <w:richText/>
                        </w:sdtPr>
                        <w:sdtContent>
                          <w:r>
                            <w:t>20.4</w:t>
                          </w:r>
                        </w:sdtContent>
                      </w:sdt>
                      <w:r>
                        <w:t xml:space="preserve"> nutekėjusių skysčių surinkimo įrenginius bei priemones, užtikrinančias aplinkos apsaugą nuo naftos produktų ir kitų teršalų patekimo;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0.5 p."/>
                    <w:tag w:val="part_b1da026193d045b4b1373c9134b73f54"/>
                    <w:lock w:val="sdtLocked"/>
                    <w:richText/>
                  </w:sdtPr>
                  <w:sdtContent>
                    <w:p>
                      <w:pPr>
                        <w:ind w:firstLine="709"/>
                        <w:jc w:val="both"/>
                        <w:rPr>
                          <w:color w:val="000000"/>
                        </w:rPr>
                      </w:pPr>
                      <w:sdt>
                        <w:sdtPr>
                          <w:alias w:val="Numeris"/>
                          <w:tag w:val="nr_b1da026193d045b4b1373c9134b73f54"/>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Content>
            </w:sdt>
            <w:sdt>
              <w:sdtPr>
                <w:alias w:val="21 p."/>
                <w:tag w:val="part_db9fc7a3c6864d2abed79dad5b0abee7"/>
                <w:lock w:val="sdtLocked"/>
                <w:richText/>
              </w:sdtPr>
              <w:sdtContent>
                <w:p>
                  <w:pPr>
                    <w:ind w:firstLine="709"/>
                    <w:jc w:val="both"/>
                    <w:rPr>
                      <w:color w:val="000000"/>
                    </w:rPr>
                  </w:pPr>
                  <w:sdt>
                    <w:sdtPr>
                      <w:alias w:val="Numeris"/>
                      <w:tag w:val="nr_db9fc7a3c6864d2abed79dad5b0abee7"/>
                      <w:lock w:val="sdtLocked"/>
                      <w:richText/>
                    </w:sdtPr>
                    <w:sdtContent>
                      <w:r>
                        <w:rPr>
                          <w:color w:val="000000"/>
                        </w:rPr>
                        <w:t>21</w:t>
                      </w:r>
                    </w:sdtContent>
                  </w:sdt>
                  <w:r>
                    <w:rPr>
                      <w:color w:val="000000"/>
                    </w:rPr>
                    <w:t>. Iš eksploatuoti netinkamų transporto priemonių pašalinti skysčiai, nurodyti šių Taisyklių 20.3 punkte, turi būti surenkami ir saugomi atskirai, jų negalima maišyti tarpusavyje ar su kitais skysčiais.</w:t>
                  </w:r>
                </w:p>
              </w:sdtContent>
            </w:sdt>
            <w:sdt>
              <w:sdtPr>
                <w:alias w:val="22 p."/>
                <w:tag w:val="part_60020af3bf9f48039d30542d1dcd71ab"/>
                <w:lock w:val="sdtLocked"/>
                <w:richText/>
              </w:sdtPr>
              <w:sdtContent>
                <w:p>
                  <w:pPr>
                    <w:ind w:firstLine="709"/>
                    <w:jc w:val="both"/>
                    <w:rPr>
                      <w:color w:val="000000"/>
                    </w:rPr>
                  </w:pPr>
                  <w:sdt>
                    <w:sdtPr>
                      <w:alias w:val="Numeris"/>
                      <w:tag w:val="nr_60020af3bf9f48039d30542d1dcd71ab"/>
                      <w:lock w:val="sdtLocked"/>
                      <w:richText/>
                    </w:sdtPr>
                    <w:sdtContent>
                      <w:r>
                        <w:rPr>
                          <w:color w:val="000000"/>
                        </w:rPr>
                        <w:t>22</w:t>
                      </w:r>
                    </w:sdtContent>
                  </w:sdt>
                  <w:r>
                    <w:rPr>
                      <w:color w:val="000000"/>
                    </w:rPr>
                    <w:t>. Eksploatuoti netinkamų transporto priemonių apdorojimo metu surinktos pavojingos atliekos turi būti saugomos ir ženklinamos pagal [6.3.] reikalavimus.</w:t>
                  </w:r>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7636cac2726d482db3c450e144235fd3"/>
                <w:lock w:val="sdtLocked"/>
                <w:richText/>
              </w:sdtPr>
              <w:sdtContent>
                <w:p>
                  <w:pPr>
                    <w:ind w:firstLine="709"/>
                    <w:jc w:val="both"/>
                    <w:rPr>
                      <w:color w:val="000000"/>
                    </w:rPr>
                  </w:pPr>
                  <w:sdt>
                    <w:sdtPr>
                      <w:alias w:val="Numeris"/>
                      <w:tag w:val="nr_7636cac2726d482db3c450e144235fd3"/>
                      <w:lock w:val="sdtLocked"/>
                      <w:richText/>
                    </w:sdtPr>
                    <w:sdtContent>
                      <w:r>
                        <w:rPr>
                          <w:color w:val="000000"/>
                        </w:rPr>
                        <w:t>24</w:t>
                      </w:r>
                    </w:sdtContent>
                  </w:sdt>
                  <w:r>
                    <w:rPr>
                      <w:color w:val="000000"/>
                    </w:rPr>
                    <w:t>. Pavojingų atliekų saugojimo zona turi būti patalpa arba aptverta, apšviesta ir saugoma teritorija, uždengta lengvų konstrukcijų stogeliu, saugančiu nuo atmosferos kritulių ir tiesioginių saulės spindulių.</w:t>
                  </w:r>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80ff6487e92e46e3b61c6d0879e3fc80"/>
                <w:lock w:val="sdtLocked"/>
                <w:richText/>
              </w:sdtPr>
              <w:sdtContent>
                <w:p>
                  <w:pPr>
                    <w:ind w:firstLine="709"/>
                    <w:jc w:val="both"/>
                    <w:rPr>
                      <w:color w:val="000000"/>
                    </w:rPr>
                  </w:pPr>
                  <w:sdt>
                    <w:sdtPr>
                      <w:alias w:val="Numeris"/>
                      <w:tag w:val="nr_80ff6487e92e46e3b61c6d0879e3fc80"/>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saugomi pavojingų atliekų saugojimo zonoje iki perdavimo atitinkamas pavojingas atliekas tvarkančioms įmonėms. Deginti sorbentus arba vežti juos į sąvartyną draudžiama.</w:t>
                  </w:r>
                </w:p>
                <w:p>
                  <w:pPr>
                    <w:ind w:firstLine="709"/>
                    <w:jc w:val="both"/>
                    <w:rPr>
                      <w:color w:val="000000"/>
                    </w:rPr>
                  </w:pPr>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bd08b2b7c573417188273c31a76fd656"/>
                    <w:lock w:val="sdtLocked"/>
                    <w:richText/>
                  </w:sdtPr>
                  <w:sdtContent>
                    <w:p>
                      <w:pPr>
                        <w:ind w:firstLine="709"/>
                        <w:jc w:val="both"/>
                        <w:rPr>
                          <w:color w:val="000000"/>
                        </w:rPr>
                      </w:pPr>
                      <w:sdt>
                        <w:sdtPr>
                          <w:alias w:val="Numeris"/>
                          <w:tag w:val="nr_bd08b2b7c573417188273c31a76fd656"/>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saugojimas, išskyrus atvejus, kai šie skysčiai turi likti dalyse, kurios bus pakartotinai naudojamos;</w:t>
                      </w:r>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3e6a5c3780fb41b0ae28db818654e6b9"/>
            <w:lock w:val="sdtLocked"/>
            <w:richText/>
          </w:sdtPr>
          <w:sdtContent>
            <w:p>
              <w:pPr>
                <w:jc w:val="center"/>
                <w:rPr>
                  <w:b/>
                  <w:caps/>
                  <w:color w:val="000000"/>
                </w:rPr>
              </w:pPr>
              <w:sdt>
                <w:sdtPr>
                  <w:alias w:val="Numeris"/>
                  <w:tag w:val="nr_3e6a5c3780fb41b0ae28db818654e6b9"/>
                  <w:lock w:val="sdtLocked"/>
                  <w:richText/>
                </w:sdtPr>
                <w:sdtContent>
                  <w:r>
                    <w:rPr>
                      <w:b/>
                      <w:caps/>
                      <w:color w:val="000000"/>
                    </w:rPr>
                    <w:t>VI</w:t>
                  </w:r>
                </w:sdtContent>
              </w:sdt>
              <w:r>
                <w:rPr>
                  <w:b/>
                  <w:caps/>
                  <w:color w:val="000000"/>
                </w:rPr>
                <w:t xml:space="preserve">. </w:t>
              </w:r>
              <w:sdt>
                <w:sdtPr>
                  <w:alias w:val="Pavadinimas"/>
                  <w:tag w:val="title_3e6a5c3780fb41b0ae28db818654e6b9"/>
                  <w:lock w:val="sdtLocked"/>
                  <w:richText/>
                </w:sdtPr>
                <w:sdtContent>
                  <w:r>
                    <w:rPr>
                      <w:b/>
                      <w:caps/>
                      <w:color w:val="000000"/>
                    </w:rPr>
                    <w:t>IŠMONTAVIMO INFORMACIJOS TEIKIMAS</w:t>
                  </w:r>
                </w:sdtContent>
              </w:sdt>
            </w:p>
            <w:p>
              <w:pPr>
                <w:ind w:firstLine="709"/>
                <w:jc w:val="both"/>
                <w:rPr>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78a3d5ad0f754ce7bb8532897d9e7760"/>
            <w:lock w:val="sdtLocked"/>
            <w:richText/>
          </w:sdtPr>
          <w:sdtContent>
            <w:p>
              <w:pPr>
                <w:jc w:val="center"/>
                <w:rPr>
                  <w:b/>
                  <w:caps/>
                  <w:color w:val="000000"/>
                </w:rPr>
              </w:pPr>
              <w:sdt>
                <w:sdtPr>
                  <w:alias w:val="Numeris"/>
                  <w:tag w:val="nr_78a3d5ad0f754ce7bb8532897d9e7760"/>
                  <w:lock w:val="sdtLocked"/>
                  <w:richText/>
                </w:sdtPr>
                <w:sdtContent>
                  <w:r>
                    <w:rPr>
                      <w:b/>
                      <w:caps/>
                      <w:color w:val="000000"/>
                    </w:rPr>
                    <w:t>VII</w:t>
                  </w:r>
                </w:sdtContent>
              </w:sdt>
              <w:r>
                <w:rPr>
                  <w:b/>
                  <w:caps/>
                  <w:color w:val="000000"/>
                </w:rPr>
                <w:t xml:space="preserve">. </w:t>
              </w:r>
              <w:sdt>
                <w:sdtPr>
                  <w:alias w:val="Pavadinimas"/>
                  <w:tag w:val="title_78a3d5ad0f754ce7bb8532897d9e7760"/>
                  <w:lock w:val="sdtLocked"/>
                  <w:richText/>
                </w:sdtPr>
                <w:sdtContent>
                  <w:r>
                    <w:rPr>
                      <w:b/>
                      <w:caps/>
                      <w:color w:val="000000"/>
                    </w:rPr>
                    <w:t>PIRMINĖ ATLIEKŲ APSKAITA</w:t>
                  </w:r>
                </w:sdtContent>
              </w:sdt>
            </w:p>
            <w:p>
              <w:pPr>
                <w:ind w:firstLine="709"/>
                <w:jc w:val="both"/>
                <w:rPr>
                  <w:color w:val="000000"/>
                </w:rPr>
              </w:pPr>
            </w:p>
            <w:sdt>
              <w:sdtPr>
                <w:alias w:val="40 p."/>
                <w:tag w:val="part_cd47f757649a4ef6a1a4f01dcbf2861f"/>
                <w:lock w:val="sdtLocked"/>
                <w:richText/>
              </w:sdtPr>
              <w:sdtContent>
                <w:p>
                  <w:pPr>
                    <w:ind w:firstLine="709"/>
                    <w:jc w:val="both"/>
                    <w:rPr>
                      <w:color w:val="000000"/>
                    </w:rPr>
                  </w:pPr>
                  <w:sdt>
                    <w:sdtPr>
                      <w:alias w:val="Numeris"/>
                      <w:tag w:val="nr_cd47f757649a4ef6a1a4f01dcbf2861f"/>
                      <w:lock w:val="sdtLocked"/>
                      <w:richText/>
                    </w:sdtPr>
                    <w:sdtContent>
                      <w:r>
                        <w:rPr>
                          <w:color w:val="000000"/>
                        </w:rPr>
                        <w:t>40</w:t>
                      </w:r>
                    </w:sdtContent>
                  </w:sdt>
                  <w:r>
                    <w:rPr>
                      <w:color w:val="000000"/>
                    </w:rPr>
                    <w:t>. Eksploatuoti netinkamų transporto priemonių surinkimo ir apdorojimo įmonės turi pildyti pirminės atliekų apskaitos žurnalą pagal [6.3.] reikalavimus nepriklausomai nuo jose dirbančių darbuotojų skaičiaus.</w:t>
                  </w:r>
                </w:p>
              </w:sdtContent>
            </w:sdt>
            <w:sdt>
              <w:sdtPr>
                <w:alias w:val="41 p."/>
                <w:tag w:val="part_fb6739e0c51a453287cc731e4633e8e0"/>
                <w:lock w:val="sdtLocked"/>
                <w:richText/>
              </w:sdtPr>
              <w:sdtContent>
                <w:p>
                  <w:pPr>
                    <w:ind w:firstLine="709"/>
                    <w:jc w:val="both"/>
                    <w:rPr>
                      <w:color w:val="000000"/>
                    </w:rPr>
                  </w:pPr>
                  <w:sdt>
                    <w:sdtPr>
                      <w:alias w:val="Numeris"/>
                      <w:tag w:val="nr_fb6739e0c51a453287cc731e4633e8e0"/>
                      <w:lock w:val="sdtLocked"/>
                      <w:richText/>
                    </w:sdtPr>
                    <w:sdtContent>
                      <w:r>
                        <w:rPr>
                          <w:color w:val="000000"/>
                        </w:rPr>
                        <w:t>41</w:t>
                      </w:r>
                    </w:sdtContent>
                  </w:sdt>
                  <w:r>
                    <w:rPr>
                      <w:color w:val="000000"/>
                    </w:rPr>
                    <w:t>. Eksploatuoti netinkamų transporto priemonių apdorojimo įmonės turi pildyti pirminės atliekų apskaitos žurnalo priedą, kurio forma pateikta šių Taisyklių 2 priede.</w:t>
                  </w:r>
                </w:p>
                <w:p>
                  <w:pPr>
                    <w:ind w:firstLine="709"/>
                    <w:jc w:val="both"/>
                    <w:rPr>
                      <w:color w:val="000000"/>
                    </w:rPr>
                  </w:pPr>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b72886234c5844479b48b2f3955ca2a7"/>
                <w:lock w:val="sdtLocked"/>
                <w:richText/>
              </w:sdtPr>
              <w:sdtContent>
                <w:p>
                  <w:pPr>
                    <w:ind w:firstLine="709"/>
                    <w:jc w:val="both"/>
                    <w:rPr>
                      <w:color w:val="000000"/>
                    </w:rPr>
                  </w:pPr>
                  <w:sdt>
                    <w:sdtPr>
                      <w:alias w:val="Numeris"/>
                      <w:tag w:val="nr_b72886234c5844479b48b2f3955ca2a7"/>
                      <w:lock w:val="sdtLocked"/>
                      <w:richText/>
                    </w:sdtPr>
                    <w:sdtContent>
                      <w:r>
                        <w:rPr>
                          <w:color w:val="000000"/>
                        </w:rPr>
                        <w:t>42</w:t>
                      </w:r>
                    </w:sdtContent>
                  </w:sdt>
                  <w:r>
                    <w:rPr>
                      <w:color w:val="000000"/>
                    </w:rPr>
                    <w:t>. Eksploatuoti netinkamų transporto priemonių apdorojimo įmonės turi teikti atliekų apskaitos ataskaitas pagal [6.3.] reikalavimus.</w:t>
                  </w:r>
                </w:p>
              </w:sdtContent>
            </w:sdt>
            <w:sdt>
              <w:sdtPr>
                <w:alias w:val="43 p."/>
                <w:tag w:val="part_4d60b3b526234cd0a9a9b48b3e2ea8fd"/>
                <w:lock w:val="sdtLocked"/>
                <w:richText/>
              </w:sdtPr>
              <w:sdtContent>
                <w:p>
                  <w:pPr>
                    <w:ind w:firstLine="709"/>
                    <w:jc w:val="both"/>
                    <w:rPr>
                      <w:color w:val="000000"/>
                    </w:rPr>
                  </w:pPr>
                  <w:sdt>
                    <w:sdtPr>
                      <w:alias w:val="Numeris"/>
                      <w:tag w:val="nr_4d60b3b526234cd0a9a9b48b3e2ea8fd"/>
                      <w:lock w:val="sdtLocked"/>
                      <w:richText/>
                    </w:sdtPr>
                    <w:sdtContent>
                      <w:r>
                        <w:t>43</w:t>
                      </w:r>
                    </w:sdtContent>
                  </w:sdt>
                  <w:r>
                    <w:t xml:space="preserve">. Kartu su atliekų apskaitos ataskaita, nurodyta šių Taisyklių 42 punkte, kiekviena eksploatuoti netinkamų transporto priemonių apdorojimo įmonė turi pateikti priedą prie atliekų apskaitos ataskaitos, kurio forma pateikta šių Taisyklių 3 priede. Priklausomai nuo vykdytos apdorojimo veiklos kiekviena eksploatuoti netinkamų transporto priemonių apdorojimo įmonė papildomai turi pateikti informaciją, kurios pateikimo forma nurodyta šių Taisyklių 4 ir (ar) 5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37d4c6ca70394e419727b9a8a2bec6ae"/>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37d4c6ca70394e419727b9a8a2bec6ae"/>
              <w:lock w:val="sdtLocked"/>
              <w:richText/>
            </w:sdtPr>
            <w:sdtContent>
              <w:r>
                <w:t>1</w:t>
              </w:r>
            </w:sdtContent>
          </w:sdt>
          <w:r>
            <w:t xml:space="preserve"> priedas</w:t>
          </w:r>
        </w:p>
        <w:p>
          <w:pPr>
            <w:jc w:val="center"/>
          </w:pPr>
        </w:p>
        <w:p>
          <w:pPr>
            <w:jc w:val="center"/>
            <w:rPr>
              <w:b/>
            </w:rPr>
          </w:pPr>
          <w:sdt>
            <w:sdtPr>
              <w:alias w:val="Pavadinimas"/>
              <w:tag w:val="title_37d4c6ca70394e419727b9a8a2bec6ae"/>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rPr>
              <w:sz w:val="20"/>
            </w:rPr>
          </w:pPr>
          <w:r>
            <w:rPr>
              <w:sz w:val="20"/>
            </w:rPr>
            <w:tab/>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A. V.</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sdtContent>
    </w:sdt>
    <w:sdt>
      <w:sdtPr>
        <w:alias w:val="2 pr."/>
        <w:tag w:val="part_0ef6f09213f44bffaaf5696772033919"/>
        <w:lock w:val="sdtLocked"/>
        <w:richText/>
      </w:sdtPr>
      <w:sdtContent>
        <w:p>
          <w:pPr>
            <w:jc w:val="center"/>
            <w:rPr>
              <w:b/>
            </w:rPr>
            <w:sectPr>
              <w:headerReference w:type="even" r:id="rId37"/>
              <w:headerReference w:type="default" r:id="rId38"/>
              <w:footerReference w:type="even" r:id="rId39"/>
              <w:footerReference w:type="default" r:id="rId40"/>
              <w:headerReference w:type="first" r:id="rId41"/>
              <w:footerReference w:type="first" r:id="rId42"/>
              <w:pgSz w:w="11907" w:h="16839"/>
              <w:pgMar w:top="1134" w:right="567" w:bottom="1134" w:left="1701" w:header="567" w:footer="567" w:gutter="0"/>
              <w:cols w:space="1296"/>
              <w:titlePg/>
              <w:docGrid w:linePitch="360"/>
            </w:sectPr>
          </w:pPr>
        </w:p>
        <w:p>
          <w:pPr>
            <w:ind w:firstLine="9923"/>
          </w:pPr>
          <w:r>
            <w:t xml:space="preserve">Eksploatuoti netinkamų transporto priemonių </w:t>
          </w:r>
        </w:p>
        <w:p>
          <w:pPr>
            <w:ind w:firstLine="9923"/>
          </w:pPr>
          <w:r>
            <w:t>tvarkymo taisyklių</w:t>
          </w:r>
        </w:p>
        <w:p>
          <w:pPr>
            <w:ind w:firstLine="9923"/>
            <w:rPr>
              <w:b/>
            </w:rPr>
          </w:pPr>
          <w:sdt>
            <w:sdtPr>
              <w:alias w:val="Numeris"/>
              <w:tag w:val="nr_0ef6f09213f44bffaaf5696772033919"/>
              <w:lock w:val="sdtLocked"/>
              <w:richText/>
            </w:sdtPr>
            <w:sdtContent>
              <w:r>
                <w:t>2</w:t>
              </w:r>
            </w:sdtContent>
          </w:sdt>
          <w:r>
            <w:t xml:space="preserve"> priedas</w:t>
          </w:r>
          <w:r>
            <w:rPr>
              <w:b/>
            </w:rPr>
            <w:t xml:space="preserve"> </w:t>
          </w:r>
        </w:p>
        <w:p>
          <w:pPr>
            <w:ind w:firstLine="5102"/>
            <w:rPr>
              <w:b/>
            </w:rPr>
          </w:pPr>
        </w:p>
        <w:p>
          <w:pPr>
            <w:jc w:val="center"/>
            <w:rPr>
              <w:b/>
            </w:rPr>
          </w:pPr>
          <w:r>
            <w:rPr>
              <w:b/>
            </w:rPr>
            <w:t>PIRMINĖS ATLIEKŲ APSKAITOS ŽURNALO PRIEDAS</w:t>
          </w:r>
        </w:p>
        <w:p>
          <w:pPr>
            <w:tabs>
              <w:tab w:val="right" w:pos="486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jc w:val="center"/>
            <w:rPr>
              <w:b/>
            </w:rPr>
          </w:pPr>
        </w:p>
        <w:sdt>
          <w:sdtPr>
            <w:alias w:val="lentele"/>
            <w:tag w:val="part_063969b6c35d4ee2b9f6bdb2e1f3a6dc"/>
            <w:lock w:val="sdtLocked"/>
            <w:richText/>
          </w:sdtPr>
          <w:sdtContent>
            <w:p>
              <w:pPr>
                <w:jc w:val="center"/>
                <w:rPr>
                  <w:b/>
                </w:rPr>
              </w:pPr>
              <w:sdt>
                <w:sdtPr>
                  <w:alias w:val="Pavadinimas"/>
                  <w:tag w:val="title_063969b6c35d4ee2b9f6bdb2e1f3a6dc"/>
                  <w:lock w:val="sdtLocked"/>
                  <w:richText/>
                </w:sdtPr>
                <w:sdtContent>
                  <w:r>
                    <w:rPr>
                      <w:b/>
                    </w:rPr>
                    <w:t>EKSPLOATUOTI NETINKAMŲ TRANSPORTO PRIEMONIŲ PRIĖMIMAS IR APDOROJIMAS</w:t>
                  </w:r>
                </w:sdtContent>
              </w:sdt>
            </w:p>
            <w:tbl>
              <w:tblPr>
                <w:tblW w:w="16830" w:type="dxa"/>
                <w:tblInd w:w="-69" w:type="dxa"/>
                <w:tblLayout w:type="fixed"/>
                <w:tblLook w:val="04A0" w:firstRow="1" w:lastRow="0" w:firstColumn="1" w:lastColumn="0" w:noHBand="0" w:noVBand="1"/>
              </w:tblPr>
              <w:tblGrid>
                <w:gridCol w:w="745"/>
                <w:gridCol w:w="369"/>
                <w:gridCol w:w="375"/>
                <w:gridCol w:w="375"/>
                <w:gridCol w:w="561"/>
                <w:gridCol w:w="374"/>
                <w:gridCol w:w="561"/>
                <w:gridCol w:w="561"/>
                <w:gridCol w:w="374"/>
                <w:gridCol w:w="710"/>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gridCol w:w="473"/>
              </w:tblGrid>
              <w:tr>
                <w:trPr>
                  <w:cantSplit/>
                  <w:trHeight w:hRule="exact" w:val="363"/>
                </w:trPr>
                <w:tc>
                  <w:tcPr>
                    <w:tcW w:w="744" w:type="dxa"/>
                    <w:vMerge w:val="restart"/>
                  </w:tcPr>
                  <w:p>
                    <w:pPr>
                      <w:rPr>
                        <w:sz w:val="18"/>
                        <w:szCs w:val="18"/>
                      </w:rPr>
                    </w:pPr>
                  </w:p>
                </w:tc>
                <w:tc>
                  <w:tcPr>
                    <w:tcW w:w="368" w:type="dxa"/>
                    <w:vMerge w:val="restart"/>
                    <w:tcBorders>
                      <w:top w:val="single" w:sz="2" w:space="0" w:color="000000"/>
                      <w:left w:val="single" w:sz="2" w:space="0" w:color="000000"/>
                      <w:bottom w:val="single" w:sz="2" w:space="0" w:color="000000"/>
                      <w:right w:val="nil"/>
                    </w:tcBorders>
                    <w:textDirection w:val="btLr"/>
                    <w:hideMark/>
                  </w:tcPr>
                  <w:p>
                    <w:pPr>
                      <w:rPr>
                        <w:sz w:val="18"/>
                        <w:szCs w:val="18"/>
                      </w:rPr>
                    </w:pPr>
                    <w:r>
                      <w:rPr>
                        <w:sz w:val="18"/>
                        <w:szCs w:val="18"/>
                      </w:rPr>
                      <w:t>Eil. Nr.</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Priėmimo data</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Markė, modelis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Registraciją patvirtinančio dokumento numeris</w:t>
                    </w:r>
                  </w:p>
                </w:tc>
                <w:tc>
                  <w:tcPr>
                    <w:tcW w:w="374"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Valstybinis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Identifikavimo (kėbulo) numeris</w:t>
                    </w:r>
                  </w:p>
                </w:tc>
                <w:tc>
                  <w:tcPr>
                    <w:tcW w:w="561" w:type="dxa"/>
                    <w:vMerge w:val="restart"/>
                    <w:tcBorders>
                      <w:top w:val="single" w:sz="2" w:space="0" w:color="000000"/>
                      <w:left w:val="single" w:sz="2" w:space="0" w:color="000000"/>
                      <w:bottom w:val="single" w:sz="2" w:space="0" w:color="000000"/>
                      <w:right w:val="nil"/>
                    </w:tcBorders>
                    <w:textDirection w:val="btLr"/>
                    <w:vAlign w:val="center"/>
                    <w:hideMark/>
                  </w:tcPr>
                  <w:p>
                    <w:pPr>
                      <w:rPr>
                        <w:sz w:val="18"/>
                        <w:szCs w:val="18"/>
                      </w:rPr>
                    </w:pPr>
                    <w:r>
                      <w:rPr>
                        <w:sz w:val="18"/>
                        <w:szCs w:val="18"/>
                      </w:rPr>
                      <w:t>Išduoto sunaikinimo pažymėjimo numeris</w:t>
                    </w:r>
                  </w:p>
                </w:tc>
                <w:tc>
                  <w:tcPr>
                    <w:tcW w:w="374" w:type="dxa"/>
                    <w:vMerge w:val="restart"/>
                    <w:tcBorders>
                      <w:top w:val="single" w:sz="2" w:space="0" w:color="000000"/>
                      <w:left w:val="single" w:sz="2" w:space="0" w:color="000000"/>
                      <w:bottom w:val="single" w:sz="2" w:space="0" w:color="000000"/>
                      <w:right w:val="single" w:sz="8" w:space="0" w:color="000000"/>
                    </w:tcBorders>
                    <w:textDirection w:val="btLr"/>
                    <w:vAlign w:val="center"/>
                    <w:hideMark/>
                  </w:tcPr>
                  <w:p>
                    <w:pPr>
                      <w:rPr>
                        <w:sz w:val="18"/>
                        <w:szCs w:val="18"/>
                      </w:rPr>
                    </w:pPr>
                    <w:r>
                      <w:rPr>
                        <w:sz w:val="18"/>
                        <w:szCs w:val="18"/>
                      </w:rPr>
                      <w:t>Vidutinis automobilio svoris, t</w:t>
                    </w:r>
                  </w:p>
                </w:tc>
                <w:tc>
                  <w:tcPr>
                    <w:tcW w:w="10643" w:type="dxa"/>
                    <w:gridSpan w:val="22"/>
                    <w:tcBorders>
                      <w:top w:val="single" w:sz="2" w:space="0" w:color="000000"/>
                      <w:left w:val="nil"/>
                      <w:bottom w:val="single" w:sz="2" w:space="0" w:color="000000"/>
                      <w:right w:val="single" w:sz="4" w:space="0" w:color="auto"/>
                    </w:tcBorders>
                    <w:vAlign w:val="center"/>
                    <w:hideMark/>
                  </w:tcPr>
                  <w:p>
                    <w:pPr>
                      <w:rPr>
                        <w:sz w:val="18"/>
                        <w:szCs w:val="18"/>
                      </w:rPr>
                    </w:pPr>
                    <w:r>
                      <w:rPr>
                        <w:sz w:val="18"/>
                        <w:szCs w:val="18"/>
                      </w:rPr>
                      <w:t>Panaudotos ir perdirbtos arba perduotos perdirbti dalys ir medžiagos, t</w:t>
                    </w:r>
                  </w:p>
                </w:tc>
                <w:tc>
                  <w:tcPr>
                    <w:tcW w:w="473" w:type="dxa"/>
                    <w:vMerge w:val="restart"/>
                    <w:tcBorders>
                      <w:top w:val="single" w:sz="4" w:space="0" w:color="auto"/>
                      <w:left w:val="single" w:sz="4" w:space="0" w:color="auto"/>
                      <w:bottom w:val="single" w:sz="2" w:space="0" w:color="000000"/>
                      <w:right w:val="single" w:sz="2" w:space="0" w:color="000000"/>
                    </w:tcBorders>
                    <w:textDirection w:val="btLr"/>
                    <w:vAlign w:val="center"/>
                    <w:hideMark/>
                  </w:tcPr>
                  <w:p>
                    <w:pPr>
                      <w:rPr>
                        <w:sz w:val="18"/>
                        <w:szCs w:val="18"/>
                      </w:rPr>
                    </w:pPr>
                    <w:r>
                      <w:rPr>
                        <w:sz w:val="18"/>
                        <w:szCs w:val="18"/>
                      </w:rPr>
                      <w:t>Iš viso pakartotinai panaudotų dalių ir komponentų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perdirbimui ar kitokiam naudojimui dalių ir medžiagų kiekis, t</w:t>
                    </w:r>
                  </w:p>
                </w:tc>
                <w:tc>
                  <w:tcPr>
                    <w:tcW w:w="473" w:type="dxa"/>
                    <w:vMerge w:val="restart"/>
                    <w:tcBorders>
                      <w:top w:val="single" w:sz="4" w:space="0" w:color="auto"/>
                      <w:left w:val="single" w:sz="2" w:space="0" w:color="000000"/>
                      <w:bottom w:val="single" w:sz="2" w:space="0" w:color="000000"/>
                      <w:right w:val="single" w:sz="2" w:space="0" w:color="000000"/>
                    </w:tcBorders>
                    <w:textDirection w:val="btLr"/>
                    <w:vAlign w:val="center"/>
                    <w:hideMark/>
                  </w:tcPr>
                  <w:p>
                    <w:pPr>
                      <w:rPr>
                        <w:sz w:val="18"/>
                        <w:szCs w:val="18"/>
                      </w:rPr>
                    </w:pPr>
                    <w:r>
                      <w:rPr>
                        <w:sz w:val="18"/>
                        <w:szCs w:val="18"/>
                      </w:rPr>
                      <w:t>Iš viso pateiktų naudojimui kurui ar kitais būdais energijai gauti dalių ir medžiagų kiekis, t</w:t>
                    </w:r>
                  </w:p>
                </w:tc>
                <w:tc>
                  <w:tcPr>
                    <w:tcW w:w="473" w:type="dxa"/>
                    <w:vMerge w:val="restart"/>
                    <w:tcBorders>
                      <w:top w:val="single" w:sz="4" w:space="0" w:color="auto"/>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Iš viso susidariusių atliekų, kurios negali būti perdirbtos, kiekis, t</w:t>
                    </w:r>
                  </w:p>
                </w:tc>
              </w:tr>
              <w:tr>
                <w:trPr>
                  <w:cantSplit/>
                  <w:trHeight w:hRule="exact" w:val="4670"/>
                </w:trPr>
                <w:tc>
                  <w:tcPr>
                    <w:tcW w:w="744" w:type="dxa"/>
                    <w:vMerge/>
                    <w:vAlign w:val="center"/>
                    <w:hideMark/>
                  </w:tcPr>
                  <w:p>
                    <w:pPr>
                      <w:rPr>
                        <w:sz w:val="18"/>
                        <w:szCs w:val="18"/>
                      </w:rPr>
                    </w:pPr>
                  </w:p>
                </w:tc>
                <w:tc>
                  <w:tcPr>
                    <w:tcW w:w="368"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561" w:type="dxa"/>
                    <w:vMerge/>
                    <w:tcBorders>
                      <w:top w:val="single" w:sz="2" w:space="0" w:color="000000"/>
                      <w:left w:val="single" w:sz="2" w:space="0" w:color="000000"/>
                      <w:bottom w:val="single" w:sz="2" w:space="0" w:color="000000"/>
                      <w:right w:val="nil"/>
                    </w:tcBorders>
                    <w:vAlign w:val="center"/>
                    <w:hideMark/>
                  </w:tcPr>
                  <w:p>
                    <w:pPr>
                      <w:rPr>
                        <w:sz w:val="18"/>
                        <w:szCs w:val="18"/>
                      </w:rPr>
                    </w:pPr>
                  </w:p>
                </w:tc>
                <w:tc>
                  <w:tcPr>
                    <w:tcW w:w="374" w:type="dxa"/>
                    <w:vMerge/>
                    <w:tcBorders>
                      <w:top w:val="single" w:sz="2" w:space="0" w:color="000000"/>
                      <w:left w:val="single" w:sz="2" w:space="0" w:color="000000"/>
                      <w:bottom w:val="single" w:sz="2" w:space="0" w:color="000000"/>
                      <w:right w:val="single" w:sz="8" w:space="0" w:color="000000"/>
                    </w:tcBorders>
                    <w:vAlign w:val="center"/>
                    <w:hideMark/>
                  </w:tcPr>
                  <w:p>
                    <w:pPr>
                      <w:rPr>
                        <w:sz w:val="18"/>
                        <w:szCs w:val="18"/>
                      </w:rPr>
                    </w:pPr>
                  </w:p>
                </w:tc>
                <w:tc>
                  <w:tcPr>
                    <w:tcW w:w="710" w:type="dxa"/>
                    <w:tcBorders>
                      <w:top w:val="nil"/>
                      <w:left w:val="nil"/>
                      <w:bottom w:val="single" w:sz="2" w:space="0" w:color="000000"/>
                      <w:right w:val="nil"/>
                    </w:tcBorders>
                    <w:textDirection w:val="btLr"/>
                    <w:vAlign w:val="center"/>
                    <w:hideMark/>
                  </w:tcPr>
                  <w:p>
                    <w:pPr>
                      <w:rPr>
                        <w:sz w:val="18"/>
                        <w:szCs w:val="18"/>
                      </w:rPr>
                    </w:pPr>
                    <w:r>
                      <w:rPr>
                        <w:sz w:val="18"/>
                        <w:szCs w:val="18"/>
                      </w:rPr>
                      <w:t>Variklio, pavarų dėžės ir tepalų alyva ( 13 02 04;13 02 05;13 02 06; 13 02 07;13 02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Tepalų filtras (16 01 07),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Aušinamieji skysčiai  (16 01 14; 16 01 15),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Oro įsiurbimo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Stabdžių skystis  (16 01 13),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PCB/PCT (16 01 09),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Degalų filtras (16 01 21),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 xml:space="preserve">Švino akumuliatorius  (16 06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Panaudotas katalizatorius (16 08 01),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Sudedamosios dalys, kuriose yra gyvsidabrio (pvz., elektros lemputės ir prietaisų skydeliai) (16 01 08),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Sprogios sudedamosios dalys (pvz., oro pagalvės) (16 01 10), jei atskiriamos,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Naudotos padangos (16 01 03),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Stabdžių trinkelės (16 01 11; 16 01 12),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Aliuminis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Varis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Laidai (16 01 22), jei atskiriami,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Geležis, plienas (16 01 17),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Plastmasė (16 01 19), jei atskiriama,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Stiklas (16 01 20),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Švinas (16 01 18), jei atskiriamas, t</w:t>
                    </w:r>
                  </w:p>
                </w:tc>
                <w:tc>
                  <w:tcPr>
                    <w:tcW w:w="473" w:type="dxa"/>
                    <w:tcBorders>
                      <w:top w:val="nil"/>
                      <w:left w:val="single" w:sz="2" w:space="0" w:color="000000"/>
                      <w:bottom w:val="single" w:sz="2" w:space="0" w:color="000000"/>
                      <w:right w:val="nil"/>
                    </w:tcBorders>
                    <w:textDirection w:val="btLr"/>
                    <w:vAlign w:val="center"/>
                    <w:hideMark/>
                  </w:tcPr>
                  <w:p>
                    <w:pPr>
                      <w:rPr>
                        <w:sz w:val="18"/>
                        <w:szCs w:val="18"/>
                      </w:rPr>
                    </w:pPr>
                    <w:r>
                      <w:rPr>
                        <w:sz w:val="18"/>
                        <w:szCs w:val="18"/>
                      </w:rPr>
                      <w:t>Kėbulas, parengtas presavimui/smulkinimui, tolimesniam apdorojimui (16 01 17), t</w:t>
                    </w:r>
                  </w:p>
                </w:tc>
                <w:tc>
                  <w:tcPr>
                    <w:tcW w:w="473" w:type="dxa"/>
                    <w:tcBorders>
                      <w:top w:val="nil"/>
                      <w:left w:val="single" w:sz="2" w:space="0" w:color="000000"/>
                      <w:bottom w:val="single" w:sz="2" w:space="0" w:color="000000"/>
                      <w:right w:val="single" w:sz="4" w:space="0" w:color="auto"/>
                    </w:tcBorders>
                    <w:textDirection w:val="btLr"/>
                    <w:vAlign w:val="center"/>
                    <w:hideMark/>
                  </w:tcPr>
                  <w:p>
                    <w:pPr>
                      <w:rPr>
                        <w:sz w:val="18"/>
                        <w:szCs w:val="18"/>
                      </w:rPr>
                    </w:pPr>
                    <w:r>
                      <w:rPr>
                        <w:sz w:val="18"/>
                        <w:szCs w:val="18"/>
                      </w:rPr>
                      <w:t>Kitos medžiagos (nurodyti pavadinimą) (16 01 99), t</w:t>
                    </w:r>
                  </w:p>
                </w:tc>
                <w:tc>
                  <w:tcPr>
                    <w:tcW w:w="473" w:type="dxa"/>
                    <w:vMerge/>
                    <w:tcBorders>
                      <w:top w:val="single" w:sz="4" w:space="0" w:color="auto"/>
                      <w:left w:val="single" w:sz="4" w:space="0" w:color="auto"/>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2" w:space="0" w:color="000000"/>
                    </w:tcBorders>
                    <w:vAlign w:val="center"/>
                    <w:hideMark/>
                  </w:tcPr>
                  <w:p>
                    <w:pPr>
                      <w:rPr>
                        <w:sz w:val="18"/>
                        <w:szCs w:val="18"/>
                      </w:rPr>
                    </w:pPr>
                  </w:p>
                </w:tc>
                <w:tc>
                  <w:tcPr>
                    <w:tcW w:w="473" w:type="dxa"/>
                    <w:vMerge/>
                    <w:tcBorders>
                      <w:top w:val="single" w:sz="4" w:space="0" w:color="auto"/>
                      <w:left w:val="single" w:sz="2" w:space="0" w:color="000000"/>
                      <w:bottom w:val="single" w:sz="2" w:space="0" w:color="000000"/>
                      <w:right w:val="single" w:sz="4" w:space="0" w:color="auto"/>
                    </w:tcBorders>
                    <w:vAlign w:val="center"/>
                    <w:hideMark/>
                  </w:tcPr>
                  <w:p>
                    <w:pPr>
                      <w:rPr>
                        <w:sz w:val="18"/>
                        <w:szCs w:val="18"/>
                      </w:rPr>
                    </w:pPr>
                  </w:p>
                </w:tc>
              </w:tr>
              <w:tr>
                <w:trPr>
                  <w:cantSplit/>
                  <w:trHeight w:val="262"/>
                </w:trPr>
                <w:tc>
                  <w:tcPr>
                    <w:tcW w:w="744" w:type="dxa"/>
                  </w:tcPr>
                  <w:p>
                    <w:pPr>
                      <w:rPr>
                        <w:sz w:val="18"/>
                        <w:szCs w:val="18"/>
                      </w:rPr>
                    </w:pPr>
                  </w:p>
                </w:tc>
                <w:tc>
                  <w:tcPr>
                    <w:tcW w:w="368" w:type="dxa"/>
                    <w:tcBorders>
                      <w:top w:val="nil"/>
                      <w:left w:val="single" w:sz="2" w:space="0" w:color="000000"/>
                      <w:bottom w:val="single" w:sz="2" w:space="0" w:color="000000"/>
                      <w:right w:val="nil"/>
                    </w:tcBorders>
                    <w:vAlign w:val="center"/>
                    <w:hideMark/>
                  </w:tcPr>
                  <w:p>
                    <w:pPr>
                      <w:rPr>
                        <w:sz w:val="18"/>
                        <w:szCs w:val="18"/>
                      </w:rPr>
                    </w:pPr>
                    <w:r>
                      <w:rPr>
                        <w:sz w:val="18"/>
                        <w:szCs w:val="18"/>
                      </w:rPr>
                      <w:t>1</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2</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3</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4</w:t>
                    </w:r>
                  </w:p>
                </w:tc>
                <w:tc>
                  <w:tcPr>
                    <w:tcW w:w="374" w:type="dxa"/>
                    <w:tcBorders>
                      <w:top w:val="nil"/>
                      <w:left w:val="single" w:sz="2" w:space="0" w:color="000000"/>
                      <w:bottom w:val="single" w:sz="2" w:space="0" w:color="000000"/>
                      <w:right w:val="nil"/>
                    </w:tcBorders>
                    <w:vAlign w:val="center"/>
                    <w:hideMark/>
                  </w:tcPr>
                  <w:p>
                    <w:pPr>
                      <w:rPr>
                        <w:sz w:val="18"/>
                        <w:szCs w:val="18"/>
                      </w:rPr>
                    </w:pPr>
                    <w:r>
                      <w:rPr>
                        <w:sz w:val="18"/>
                        <w:szCs w:val="18"/>
                      </w:rPr>
                      <w:t>5</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6</w:t>
                    </w:r>
                  </w:p>
                </w:tc>
                <w:tc>
                  <w:tcPr>
                    <w:tcW w:w="561" w:type="dxa"/>
                    <w:tcBorders>
                      <w:top w:val="nil"/>
                      <w:left w:val="single" w:sz="2" w:space="0" w:color="000000"/>
                      <w:bottom w:val="single" w:sz="2" w:space="0" w:color="000000"/>
                      <w:right w:val="nil"/>
                    </w:tcBorders>
                    <w:vAlign w:val="center"/>
                    <w:hideMark/>
                  </w:tcPr>
                  <w:p>
                    <w:pPr>
                      <w:rPr>
                        <w:sz w:val="18"/>
                        <w:szCs w:val="18"/>
                      </w:rPr>
                    </w:pPr>
                    <w:r>
                      <w:rPr>
                        <w:sz w:val="18"/>
                        <w:szCs w:val="18"/>
                      </w:rPr>
                      <w:t>7</w:t>
                    </w:r>
                  </w:p>
                </w:tc>
                <w:tc>
                  <w:tcPr>
                    <w:tcW w:w="374" w:type="dxa"/>
                    <w:tcBorders>
                      <w:top w:val="nil"/>
                      <w:left w:val="single" w:sz="2" w:space="0" w:color="000000"/>
                      <w:bottom w:val="single" w:sz="2" w:space="0" w:color="000000"/>
                      <w:right w:val="single" w:sz="8" w:space="0" w:color="000000"/>
                    </w:tcBorders>
                    <w:vAlign w:val="center"/>
                    <w:hideMark/>
                  </w:tcPr>
                  <w:p>
                    <w:pPr>
                      <w:rPr>
                        <w:sz w:val="18"/>
                        <w:szCs w:val="18"/>
                      </w:rPr>
                    </w:pPr>
                    <w:r>
                      <w:rPr>
                        <w:sz w:val="18"/>
                        <w:szCs w:val="18"/>
                      </w:rPr>
                      <w:t>8</w:t>
                    </w:r>
                  </w:p>
                </w:tc>
                <w:tc>
                  <w:tcPr>
                    <w:tcW w:w="710" w:type="dxa"/>
                    <w:tcBorders>
                      <w:top w:val="nil"/>
                      <w:left w:val="nil"/>
                      <w:bottom w:val="single" w:sz="2" w:space="0" w:color="000000"/>
                      <w:right w:val="nil"/>
                    </w:tcBorders>
                    <w:vAlign w:val="center"/>
                    <w:hideMark/>
                  </w:tcPr>
                  <w:p>
                    <w:pPr>
                      <w:rPr>
                        <w:sz w:val="18"/>
                        <w:szCs w:val="18"/>
                      </w:rPr>
                    </w:pPr>
                    <w:r>
                      <w:rPr>
                        <w:sz w:val="18"/>
                        <w:szCs w:val="18"/>
                      </w:rPr>
                      <w:t>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19</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20</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21</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22</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23</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24</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25</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26</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27</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28</w:t>
                    </w:r>
                  </w:p>
                </w:tc>
                <w:tc>
                  <w:tcPr>
                    <w:tcW w:w="473" w:type="dxa"/>
                    <w:tcBorders>
                      <w:top w:val="nil"/>
                      <w:left w:val="single" w:sz="2" w:space="0" w:color="000000"/>
                      <w:bottom w:val="single" w:sz="2" w:space="0" w:color="000000"/>
                      <w:right w:val="nil"/>
                    </w:tcBorders>
                    <w:vAlign w:val="center"/>
                    <w:hideMark/>
                  </w:tcPr>
                  <w:p>
                    <w:pPr>
                      <w:rPr>
                        <w:sz w:val="18"/>
                        <w:szCs w:val="18"/>
                      </w:rPr>
                    </w:pPr>
                    <w:r>
                      <w:rPr>
                        <w:sz w:val="18"/>
                        <w:szCs w:val="18"/>
                      </w:rPr>
                      <w:t>29</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30</w:t>
                    </w:r>
                  </w:p>
                </w:tc>
                <w:tc>
                  <w:tcPr>
                    <w:tcW w:w="473" w:type="dxa"/>
                    <w:tcBorders>
                      <w:top w:val="nil"/>
                      <w:left w:val="single" w:sz="4" w:space="0" w:color="auto"/>
                      <w:bottom w:val="single" w:sz="2" w:space="0" w:color="000000"/>
                      <w:right w:val="single" w:sz="2" w:space="0" w:color="000000"/>
                    </w:tcBorders>
                    <w:vAlign w:val="center"/>
                    <w:hideMark/>
                  </w:tcPr>
                  <w:p>
                    <w:pPr>
                      <w:rPr>
                        <w:sz w:val="18"/>
                        <w:szCs w:val="18"/>
                      </w:rPr>
                    </w:pPr>
                    <w:r>
                      <w:rPr>
                        <w:sz w:val="18"/>
                        <w:szCs w:val="18"/>
                      </w:rPr>
                      <w:t>31</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32</w:t>
                    </w:r>
                  </w:p>
                </w:tc>
                <w:tc>
                  <w:tcPr>
                    <w:tcW w:w="473" w:type="dxa"/>
                    <w:tcBorders>
                      <w:top w:val="nil"/>
                      <w:left w:val="single" w:sz="2" w:space="0" w:color="000000"/>
                      <w:bottom w:val="single" w:sz="2" w:space="0" w:color="000000"/>
                      <w:right w:val="single" w:sz="2" w:space="0" w:color="000000"/>
                    </w:tcBorders>
                    <w:vAlign w:val="center"/>
                    <w:hideMark/>
                  </w:tcPr>
                  <w:p>
                    <w:pPr>
                      <w:rPr>
                        <w:sz w:val="18"/>
                        <w:szCs w:val="18"/>
                      </w:rPr>
                    </w:pPr>
                    <w:r>
                      <w:rPr>
                        <w:sz w:val="18"/>
                        <w:szCs w:val="18"/>
                      </w:rPr>
                      <w:t>33</w:t>
                    </w:r>
                  </w:p>
                </w:tc>
                <w:tc>
                  <w:tcPr>
                    <w:tcW w:w="473" w:type="dxa"/>
                    <w:tcBorders>
                      <w:top w:val="nil"/>
                      <w:left w:val="single" w:sz="2" w:space="0" w:color="000000"/>
                      <w:bottom w:val="single" w:sz="2" w:space="0" w:color="000000"/>
                      <w:right w:val="single" w:sz="4" w:space="0" w:color="auto"/>
                    </w:tcBorders>
                    <w:vAlign w:val="center"/>
                    <w:hideMark/>
                  </w:tcPr>
                  <w:p>
                    <w:pPr>
                      <w:rPr>
                        <w:sz w:val="18"/>
                        <w:szCs w:val="18"/>
                      </w:rPr>
                    </w:pPr>
                    <w:r>
                      <w:rPr>
                        <w:sz w:val="18"/>
                        <w:szCs w:val="18"/>
                      </w:rPr>
                      <w:t>34</w:t>
                    </w:r>
                  </w:p>
                </w:tc>
              </w:tr>
              <w:tr>
                <w:trPr>
                  <w:cantSplit/>
                  <w:trHeight w:val="294"/>
                </w:trPr>
                <w:tc>
                  <w:tcPr>
                    <w:tcW w:w="744" w:type="dxa"/>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70"/>
                </w:trPr>
                <w:tc>
                  <w:tcPr>
                    <w:tcW w:w="744" w:type="dxa"/>
                    <w:tcBorders>
                      <w:top w:val="nil"/>
                      <w:left w:val="nil"/>
                      <w:bottom w:val="single" w:sz="2" w:space="0" w:color="000000"/>
                      <w:right w:val="nil"/>
                    </w:tcBorders>
                  </w:tcPr>
                  <w:p>
                    <w:pPr>
                      <w:rPr>
                        <w:sz w:val="18"/>
                        <w:szCs w:val="18"/>
                      </w:rPr>
                    </w:pP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2" w:space="0" w:color="000000"/>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r>
              <w:tr>
                <w:trPr>
                  <w:cantSplit/>
                  <w:trHeight w:val="286"/>
                </w:trPr>
                <w:tc>
                  <w:tcPr>
                    <w:tcW w:w="744" w:type="dxa"/>
                    <w:tcBorders>
                      <w:top w:val="nil"/>
                      <w:left w:val="single" w:sz="2" w:space="0" w:color="000000"/>
                      <w:bottom w:val="single" w:sz="2" w:space="0" w:color="000000"/>
                      <w:right w:val="nil"/>
                    </w:tcBorders>
                    <w:hideMark/>
                  </w:tcPr>
                  <w:p>
                    <w:pPr>
                      <w:rPr>
                        <w:sz w:val="18"/>
                        <w:szCs w:val="18"/>
                      </w:rPr>
                    </w:pPr>
                    <w:r>
                      <w:rPr>
                        <w:sz w:val="18"/>
                        <w:szCs w:val="18"/>
                      </w:rPr>
                      <w:t>Iš viso kiekis, t</w:t>
                    </w:r>
                  </w:p>
                </w:tc>
                <w:tc>
                  <w:tcPr>
                    <w:tcW w:w="368"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561" w:type="dxa"/>
                    <w:tcBorders>
                      <w:top w:val="nil"/>
                      <w:left w:val="single" w:sz="2" w:space="0" w:color="000000"/>
                      <w:bottom w:val="single" w:sz="2" w:space="0" w:color="000000"/>
                      <w:right w:val="nil"/>
                    </w:tcBorders>
                  </w:tcPr>
                  <w:p>
                    <w:pPr>
                      <w:rPr>
                        <w:sz w:val="18"/>
                        <w:szCs w:val="18"/>
                      </w:rPr>
                    </w:pPr>
                  </w:p>
                </w:tc>
                <w:tc>
                  <w:tcPr>
                    <w:tcW w:w="374" w:type="dxa"/>
                    <w:tcBorders>
                      <w:top w:val="nil"/>
                      <w:left w:val="single" w:sz="2" w:space="0" w:color="000000"/>
                      <w:bottom w:val="single" w:sz="2" w:space="0" w:color="000000"/>
                      <w:right w:val="single" w:sz="8" w:space="0" w:color="000000"/>
                    </w:tcBorders>
                  </w:tcPr>
                  <w:p>
                    <w:pPr>
                      <w:rPr>
                        <w:sz w:val="18"/>
                        <w:szCs w:val="18"/>
                      </w:rPr>
                    </w:pPr>
                  </w:p>
                </w:tc>
                <w:tc>
                  <w:tcPr>
                    <w:tcW w:w="710" w:type="dxa"/>
                    <w:tcBorders>
                      <w:top w:val="nil"/>
                      <w:left w:val="nil"/>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nil"/>
                    </w:tcBorders>
                  </w:tcPr>
                  <w:p>
                    <w:pPr>
                      <w:rPr>
                        <w:sz w:val="18"/>
                        <w:szCs w:val="18"/>
                      </w:rPr>
                    </w:pPr>
                  </w:p>
                </w:tc>
                <w:tc>
                  <w:tcPr>
                    <w:tcW w:w="473" w:type="dxa"/>
                    <w:tcBorders>
                      <w:top w:val="nil"/>
                      <w:left w:val="single" w:sz="2" w:space="0" w:color="000000"/>
                      <w:bottom w:val="single" w:sz="2" w:space="0" w:color="000000"/>
                      <w:right w:val="single" w:sz="4" w:space="0" w:color="auto"/>
                    </w:tcBorders>
                  </w:tcPr>
                  <w:p>
                    <w:pPr>
                      <w:rPr>
                        <w:sz w:val="18"/>
                        <w:szCs w:val="18"/>
                      </w:rPr>
                    </w:pPr>
                  </w:p>
                </w:tc>
                <w:tc>
                  <w:tcPr>
                    <w:tcW w:w="473" w:type="dxa"/>
                    <w:tcBorders>
                      <w:top w:val="nil"/>
                      <w:left w:val="single" w:sz="4" w:space="0" w:color="auto"/>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2" w:space="0" w:color="000000"/>
                    </w:tcBorders>
                  </w:tcPr>
                  <w:p>
                    <w:pPr>
                      <w:rPr>
                        <w:sz w:val="18"/>
                        <w:szCs w:val="18"/>
                      </w:rPr>
                    </w:pPr>
                  </w:p>
                </w:tc>
                <w:tc>
                  <w:tcPr>
                    <w:tcW w:w="473" w:type="dxa"/>
                    <w:tcBorders>
                      <w:top w:val="nil"/>
                      <w:left w:val="single" w:sz="2" w:space="0" w:color="000000"/>
                      <w:bottom w:val="single" w:sz="4" w:space="0" w:color="auto"/>
                      <w:right w:val="single" w:sz="4" w:space="0" w:color="auto"/>
                    </w:tcBorders>
                  </w:tcPr>
                  <w:p>
                    <w:pPr>
                      <w:rPr>
                        <w:sz w:val="18"/>
                        <w:szCs w:val="18"/>
                      </w:rPr>
                    </w:pPr>
                  </w:p>
                </w:tc>
              </w:tr>
            </w:tbl>
            <w:p>
              <w:pPr>
                <w:ind w:firstLine="709"/>
              </w:pPr>
            </w:p>
            <w:p>
              <w:pPr>
                <w:jc w:val="center"/>
                <w:rPr>
                  <w:b/>
                </w:rPr>
                <w:sectPr>
                  <w:pgSz w:w="16839" w:h="11907" w:orient="landscape"/>
                  <w:pgMar w:top="1701" w:right="1134" w:bottom="567" w:left="1134" w:header="567" w:footer="567" w:gutter="0"/>
                  <w:cols w:space="1296"/>
                  <w:titlePg/>
                  <w:docGrid w:linePitch="360"/>
                </w:sectPr>
              </w:pPr>
            </w:p>
            <w:p>
              <w:pPr>
                <w:jc w:val="center"/>
                <w:rPr>
                  <w:b/>
                </w:rPr>
              </w:pPr>
            </w:p>
          </w:sdtContent>
        </w:sdt>
        <w:sdt>
          <w:sdtPr>
            <w:alias w:val="lentele"/>
            <w:tag w:val="part_05faa03292e849fc9812db25cdf247be"/>
            <w:lock w:val="sdtLocked"/>
            <w:richText/>
          </w:sdtPr>
          <w:sdtContent>
            <w:p>
              <w:pPr>
                <w:jc w:val="center"/>
                <w:rPr>
                  <w:b/>
                </w:rPr>
              </w:pPr>
              <w:sdt>
                <w:sdtPr>
                  <w:alias w:val="Pavadinimas"/>
                  <w:tag w:val="title_05faa03292e849fc9812db25cdf247be"/>
                  <w:lock w:val="sdtLocked"/>
                  <w:richText/>
                </w:sdtPr>
                <w:sdtContent>
                  <w:r>
                    <w:rPr>
                      <w:b/>
                    </w:rPr>
                    <w:t>PIRMINĖS ATLIEKŲ APSKAITOS ŽURNALO PRIEDO UŽPILDYMO TVARKA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0"/>
                <w:gridCol w:w="2727"/>
                <w:gridCol w:w="6350"/>
              </w:tblGrid>
              <w:tr>
                <w:tc>
                  <w:tcPr>
                    <w:tcW w:w="0" w:type="auto"/>
                    <w:gridSpan w:val="2"/>
                  </w:tcPr>
                  <w:p>
                    <w:pPr>
                      <w:ind w:firstLine="709"/>
                      <w:jc w:val="both"/>
                      <w:rPr>
                        <w:b/>
                        <w:sz w:val="20"/>
                        <w:lang w:eastAsia="lt-LT"/>
                      </w:rPr>
                    </w:pPr>
                    <w:r>
                      <w:rPr>
                        <w:b/>
                        <w:sz w:val="20"/>
                        <w:lang w:eastAsia="lt-LT"/>
                      </w:rPr>
                      <w:t>Skiltis</w:t>
                    </w:r>
                  </w:p>
                </w:tc>
                <w:tc>
                  <w:tcPr>
                    <w:tcW w:w="0" w:type="auto"/>
                  </w:tcPr>
                  <w:p>
                    <w:pPr>
                      <w:ind w:firstLine="709"/>
                      <w:jc w:val="both"/>
                      <w:rPr>
                        <w:b/>
                        <w:sz w:val="20"/>
                        <w:lang w:eastAsia="lt-LT"/>
                      </w:rPr>
                    </w:pPr>
                    <w:r>
                      <w:rPr>
                        <w:b/>
                        <w:sz w:val="20"/>
                        <w:lang w:eastAsia="lt-LT"/>
                      </w:rPr>
                      <w:t>Paaiškinimas</w:t>
                    </w:r>
                  </w:p>
                </w:tc>
              </w:tr>
              <w:tr>
                <w:tc>
                  <w:tcPr>
                    <w:tcW w:w="0" w:type="auto"/>
                  </w:tcPr>
                  <w:p>
                    <w:pPr>
                      <w:rPr>
                        <w:sz w:val="20"/>
                        <w:lang w:eastAsia="lt-LT"/>
                      </w:rPr>
                    </w:pPr>
                    <w:r>
                      <w:rPr>
                        <w:sz w:val="20"/>
                        <w:lang w:eastAsia="lt-LT"/>
                      </w:rPr>
                      <w:t>1</w:t>
                    </w:r>
                  </w:p>
                </w:tc>
                <w:tc>
                  <w:tcPr>
                    <w:tcW w:w="0" w:type="auto"/>
                  </w:tcPr>
                  <w:p>
                    <w:pPr>
                      <w:rPr>
                        <w:sz w:val="20"/>
                        <w:lang w:eastAsia="lt-LT"/>
                      </w:rPr>
                    </w:pPr>
                    <w:r>
                      <w:rPr>
                        <w:sz w:val="20"/>
                        <w:lang w:eastAsia="lt-LT"/>
                      </w:rPr>
                      <w:t>Eilės numeris</w:t>
                    </w:r>
                  </w:p>
                </w:tc>
                <w:tc>
                  <w:tcPr>
                    <w:tcW w:w="0" w:type="auto"/>
                  </w:tcPr>
                  <w:p>
                    <w:pPr>
                      <w:rPr>
                        <w:sz w:val="20"/>
                        <w:lang w:eastAsia="lt-LT"/>
                      </w:rPr>
                    </w:pPr>
                    <w:r>
                      <w:rPr>
                        <w:sz w:val="20"/>
                        <w:lang w:eastAsia="lt-LT"/>
                      </w:rPr>
                      <w:t>Įrašomas kiekvienos apdorojamos eksploatuoti netinkamos transporto priemonės eilės numeris.</w:t>
                    </w:r>
                  </w:p>
                </w:tc>
              </w:tr>
              <w:tr>
                <w:tc>
                  <w:tcPr>
                    <w:tcW w:w="0" w:type="auto"/>
                  </w:tcPr>
                  <w:p>
                    <w:pPr>
                      <w:rPr>
                        <w:sz w:val="20"/>
                        <w:lang w:eastAsia="lt-LT"/>
                      </w:rPr>
                    </w:pPr>
                    <w:r>
                      <w:rPr>
                        <w:sz w:val="20"/>
                        <w:lang w:eastAsia="lt-LT"/>
                      </w:rPr>
                      <w:t>2</w:t>
                    </w:r>
                  </w:p>
                </w:tc>
                <w:tc>
                  <w:tcPr>
                    <w:tcW w:w="0" w:type="auto"/>
                  </w:tcPr>
                  <w:p>
                    <w:pPr>
                      <w:rPr>
                        <w:sz w:val="20"/>
                        <w:lang w:eastAsia="lt-LT"/>
                      </w:rPr>
                    </w:pPr>
                    <w:r>
                      <w:rPr>
                        <w:sz w:val="20"/>
                        <w:lang w:eastAsia="lt-LT"/>
                      </w:rPr>
                      <w:t>Priėmimo data</w:t>
                    </w:r>
                  </w:p>
                </w:tc>
                <w:tc>
                  <w:tcPr>
                    <w:tcW w:w="0" w:type="auto"/>
                  </w:tcPr>
                  <w:p>
                    <w:pPr>
                      <w:rPr>
                        <w:sz w:val="20"/>
                        <w:lang w:eastAsia="lt-LT"/>
                      </w:rPr>
                    </w:pPr>
                    <w:r>
                      <w:rPr>
                        <w:sz w:val="20"/>
                        <w:lang w:eastAsia="lt-LT"/>
                      </w:rPr>
                      <w:t>Įrašoma eksploatuoti netinkamos transporto priemonės priėmimo į apdorojimo įmonę data.</w:t>
                    </w:r>
                  </w:p>
                </w:tc>
              </w:tr>
              <w:tr>
                <w:tc>
                  <w:tcPr>
                    <w:tcW w:w="0" w:type="auto"/>
                  </w:tcPr>
                  <w:p>
                    <w:pPr>
                      <w:rPr>
                        <w:sz w:val="20"/>
                        <w:lang w:eastAsia="lt-LT"/>
                      </w:rPr>
                    </w:pPr>
                    <w:r>
                      <w:rPr>
                        <w:sz w:val="20"/>
                        <w:lang w:eastAsia="lt-LT"/>
                      </w:rPr>
                      <w:t>8</w:t>
                    </w:r>
                  </w:p>
                </w:tc>
                <w:tc>
                  <w:tcPr>
                    <w:tcW w:w="0" w:type="auto"/>
                  </w:tcPr>
                  <w:p>
                    <w:pPr>
                      <w:rPr>
                        <w:sz w:val="20"/>
                        <w:lang w:eastAsia="lt-LT"/>
                      </w:rPr>
                    </w:pPr>
                    <w:r>
                      <w:rPr>
                        <w:sz w:val="20"/>
                        <w:lang w:eastAsia="lt-LT"/>
                      </w:rPr>
                      <w:t>Vidutinis automobilio svoris, t</w:t>
                    </w:r>
                  </w:p>
                </w:tc>
                <w:tc>
                  <w:tcPr>
                    <w:tcW w:w="0" w:type="auto"/>
                  </w:tcPr>
                  <w:p>
                    <w:pPr>
                      <w:rPr>
                        <w:sz w:val="20"/>
                        <w:lang w:eastAsia="lt-LT"/>
                      </w:rPr>
                    </w:pPr>
                    <w:r>
                      <w:rPr>
                        <w:sz w:val="20"/>
                        <w:lang w:eastAsia="lt-LT"/>
                      </w:rPr>
                      <w:t>Įrašomas vidutinis automobilio svoris (gamyklinis arba registracijos dokumentuose pateiktas transporto priemonės svoris, atimant vairuotojo svorį (0,075 t) ir degalų svorį (0,040 t). Įrašyti naudotą svorio nustatymo būdą.</w:t>
                    </w:r>
                  </w:p>
                </w:tc>
              </w:tr>
              <w:tr>
                <w:tc>
                  <w:tcPr>
                    <w:tcW w:w="0" w:type="auto"/>
                  </w:tcPr>
                  <w:p>
                    <w:pPr>
                      <w:rPr>
                        <w:sz w:val="20"/>
                        <w:lang w:eastAsia="lt-LT"/>
                      </w:rPr>
                    </w:pPr>
                    <w:r>
                      <w:rPr>
                        <w:sz w:val="20"/>
                        <w:lang w:eastAsia="lt-LT"/>
                      </w:rPr>
                      <w:t>9–30</w:t>
                    </w:r>
                  </w:p>
                </w:tc>
                <w:tc>
                  <w:tcPr>
                    <w:tcW w:w="0" w:type="auto"/>
                  </w:tcPr>
                  <w:p>
                    <w:pPr>
                      <w:rPr>
                        <w:sz w:val="20"/>
                        <w:lang w:eastAsia="lt-LT"/>
                      </w:rPr>
                    </w:pPr>
                    <w:r>
                      <w:rPr>
                        <w:sz w:val="20"/>
                        <w:lang w:eastAsia="lt-LT"/>
                      </w:rPr>
                      <w:t>Panaudotos ir perdirbtos arba perduotos perdirbti dalys ir medžiagos</w:t>
                    </w:r>
                  </w:p>
                </w:tc>
                <w:tc>
                  <w:tcPr>
                    <w:tcW w:w="0" w:type="auto"/>
                  </w:tcPr>
                  <w:p>
                    <w:pPr>
                      <w:rPr>
                        <w:sz w:val="20"/>
                        <w:lang w:eastAsia="lt-LT"/>
                      </w:rPr>
                    </w:pPr>
                    <w:r>
                      <w:rPr>
                        <w:sz w:val="20"/>
                        <w:lang w:eastAsia="lt-LT"/>
                      </w:rPr>
                      <w:t>Įrašomas atitinkamų panaudotų ir perdirbtų arba perduotų perdirbti dalių ir medžiagų svoris. Prie medžiagų ir dalių pateikti šešiaženkliai kodai atitinka Atliekų tvarkymo taisyklių 2 priede nurodytus atliekų kodus. Kiekis tonomis (trys ženklai po kablelio).</w:t>
                    </w:r>
                  </w:p>
                </w:tc>
              </w:tr>
              <w:tr>
                <w:tc>
                  <w:tcPr>
                    <w:tcW w:w="0" w:type="auto"/>
                  </w:tcPr>
                  <w:p>
                    <w:pPr>
                      <w:rPr>
                        <w:sz w:val="20"/>
                        <w:lang w:eastAsia="lt-LT"/>
                      </w:rPr>
                    </w:pPr>
                    <w:r>
                      <w:rPr>
                        <w:sz w:val="20"/>
                        <w:lang w:eastAsia="lt-LT"/>
                      </w:rPr>
                      <w:t>14</w:t>
                    </w:r>
                  </w:p>
                </w:tc>
                <w:tc>
                  <w:tcPr>
                    <w:tcW w:w="0" w:type="auto"/>
                  </w:tcPr>
                  <w:p>
                    <w:pPr>
                      <w:rPr>
                        <w:sz w:val="20"/>
                        <w:lang w:eastAsia="lt-LT"/>
                      </w:rPr>
                    </w:pPr>
                    <w:r>
                      <w:rPr>
                        <w:sz w:val="20"/>
                        <w:lang w:eastAsia="lt-LT"/>
                      </w:rPr>
                      <w:t>Sudedamosios dalys, kuriose yra PCB/PCT</w:t>
                    </w:r>
                  </w:p>
                </w:tc>
                <w:tc>
                  <w:tcPr>
                    <w:tcW w:w="0" w:type="auto"/>
                  </w:tcPr>
                  <w:p>
                    <w:pPr>
                      <w:rPr>
                        <w:sz w:val="20"/>
                        <w:lang w:eastAsia="lt-LT"/>
                      </w:rPr>
                    </w:pPr>
                    <w:r>
                      <w:rPr>
                        <w:sz w:val="20"/>
                        <w:lang w:eastAsia="lt-LT"/>
                      </w:rPr>
                      <w:t>Įrašomas polichlorintų bifenilų, turinčių transformatorių, kondensatorių ir kitų sudedamųjų dalių, svoris. Sudedamąsias dalis, turinčias polichlorintų bifenilų, gali nurodyti gamintojas, kadangi tokios dalys turi būti specialiai paženklintos.</w:t>
                    </w:r>
                  </w:p>
                </w:tc>
              </w:tr>
              <w:tr>
                <w:tc>
                  <w:tcPr>
                    <w:tcW w:w="0" w:type="auto"/>
                  </w:tcPr>
                  <w:p>
                    <w:pPr>
                      <w:rPr>
                        <w:sz w:val="20"/>
                        <w:lang w:eastAsia="lt-LT"/>
                      </w:rPr>
                    </w:pPr>
                    <w:r>
                      <w:rPr>
                        <w:sz w:val="20"/>
                        <w:lang w:eastAsia="lt-LT"/>
                      </w:rPr>
                      <w:t>18</w:t>
                    </w:r>
                  </w:p>
                </w:tc>
                <w:tc>
                  <w:tcPr>
                    <w:tcW w:w="0" w:type="auto"/>
                  </w:tcPr>
                  <w:p>
                    <w:pPr>
                      <w:rPr>
                        <w:sz w:val="20"/>
                        <w:lang w:eastAsia="lt-LT"/>
                      </w:rPr>
                    </w:pPr>
                    <w:r>
                      <w:rPr>
                        <w:sz w:val="20"/>
                        <w:lang w:eastAsia="lt-LT"/>
                      </w:rPr>
                      <w:t>Sudedamosios dalys, kuriose yra gyvsidabrio (pvz., elektros lemputės ir prietaisų skydeliai)</w:t>
                    </w:r>
                  </w:p>
                </w:tc>
                <w:tc>
                  <w:tcPr>
                    <w:tcW w:w="0" w:type="auto"/>
                  </w:tcPr>
                  <w:p>
                    <w:pPr>
                      <w:rPr>
                        <w:sz w:val="20"/>
                        <w:lang w:eastAsia="lt-LT"/>
                      </w:rPr>
                    </w:pPr>
                    <w:r>
                      <w:rPr>
                        <w:sz w:val="20"/>
                        <w:lang w:eastAsia="lt-LT"/>
                      </w:rPr>
                      <w:t>Įrašomas sudedamųjų dalių, kuriose yra gyvsidabrio, svoris.</w:t>
                    </w:r>
                  </w:p>
                </w:tc>
              </w:tr>
              <w:tr>
                <w:tc>
                  <w:tcPr>
                    <w:tcW w:w="0" w:type="auto"/>
                  </w:tcPr>
                  <w:p>
                    <w:pPr>
                      <w:rPr>
                        <w:sz w:val="20"/>
                        <w:lang w:eastAsia="lt-LT"/>
                      </w:rPr>
                    </w:pPr>
                    <w:r>
                      <w:rPr>
                        <w:sz w:val="20"/>
                        <w:lang w:eastAsia="lt-LT"/>
                      </w:rPr>
                      <w:t>22–28</w:t>
                    </w:r>
                  </w:p>
                </w:tc>
                <w:tc>
                  <w:tcPr>
                    <w:tcW w:w="0" w:type="auto"/>
                  </w:tcPr>
                  <w:p>
                    <w:pPr>
                      <w:rPr>
                        <w:sz w:val="20"/>
                        <w:lang w:eastAsia="lt-LT"/>
                      </w:rPr>
                    </w:pPr>
                    <w:r>
                      <w:rPr>
                        <w:sz w:val="20"/>
                        <w:lang w:eastAsia="lt-LT"/>
                      </w:rPr>
                      <w:t>Aliuminis, varis, laidai, geležis, plienas, plastmasė, stiklas, švinas</w:t>
                    </w:r>
                  </w:p>
                </w:tc>
                <w:tc>
                  <w:tcPr>
                    <w:tcW w:w="0" w:type="auto"/>
                  </w:tcPr>
                  <w:p>
                    <w:pPr>
                      <w:rPr>
                        <w:sz w:val="20"/>
                        <w:lang w:eastAsia="lt-LT"/>
                      </w:rPr>
                    </w:pPr>
                    <w:r>
                      <w:rPr>
                        <w:sz w:val="20"/>
                        <w:lang w:eastAsia="lt-LT"/>
                      </w:rPr>
                      <w:t>Įrašoma tik tuo atveju, jeigu šios medžiagos nebus atskiriamos smulkinimo operacijos metu. Jeigu eksploatuoti netinkama transporto priemonė atiduodama smulkinimo operacijai, kurios metu šios medžiagos bus atskiriamos, – įrašyti nereikia.</w:t>
                    </w:r>
                  </w:p>
                </w:tc>
              </w:tr>
              <w:tr>
                <w:tc>
                  <w:tcPr>
                    <w:tcW w:w="0" w:type="auto"/>
                  </w:tcPr>
                  <w:p>
                    <w:pPr>
                      <w:rPr>
                        <w:sz w:val="20"/>
                        <w:lang w:eastAsia="lt-LT"/>
                      </w:rPr>
                    </w:pPr>
                    <w:r>
                      <w:rPr>
                        <w:sz w:val="20"/>
                        <w:lang w:eastAsia="lt-LT"/>
                      </w:rPr>
                      <w:t>29</w:t>
                    </w:r>
                  </w:p>
                </w:tc>
                <w:tc>
                  <w:tcPr>
                    <w:tcW w:w="0" w:type="auto"/>
                  </w:tcPr>
                  <w:p>
                    <w:pPr>
                      <w:rPr>
                        <w:sz w:val="20"/>
                        <w:lang w:eastAsia="lt-LT"/>
                      </w:rPr>
                    </w:pPr>
                    <w:r>
                      <w:rPr>
                        <w:sz w:val="20"/>
                        <w:lang w:eastAsia="lt-LT"/>
                      </w:rPr>
                      <w:t>Kėbulas, parengtas presavimui/ smulkinimui, tolesniam apdorojimui</w:t>
                    </w:r>
                  </w:p>
                </w:tc>
                <w:tc>
                  <w:tcPr>
                    <w:tcW w:w="0" w:type="auto"/>
                  </w:tcPr>
                  <w:p>
                    <w:pPr>
                      <w:rPr>
                        <w:sz w:val="20"/>
                        <w:lang w:eastAsia="lt-LT"/>
                      </w:rPr>
                    </w:pPr>
                    <w:r>
                      <w:rPr>
                        <w:sz w:val="20"/>
                        <w:lang w:eastAsia="lt-LT"/>
                      </w:rPr>
                      <w:t>Įrašoma, jei kėbulas yra atiduodamas presavimo, smulkinimo ir tolesnio apdorojimo operacijoms.</w:t>
                    </w:r>
                  </w:p>
                </w:tc>
              </w:tr>
              <w:tr>
                <w:tc>
                  <w:tcPr>
                    <w:tcW w:w="0" w:type="auto"/>
                  </w:tcPr>
                  <w:p>
                    <w:pPr>
                      <w:rPr>
                        <w:sz w:val="20"/>
                        <w:lang w:eastAsia="lt-LT"/>
                      </w:rPr>
                    </w:pPr>
                    <w:r>
                      <w:rPr>
                        <w:sz w:val="20"/>
                        <w:lang w:eastAsia="lt-LT"/>
                      </w:rPr>
                      <w:t>31</w:t>
                    </w:r>
                  </w:p>
                </w:tc>
                <w:tc>
                  <w:tcPr>
                    <w:tcW w:w="0" w:type="auto"/>
                  </w:tcPr>
                  <w:p>
                    <w:pPr>
                      <w:rPr>
                        <w:sz w:val="20"/>
                        <w:lang w:eastAsia="lt-LT"/>
                      </w:rPr>
                    </w:pPr>
                    <w:r>
                      <w:rPr>
                        <w:sz w:val="20"/>
                        <w:lang w:eastAsia="lt-LT"/>
                      </w:rPr>
                      <w:t>Iš viso pakartotinai panaudotų dalių ir komponentų kiekis</w:t>
                    </w:r>
                  </w:p>
                </w:tc>
                <w:tc>
                  <w:tcPr>
                    <w:tcW w:w="0" w:type="auto"/>
                  </w:tcPr>
                  <w:p>
                    <w:pPr>
                      <w:rPr>
                        <w:sz w:val="20"/>
                        <w:lang w:eastAsia="lt-LT"/>
                      </w:rPr>
                    </w:pPr>
                    <w:r>
                      <w:rPr>
                        <w:sz w:val="20"/>
                        <w:lang w:eastAsia="lt-LT"/>
                      </w:rPr>
                      <w:t xml:space="preserve">Įrašomas suminis pakartotinai panaudotų dalių ir komponentų kiekis. Pakartotinai panaudotos dalys ir komponentai suprantami kaip eksploatuoti netinkamų transporto priemonių dalių panaudojimas tam pačiam tikslui, kuriam jos buvo pagamintos, t. y. tokių dalių ar komponentų pardavimas. </w:t>
                    </w:r>
                  </w:p>
                  <w:p>
                    <w:pPr>
                      <w:rPr>
                        <w:sz w:val="20"/>
                        <w:lang w:eastAsia="lt-LT"/>
                      </w:rPr>
                    </w:pPr>
                    <w:r>
                      <w:rPr>
                        <w:sz w:val="20"/>
                        <w:lang w:eastAsia="lt-LT"/>
                      </w:rPr>
                      <w:t>Galimas ir tokių dalių ar komponentų apskaičiavimo būdas:</w:t>
                    </w:r>
                  </w:p>
                  <w:p>
                    <w:pPr>
                      <w:rPr>
                        <w:sz w:val="20"/>
                        <w:lang w:eastAsia="lt-LT"/>
                      </w:rPr>
                    </w:pPr>
                    <w:r>
                      <w:rPr>
                        <w:sz w:val="20"/>
                        <w:lang w:eastAsia="lt-LT"/>
                      </w:rPr>
                      <w:t>M</w:t>
                    </w:r>
                    <w:r>
                      <w:rPr>
                        <w:sz w:val="20"/>
                        <w:vertAlign w:val="subscript"/>
                        <w:lang w:eastAsia="lt-LT"/>
                      </w:rPr>
                      <w:t>ppdk</w:t>
                    </w:r>
                    <w:r>
                      <w:rPr>
                        <w:sz w:val="20"/>
                        <w:lang w:eastAsia="lt-LT"/>
                      </w:rPr>
                      <w:t xml:space="preserve"> =M</w:t>
                    </w:r>
                    <w:r>
                      <w:rPr>
                        <w:sz w:val="20"/>
                        <w:vertAlign w:val="subscript"/>
                        <w:lang w:eastAsia="lt-LT"/>
                      </w:rPr>
                      <w:t>vs</w:t>
                    </w:r>
                    <w:r>
                      <w:rPr>
                        <w:sz w:val="20"/>
                        <w:lang w:eastAsia="lt-LT"/>
                      </w:rPr>
                      <w:t xml:space="preserve"> – (M</w:t>
                    </w:r>
                    <w:r>
                      <w:rPr>
                        <w:sz w:val="20"/>
                        <w:vertAlign w:val="subscript"/>
                        <w:lang w:eastAsia="lt-LT"/>
                      </w:rPr>
                      <w:t>kb</w:t>
                    </w:r>
                    <w:r>
                      <w:rPr>
                        <w:sz w:val="20"/>
                        <w:lang w:eastAsia="lt-LT"/>
                      </w:rPr>
                      <w:t xml:space="preserve"> + M</w:t>
                    </w:r>
                    <w:r>
                      <w:rPr>
                        <w:sz w:val="20"/>
                        <w:vertAlign w:val="subscript"/>
                        <w:lang w:eastAsia="lt-LT"/>
                      </w:rPr>
                      <w:t>pm</w:t>
                    </w:r>
                    <w:r>
                      <w:rPr>
                        <w:sz w:val="20"/>
                        <w:lang w:eastAsia="lt-LT"/>
                      </w:rPr>
                      <w:t xml:space="preserve"> + M</w:t>
                    </w:r>
                    <w:r>
                      <w:rPr>
                        <w:sz w:val="20"/>
                        <w:vertAlign w:val="subscript"/>
                        <w:lang w:eastAsia="lt-LT"/>
                      </w:rPr>
                      <w:t>pn</w:t>
                    </w:r>
                    <w:r>
                      <w:rPr>
                        <w:sz w:val="20"/>
                        <w:lang w:eastAsia="lt-LT"/>
                      </w:rPr>
                      <w:t xml:space="preserve"> + M</w:t>
                    </w:r>
                    <w:r>
                      <w:rPr>
                        <w:sz w:val="20"/>
                        <w:vertAlign w:val="subscript"/>
                        <w:lang w:eastAsia="lt-LT"/>
                      </w:rPr>
                      <w:t>as</w:t>
                    </w:r>
                    <w:r>
                      <w:rPr>
                        <w:sz w:val="20"/>
                        <w:lang w:eastAsia="lt-LT"/>
                      </w:rPr>
                      <w:t>)</w:t>
                    </w:r>
                  </w:p>
                  <w:p>
                    <w:pPr>
                      <w:rPr>
                        <w:sz w:val="20"/>
                        <w:lang w:eastAsia="lt-LT"/>
                      </w:rPr>
                    </w:pPr>
                  </w:p>
                  <w:p>
                    <w:pPr>
                      <w:rPr>
                        <w:sz w:val="20"/>
                        <w:lang w:eastAsia="lt-LT"/>
                      </w:rPr>
                    </w:pPr>
                    <w:r>
                      <w:rPr>
                        <w:sz w:val="20"/>
                        <w:lang w:eastAsia="lt-LT"/>
                      </w:rPr>
                      <w:t>M</w:t>
                    </w:r>
                    <w:r>
                      <w:rPr>
                        <w:sz w:val="20"/>
                        <w:vertAlign w:val="subscript"/>
                        <w:lang w:eastAsia="lt-LT"/>
                      </w:rPr>
                      <w:t>ppdk</w:t>
                    </w:r>
                    <w:r>
                      <w:rPr>
                        <w:sz w:val="20"/>
                        <w:lang w:eastAsia="lt-LT"/>
                      </w:rPr>
                      <w:t xml:space="preserve"> – pakartotinai panaudotų dalių ir komponentų kiekis, t</w:t>
                    </w:r>
                  </w:p>
                  <w:p>
                    <w:pPr>
                      <w:rPr>
                        <w:sz w:val="20"/>
                        <w:lang w:eastAsia="lt-LT"/>
                      </w:rPr>
                    </w:pPr>
                    <w:r>
                      <w:rPr>
                        <w:sz w:val="20"/>
                        <w:lang w:eastAsia="lt-LT"/>
                      </w:rPr>
                      <w:t>M</w:t>
                    </w:r>
                    <w:r>
                      <w:rPr>
                        <w:sz w:val="20"/>
                        <w:vertAlign w:val="subscript"/>
                        <w:lang w:eastAsia="lt-LT"/>
                      </w:rPr>
                      <w:t>vs</w:t>
                    </w:r>
                    <w:r>
                      <w:rPr>
                        <w:sz w:val="20"/>
                        <w:lang w:eastAsia="lt-LT"/>
                      </w:rPr>
                      <w:t xml:space="preserve"> – vidutinis automobilio svoris, t</w:t>
                    </w:r>
                  </w:p>
                  <w:p>
                    <w:pPr>
                      <w:rPr>
                        <w:sz w:val="20"/>
                        <w:lang w:eastAsia="lt-LT"/>
                      </w:rPr>
                    </w:pPr>
                    <w:r>
                      <w:rPr>
                        <w:sz w:val="20"/>
                        <w:lang w:eastAsia="lt-LT"/>
                      </w:rPr>
                      <w:t>M</w:t>
                    </w:r>
                    <w:r>
                      <w:rPr>
                        <w:sz w:val="20"/>
                        <w:vertAlign w:val="subscript"/>
                        <w:lang w:eastAsia="lt-LT"/>
                      </w:rPr>
                      <w:t>kb</w:t>
                    </w:r>
                    <w:r>
                      <w:rPr>
                        <w:sz w:val="20"/>
                        <w:lang w:eastAsia="lt-LT"/>
                      </w:rPr>
                      <w:t xml:space="preserve"> – degalų bako svoris, t</w:t>
                    </w:r>
                  </w:p>
                  <w:p>
                    <w:pPr>
                      <w:rPr>
                        <w:sz w:val="20"/>
                        <w:lang w:eastAsia="lt-LT"/>
                      </w:rPr>
                    </w:pPr>
                    <w:r>
                      <w:rPr>
                        <w:sz w:val="20"/>
                        <w:lang w:eastAsia="lt-LT"/>
                      </w:rPr>
                      <w:t>M</w:t>
                    </w:r>
                    <w:r>
                      <w:rPr>
                        <w:sz w:val="20"/>
                        <w:vertAlign w:val="subscript"/>
                        <w:lang w:eastAsia="lt-LT"/>
                      </w:rPr>
                      <w:t>pm</w:t>
                    </w:r>
                    <w:r>
                      <w:rPr>
                        <w:sz w:val="20"/>
                        <w:lang w:eastAsia="lt-LT"/>
                      </w:rPr>
                      <w:t xml:space="preserve"> – pavojingų medžiagų kiekis (t) po apdorojimo,</w:t>
                    </w:r>
                  </w:p>
                  <w:p>
                    <w:pPr>
                      <w:rPr>
                        <w:sz w:val="20"/>
                        <w:lang w:eastAsia="lt-LT"/>
                      </w:rPr>
                    </w:pPr>
                    <w:r>
                      <w:rPr>
                        <w:sz w:val="20"/>
                        <w:lang w:eastAsia="lt-LT"/>
                      </w:rPr>
                      <w:t>M</w:t>
                    </w:r>
                    <w:r>
                      <w:rPr>
                        <w:sz w:val="20"/>
                        <w:vertAlign w:val="subscript"/>
                        <w:lang w:eastAsia="lt-LT"/>
                      </w:rPr>
                      <w:t>pn</w:t>
                    </w:r>
                    <w:r>
                      <w:rPr>
                        <w:sz w:val="20"/>
                        <w:lang w:eastAsia="lt-LT"/>
                      </w:rPr>
                      <w:t xml:space="preserve"> – pateiktų perdirbimui ar kitokiam naudojimui dalių ir medžiagų kiekis, t</w:t>
                    </w:r>
                  </w:p>
                  <w:p>
                    <w:pPr>
                      <w:rPr>
                        <w:sz w:val="20"/>
                        <w:lang w:eastAsia="lt-LT"/>
                      </w:rPr>
                    </w:pPr>
                    <w:r>
                      <w:rPr>
                        <w:sz w:val="20"/>
                        <w:lang w:eastAsia="lt-LT"/>
                      </w:rPr>
                      <w:t>M</w:t>
                    </w:r>
                    <w:r>
                      <w:rPr>
                        <w:sz w:val="20"/>
                        <w:vertAlign w:val="subscript"/>
                        <w:lang w:eastAsia="lt-LT"/>
                      </w:rPr>
                      <w:t>as</w:t>
                    </w:r>
                    <w:r>
                      <w:rPr>
                        <w:sz w:val="20"/>
                        <w:lang w:eastAsia="lt-LT"/>
                      </w:rPr>
                      <w:t xml:space="preserve"> – susidariusių atliekų, kurios negali būti perdirbtos, kiekis, t</w:t>
                    </w:r>
                  </w:p>
                </w:tc>
              </w:tr>
              <w:tr>
                <w:tc>
                  <w:tcPr>
                    <w:tcW w:w="0" w:type="auto"/>
                  </w:tcPr>
                  <w:p>
                    <w:pPr>
                      <w:rPr>
                        <w:sz w:val="20"/>
                        <w:lang w:eastAsia="lt-LT"/>
                      </w:rPr>
                    </w:pPr>
                    <w:r>
                      <w:rPr>
                        <w:sz w:val="20"/>
                        <w:lang w:eastAsia="lt-LT"/>
                      </w:rPr>
                      <w:t>32</w:t>
                    </w:r>
                  </w:p>
                </w:tc>
                <w:tc>
                  <w:tcPr>
                    <w:tcW w:w="0" w:type="auto"/>
                  </w:tcPr>
                  <w:p>
                    <w:pPr>
                      <w:rPr>
                        <w:sz w:val="20"/>
                        <w:lang w:eastAsia="lt-LT"/>
                      </w:rPr>
                    </w:pPr>
                    <w:r>
                      <w:rPr>
                        <w:sz w:val="20"/>
                        <w:lang w:eastAsia="lt-LT"/>
                      </w:rPr>
                      <w:t>Iš viso pateiktų perdirbimui ar kitokiam naudojimui dalių ir medžiagų kiekis</w:t>
                    </w:r>
                  </w:p>
                </w:tc>
                <w:tc>
                  <w:tcPr>
                    <w:tcW w:w="0" w:type="auto"/>
                  </w:tcPr>
                  <w:p>
                    <w:pPr>
                      <w:rPr>
                        <w:sz w:val="20"/>
                        <w:lang w:eastAsia="lt-LT"/>
                      </w:rPr>
                    </w:pPr>
                    <w:r>
                      <w:rPr>
                        <w:sz w:val="20"/>
                        <w:lang w:eastAsia="lt-LT"/>
                      </w:rPr>
                      <w:t>Įrašomas suminis perdirbimui ar kitokiam naudojimui (išskyrus 33 skiltyje nurodomą kiekį) pateiktų eksploatuoti netinkamų transporto priemonių dalių ir medžiagų kiekis.</w:t>
                    </w:r>
                  </w:p>
                </w:tc>
              </w:tr>
              <w:tr>
                <w:tc>
                  <w:tcPr>
                    <w:tcW w:w="0" w:type="auto"/>
                  </w:tcPr>
                  <w:p>
                    <w:pPr>
                      <w:rPr>
                        <w:sz w:val="20"/>
                        <w:lang w:eastAsia="lt-LT"/>
                      </w:rPr>
                    </w:pPr>
                    <w:r>
                      <w:rPr>
                        <w:sz w:val="20"/>
                        <w:lang w:eastAsia="lt-LT"/>
                      </w:rPr>
                      <w:t>33</w:t>
                    </w:r>
                  </w:p>
                </w:tc>
                <w:tc>
                  <w:tcPr>
                    <w:tcW w:w="0" w:type="auto"/>
                  </w:tcPr>
                  <w:p>
                    <w:pPr>
                      <w:rPr>
                        <w:sz w:val="20"/>
                        <w:lang w:eastAsia="lt-LT"/>
                      </w:rPr>
                    </w:pPr>
                    <w:r>
                      <w:rPr>
                        <w:sz w:val="20"/>
                        <w:lang w:eastAsia="lt-LT"/>
                      </w:rPr>
                      <w:t>Iš viso pateiktų naudojimui kurui ar kitais būdais energijai gauti dalių ir medžiagų kiekis</w:t>
                    </w:r>
                  </w:p>
                </w:tc>
                <w:tc>
                  <w:tcPr>
                    <w:tcW w:w="0" w:type="auto"/>
                  </w:tcPr>
                  <w:p>
                    <w:pPr>
                      <w:rPr>
                        <w:sz w:val="20"/>
                        <w:lang w:eastAsia="lt-LT"/>
                      </w:rPr>
                    </w:pPr>
                    <w:r>
                      <w:rPr>
                        <w:sz w:val="20"/>
                        <w:lang w:eastAsia="lt-LT"/>
                      </w:rPr>
                      <w:t>Įrašomas suminis naudojimui kurui ar kitais būdais energijai gauti (išskyrus 32 skiltyje nurodomą kiekį) pateiktų eksploatuoti netinkamų transporto priemonių dalių ir medžiagų kiekis.</w:t>
                    </w:r>
                  </w:p>
                </w:tc>
              </w:tr>
              <w:tr>
                <w:tc>
                  <w:tcPr>
                    <w:tcW w:w="0" w:type="auto"/>
                  </w:tcPr>
                  <w:p>
                    <w:pPr>
                      <w:rPr>
                        <w:sz w:val="20"/>
                        <w:lang w:eastAsia="lt-LT"/>
                      </w:rPr>
                    </w:pPr>
                    <w:r>
                      <w:rPr>
                        <w:sz w:val="20"/>
                        <w:lang w:eastAsia="lt-LT"/>
                      </w:rPr>
                      <w:t>34</w:t>
                    </w:r>
                  </w:p>
                </w:tc>
                <w:tc>
                  <w:tcPr>
                    <w:tcW w:w="0" w:type="auto"/>
                  </w:tcPr>
                  <w:p>
                    <w:pPr>
                      <w:rPr>
                        <w:sz w:val="20"/>
                        <w:lang w:eastAsia="lt-LT"/>
                      </w:rPr>
                    </w:pPr>
                    <w:r>
                      <w:rPr>
                        <w:sz w:val="20"/>
                        <w:lang w:eastAsia="lt-LT"/>
                      </w:rPr>
                      <w:t>Iš viso susidariusių atliekų, kurios negali būti perdirbtos, kiekis</w:t>
                    </w:r>
                  </w:p>
                </w:tc>
                <w:tc>
                  <w:tcPr>
                    <w:tcW w:w="0" w:type="auto"/>
                  </w:tcPr>
                  <w:p>
                    <w:pPr>
                      <w:rPr>
                        <w:sz w:val="20"/>
                        <w:lang w:eastAsia="lt-LT"/>
                      </w:rPr>
                    </w:pPr>
                    <w:r>
                      <w:rPr>
                        <w:sz w:val="20"/>
                        <w:lang w:eastAsia="lt-LT"/>
                      </w:rPr>
                      <w:t xml:space="preserve">Įrašomas suminis susidariusių atliekų, kurios negali būti perdirbtos, kiekis. </w:t>
                    </w:r>
                  </w:p>
                  <w:p>
                    <w:pPr>
                      <w:rPr>
                        <w:sz w:val="20"/>
                        <w:lang w:eastAsia="lt-LT"/>
                      </w:rPr>
                    </w:pPr>
                    <w:r>
                      <w:rPr>
                        <w:sz w:val="20"/>
                        <w:lang w:eastAsia="lt-LT"/>
                      </w:rPr>
                      <w:t>Pastaba. 31-34 skiltyse nurodyta kiekių suma turi atitikti 8 skiltyje nurodytą vidutinį automobilio svorį.</w:t>
                    </w:r>
                  </w:p>
                </w:tc>
              </w:tr>
              <w:tr>
                <w:tc>
                  <w:tcPr>
                    <w:tcW w:w="0" w:type="auto"/>
                  </w:tcPr>
                  <w:p>
                    <w:pPr>
                      <w:rPr>
                        <w:sz w:val="20"/>
                      </w:rPr>
                    </w:pPr>
                  </w:p>
                </w:tc>
                <w:tc>
                  <w:tcPr>
                    <w:tcW w:w="0" w:type="auto"/>
                  </w:tcPr>
                  <w:p>
                    <w:pPr>
                      <w:rPr>
                        <w:sz w:val="20"/>
                        <w:lang w:eastAsia="lt-LT"/>
                      </w:rPr>
                    </w:pPr>
                    <w:r>
                      <w:rPr>
                        <w:sz w:val="20"/>
                        <w:lang w:eastAsia="lt-LT"/>
                      </w:rPr>
                      <w:t>Iš viso kiekis, t</w:t>
                    </w:r>
                  </w:p>
                </w:tc>
                <w:tc>
                  <w:tcPr>
                    <w:tcW w:w="0" w:type="auto"/>
                  </w:tcPr>
                  <w:p>
                    <w:pPr>
                      <w:rPr>
                        <w:sz w:val="20"/>
                        <w:lang w:eastAsia="lt-LT"/>
                      </w:rPr>
                    </w:pPr>
                    <w:r>
                      <w:rPr>
                        <w:sz w:val="20"/>
                        <w:lang w:eastAsia="lt-LT"/>
                      </w:rPr>
                      <w:t>Kiekis, sumuojamas šiose skiltyse: 1; 8; 9; 10; 11; 12; 13; 14; 15; 16; 17; 18; 19; 20; 21; 22; 23; 24; 25; 26; 27; 28; 29; 30; 31; 32; 33; 34.</w:t>
                    </w:r>
                  </w:p>
                </w:tc>
              </w:tr>
            </w:tbl>
            <w:p>
              <w:pPr/>
            </w:p>
          </w:sdtContent>
        </w:sdt>
        <w:sdt>
          <w:sdtPr>
            <w:alias w:val="pastraipa"/>
            <w:tag w:val="part_afc5e8a1c2b14223a14b8fde5a5bfa6a"/>
            <w:lock w:val="sdtLocked"/>
            <w:richText/>
          </w:sdtPr>
          <w:sdtContent>
            <w:p>
              <w:pPr>
                <w:jc w:val="center"/>
              </w:pPr>
              <w:r>
                <w:t>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3 pr."/>
        <w:tag w:val="part_0c27b908656845e7a02fbf3c33d6faf5"/>
        <w:lock w:val="sdtLocked"/>
        <w:richText/>
      </w:sdtPr>
      <w:sdtContent>
        <w:p>
          <w:pPr>
            <w:ind w:firstLine="5102"/>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923"/>
          </w:pPr>
          <w:r>
            <w:t xml:space="preserve">Eksploatuoti netinkamų transporto priemonių </w:t>
          </w:r>
        </w:p>
        <w:p>
          <w:pPr>
            <w:ind w:firstLine="9923"/>
          </w:pPr>
          <w:r>
            <w:t>tvarkymo taisyklių</w:t>
          </w:r>
        </w:p>
        <w:p>
          <w:pPr>
            <w:ind w:firstLine="9923"/>
          </w:pPr>
          <w:sdt>
            <w:sdtPr>
              <w:alias w:val="Numeris"/>
              <w:tag w:val="nr_0c27b908656845e7a02fbf3c33d6faf5"/>
              <w:lock w:val="sdtLocked"/>
              <w:richText/>
            </w:sdtPr>
            <w:sdtContent>
              <w:r>
                <w:t>3</w:t>
              </w:r>
            </w:sdtContent>
          </w:sdt>
          <w:r>
            <w:t xml:space="preserve"> priedas</w:t>
          </w:r>
        </w:p>
        <w:p>
          <w:pPr>
            <w:tabs>
              <w:tab w:val="right" w:pos="5040"/>
              <w:tab w:val="right" w:leader="underscore" w:pos="9639"/>
            </w:tabs>
            <w:ind w:firstLine="709"/>
            <w:jc w:val="right"/>
          </w:pPr>
          <w:r>
            <w:tab/>
            <w:tab/>
          </w:r>
        </w:p>
        <w:p>
          <w:pPr>
            <w:tabs>
              <w:tab w:val="center" w:pos="7380"/>
            </w:tabs>
            <w:ind w:firstLine="709"/>
            <w:jc w:val="right"/>
            <w:rPr>
              <w:sz w:val="20"/>
            </w:rPr>
          </w:pPr>
          <w:r>
            <w:rPr>
              <w:sz w:val="20"/>
            </w:rPr>
            <w:tab/>
            <w:t>(įmonės pavadinimas)</w:t>
          </w:r>
        </w:p>
        <w:p>
          <w:pPr>
            <w:ind w:firstLine="709"/>
          </w:pPr>
        </w:p>
        <w:p>
          <w:pPr>
            <w:jc w:val="center"/>
            <w:rPr>
              <w:b/>
            </w:rPr>
          </w:pPr>
          <w:r>
            <w:rPr>
              <w:b/>
            </w:rPr>
            <w:t>ATLIEKŲ APSKAITOS ATASKAITOS PRIEDAS</w:t>
          </w:r>
        </w:p>
        <w:p>
          <w:pPr>
            <w:ind w:firstLine="709"/>
          </w:pPr>
        </w:p>
        <w:sdt>
          <w:sdtPr>
            <w:alias w:val="3 pr. 1 p."/>
            <w:tag w:val="part_40ff0321ab8147058f214b7d967df272"/>
            <w:lock w:val="sdtLocked"/>
            <w:richText/>
          </w:sdtPr>
          <w:sdtContent>
            <w:p>
              <w:pPr>
                <w:jc w:val="both"/>
              </w:pPr>
              <w:sdt>
                <w:sdtPr>
                  <w:alias w:val="Numeris"/>
                  <w:tag w:val="nr_40ff0321ab8147058f214b7d967df272"/>
                  <w:lock w:val="sdtLocked"/>
                  <w:richText/>
                </w:sdtPr>
                <w:sdtContent>
                  <w:r>
                    <w:t>1</w:t>
                  </w:r>
                </w:sdtContent>
              </w:sdt>
              <w:r>
                <w:t>. Informacija apie per ___metus priimtas ir apdorotas eksploatuoti netinkamas transporto priemones bei apdorojimo metu susidariusias ir sutvarkytas atliekas:</w:t>
              </w:r>
            </w:p>
            <w:p>
              <w:pPr>
                <w:jc w:val="both"/>
              </w:pPr>
              <w:r>
                <w:t>priimtas ir apdorotas eksploatuoti netinkamų transporto priemonių (16 01 04) skaičius, vnt._________;</w:t>
              </w:r>
            </w:p>
            <w:p>
              <w:pPr>
                <w:jc w:val="both"/>
              </w:pPr>
              <w:r>
                <w:t>bendras priimtų ir apdorotų eksploatuoti netinkamų transporto priemonių svoris, t _______;</w:t>
              </w:r>
            </w:p>
            <w:p>
              <w:pPr>
                <w:jc w:val="both"/>
              </w:pPr>
              <w:r>
                <w:t>vidutinis eksploatuoti netinkamos transporto priemonės svoris, t _________;</w:t>
              </w:r>
            </w:p>
            <w:p>
              <w:pPr>
                <w:jc w:val="both"/>
              </w:pPr>
              <w:r>
                <w:t>teigiamą rinkos vertę turinčių eksploatuoti netinkamų transporto priemonių skaičius, vnt. _______; neigiamą rinkos vertę turinčių eksploatuoti netinkamų transporto priemonių skaičius, vnt._______□□</w:t>
              </w:r>
            </w:p>
            <w:p>
              <w:pPr>
                <w:ind w:firstLine="709"/>
              </w:pPr>
            </w:p>
            <w:tbl>
              <w:tblPr>
                <w:tblW w:w="0" w:type="auto"/>
                <w:tblInd w:w="417" w:type="dxa"/>
                <w:tblLayout w:type="fixed"/>
                <w:tblLook w:val="0000" w:firstRow="0" w:lastRow="0" w:firstColumn="0" w:lastColumn="0" w:noHBand="0" w:noVBand="0"/>
              </w:tblPr>
              <w:tblGrid>
                <w:gridCol w:w="1000"/>
                <w:gridCol w:w="1122"/>
                <w:gridCol w:w="561"/>
                <w:gridCol w:w="561"/>
                <w:gridCol w:w="374"/>
                <w:gridCol w:w="374"/>
                <w:gridCol w:w="561"/>
                <w:gridCol w:w="374"/>
                <w:gridCol w:w="374"/>
                <w:gridCol w:w="374"/>
                <w:gridCol w:w="748"/>
                <w:gridCol w:w="639"/>
                <w:gridCol w:w="296"/>
                <w:gridCol w:w="418"/>
                <w:gridCol w:w="341"/>
                <w:gridCol w:w="315"/>
                <w:gridCol w:w="331"/>
                <w:gridCol w:w="567"/>
                <w:gridCol w:w="322"/>
                <w:gridCol w:w="387"/>
                <w:gridCol w:w="295"/>
                <w:gridCol w:w="697"/>
                <w:gridCol w:w="426"/>
                <w:gridCol w:w="715"/>
                <w:gridCol w:w="702"/>
                <w:gridCol w:w="709"/>
                <w:gridCol w:w="686"/>
              </w:tblGrid>
              <w:tr>
                <w:trPr>
                  <w:cantSplit/>
                  <w:trHeight w:hRule="exact" w:val="221"/>
                </w:trPr>
                <w:tc>
                  <w:tcPr>
                    <w:tcW w:w="1000" w:type="dxa"/>
                  </w:tcPr>
                  <w:p>
                    <w:pPr>
                      <w:rPr>
                        <w:sz w:val="18"/>
                        <w:szCs w:val="18"/>
                      </w:rPr>
                    </w:pPr>
                  </w:p>
                </w:tc>
                <w:tc>
                  <w:tcPr>
                    <w:tcW w:w="10457" w:type="dxa"/>
                    <w:gridSpan w:val="22"/>
                    <w:tcBorders>
                      <w:top w:val="single" w:sz="1" w:space="0" w:color="000000"/>
                      <w:left w:val="single" w:sz="8" w:space="0" w:color="000000"/>
                      <w:bottom w:val="single" w:sz="1" w:space="0" w:color="000000"/>
                      <w:right w:val="single" w:sz="8" w:space="0" w:color="000000"/>
                    </w:tcBorders>
                    <w:vAlign w:val="center"/>
                  </w:tcPr>
                  <w:p>
                    <w:pPr>
                      <w:rPr>
                        <w:sz w:val="18"/>
                        <w:szCs w:val="18"/>
                      </w:rPr>
                    </w:pPr>
                    <w:r>
                      <w:rPr>
                        <w:sz w:val="18"/>
                        <w:szCs w:val="18"/>
                      </w:rPr>
                      <w:t>Panaudotos ir perdirbtos arba perduotos perdirbti dalys ir medžiagos, t:</w:t>
                    </w:r>
                  </w:p>
                </w:tc>
                <w:tc>
                  <w:tcPr>
                    <w:tcW w:w="715" w:type="dxa"/>
                    <w:vMerge w:val="restart"/>
                    <w:tcBorders>
                      <w:top w:val="single" w:sz="8" w:space="0" w:color="000000"/>
                      <w:bottom w:val="single" w:sz="1" w:space="0" w:color="000000"/>
                    </w:tcBorders>
                    <w:textDirection w:val="btLr"/>
                    <w:vAlign w:val="center"/>
                  </w:tcPr>
                  <w:p>
                    <w:pPr>
                      <w:rPr>
                        <w:sz w:val="18"/>
                        <w:szCs w:val="18"/>
                      </w:rPr>
                    </w:pPr>
                    <w:r>
                      <w:rPr>
                        <w:sz w:val="18"/>
                        <w:szCs w:val="18"/>
                      </w:rPr>
                      <w:t>Pakartotinai panaudotų dalių ir komponentų kiekis, t</w:t>
                    </w:r>
                  </w:p>
                </w:tc>
                <w:tc>
                  <w:tcPr>
                    <w:tcW w:w="702"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perdirbimui ar kitokiam naudojimui dalių ir medžiagų kiekis, t</w:t>
                    </w:r>
                  </w:p>
                </w:tc>
                <w:tc>
                  <w:tcPr>
                    <w:tcW w:w="709" w:type="dxa"/>
                    <w:vMerge w:val="restart"/>
                    <w:tcBorders>
                      <w:top w:val="single" w:sz="8" w:space="0" w:color="000000"/>
                      <w:left w:val="single" w:sz="1" w:space="0" w:color="000000"/>
                      <w:bottom w:val="single" w:sz="1" w:space="0" w:color="000000"/>
                    </w:tcBorders>
                    <w:textDirection w:val="btLr"/>
                    <w:vAlign w:val="center"/>
                  </w:tcPr>
                  <w:p>
                    <w:pPr>
                      <w:rPr>
                        <w:sz w:val="18"/>
                        <w:szCs w:val="18"/>
                      </w:rPr>
                    </w:pPr>
                    <w:r>
                      <w:rPr>
                        <w:sz w:val="18"/>
                        <w:szCs w:val="18"/>
                      </w:rPr>
                      <w:t>Pateiktų naudojimui kurui ar kitais būdais energijai gauti dalių ir medžiagų kiekis, t</w:t>
                    </w:r>
                  </w:p>
                </w:tc>
                <w:tc>
                  <w:tcPr>
                    <w:tcW w:w="686" w:type="dxa"/>
                    <w:vMerge w:val="restart"/>
                    <w:tcBorders>
                      <w:top w:val="single" w:sz="8" w:space="0" w:color="000000"/>
                      <w:left w:val="single" w:sz="1" w:space="0" w:color="000000"/>
                      <w:bottom w:val="single" w:sz="1" w:space="0" w:color="000000"/>
                      <w:right w:val="single" w:sz="8" w:space="0" w:color="000000"/>
                    </w:tcBorders>
                    <w:textDirection w:val="btLr"/>
                    <w:vAlign w:val="center"/>
                  </w:tcPr>
                  <w:p>
                    <w:pPr>
                      <w:rPr>
                        <w:sz w:val="18"/>
                        <w:szCs w:val="18"/>
                      </w:rPr>
                    </w:pPr>
                    <w:r>
                      <w:rPr>
                        <w:sz w:val="18"/>
                        <w:szCs w:val="18"/>
                      </w:rPr>
                      <w:t>Pateiktų šalinimui (sąvartyne) dalių ir medžiagų kiekis, t</w:t>
                    </w:r>
                  </w:p>
                </w:tc>
              </w:tr>
              <w:tr>
                <w:trPr>
                  <w:cantSplit/>
                  <w:trHeight w:hRule="exact" w:val="2794"/>
                </w:trPr>
                <w:tc>
                  <w:tcPr>
                    <w:tcW w:w="1000" w:type="dxa"/>
                  </w:tcPr>
                  <w:p>
                    <w:pPr>
                      <w:rPr>
                        <w:sz w:val="18"/>
                        <w:szCs w:val="18"/>
                      </w:rPr>
                    </w:pPr>
                  </w:p>
                </w:tc>
                <w:tc>
                  <w:tcPr>
                    <w:tcW w:w="1122" w:type="dxa"/>
                    <w:tcBorders>
                      <w:left w:val="single" w:sz="8" w:space="0" w:color="000000"/>
                      <w:bottom w:val="single" w:sz="1" w:space="0" w:color="000000"/>
                    </w:tcBorders>
                    <w:textDirection w:val="btLr"/>
                    <w:vAlign w:val="center"/>
                  </w:tcPr>
                  <w:p>
                    <w:pPr>
                      <w:rPr>
                        <w:sz w:val="18"/>
                        <w:szCs w:val="18"/>
                      </w:rPr>
                    </w:pPr>
                    <w:r>
                      <w:rPr>
                        <w:sz w:val="18"/>
                        <w:szCs w:val="18"/>
                      </w:rPr>
                      <w:t>Variklio, pavarų dėžės ir tepalų alyva (13 02 04;13 02 05;13 02 06; 13 02 07;13 02 08),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Tepalų filtras (16 01 07),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Aušinamieji skysčiai (16 01 14; 16 01 15),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Oro įsiurbimo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 xml:space="preserve">Stabdžių skystis  (16 01 13), t</w:t>
                    </w:r>
                  </w:p>
                </w:tc>
                <w:tc>
                  <w:tcPr>
                    <w:tcW w:w="561"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PCB/PCT (16 01 09),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Degalų filtras (16 01 21),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Švino akumuliatorius (16 06 01), t</w:t>
                    </w:r>
                  </w:p>
                </w:tc>
                <w:tc>
                  <w:tcPr>
                    <w:tcW w:w="374" w:type="dxa"/>
                    <w:tcBorders>
                      <w:left w:val="single" w:sz="1" w:space="0" w:color="000000"/>
                      <w:bottom w:val="single" w:sz="1" w:space="0" w:color="000000"/>
                    </w:tcBorders>
                    <w:textDirection w:val="btLr"/>
                    <w:vAlign w:val="center"/>
                  </w:tcPr>
                  <w:p>
                    <w:pPr>
                      <w:rPr>
                        <w:sz w:val="18"/>
                        <w:szCs w:val="18"/>
                      </w:rPr>
                    </w:pPr>
                    <w:r>
                      <w:rPr>
                        <w:sz w:val="18"/>
                        <w:szCs w:val="18"/>
                      </w:rPr>
                      <w:t>Panaudotas katalizatorius (16 08 01), t</w:t>
                    </w:r>
                  </w:p>
                </w:tc>
                <w:tc>
                  <w:tcPr>
                    <w:tcW w:w="748" w:type="dxa"/>
                    <w:tcBorders>
                      <w:left w:val="single" w:sz="1" w:space="0" w:color="000000"/>
                      <w:bottom w:val="single" w:sz="1" w:space="0" w:color="000000"/>
                    </w:tcBorders>
                    <w:textDirection w:val="btLr"/>
                    <w:vAlign w:val="center"/>
                  </w:tcPr>
                  <w:p>
                    <w:pPr>
                      <w:rPr>
                        <w:sz w:val="18"/>
                        <w:szCs w:val="18"/>
                      </w:rPr>
                    </w:pPr>
                    <w:r>
                      <w:rPr>
                        <w:sz w:val="18"/>
                        <w:szCs w:val="18"/>
                      </w:rPr>
                      <w:t>Sudedamosios dalys, kuriose yra gyvsidabrio (pvz., elektros lemputės ir prietaisų skydeliai) (16 01 08), t</w:t>
                    </w:r>
                  </w:p>
                </w:tc>
                <w:tc>
                  <w:tcPr>
                    <w:tcW w:w="639" w:type="dxa"/>
                    <w:tcBorders>
                      <w:left w:val="single" w:sz="1" w:space="0" w:color="000000"/>
                      <w:bottom w:val="single" w:sz="1" w:space="0" w:color="000000"/>
                    </w:tcBorders>
                    <w:textDirection w:val="btLr"/>
                    <w:vAlign w:val="center"/>
                  </w:tcPr>
                  <w:p>
                    <w:pPr>
                      <w:rPr>
                        <w:sz w:val="18"/>
                        <w:szCs w:val="18"/>
                      </w:rPr>
                    </w:pPr>
                    <w:r>
                      <w:rPr>
                        <w:sz w:val="18"/>
                        <w:szCs w:val="18"/>
                      </w:rPr>
                      <w:t>Sprogios sudedamosios dalys (pvz., oro pagalvės) (16 01 10), jei atskiriamos, t</w:t>
                    </w:r>
                  </w:p>
                </w:tc>
                <w:tc>
                  <w:tcPr>
                    <w:tcW w:w="296" w:type="dxa"/>
                    <w:tcBorders>
                      <w:left w:val="single" w:sz="1" w:space="0" w:color="000000"/>
                      <w:bottom w:val="single" w:sz="1" w:space="0" w:color="000000"/>
                    </w:tcBorders>
                    <w:textDirection w:val="btLr"/>
                    <w:vAlign w:val="center"/>
                  </w:tcPr>
                  <w:p>
                    <w:pPr>
                      <w:rPr>
                        <w:sz w:val="18"/>
                        <w:szCs w:val="18"/>
                      </w:rPr>
                    </w:pPr>
                    <w:r>
                      <w:rPr>
                        <w:sz w:val="18"/>
                        <w:szCs w:val="18"/>
                      </w:rPr>
                      <w:t>Naudotos padangos (16 01 03), t</w:t>
                    </w:r>
                  </w:p>
                </w:tc>
                <w:tc>
                  <w:tcPr>
                    <w:tcW w:w="418" w:type="dxa"/>
                    <w:tcBorders>
                      <w:left w:val="single" w:sz="1" w:space="0" w:color="000000"/>
                      <w:bottom w:val="single" w:sz="1" w:space="0" w:color="000000"/>
                    </w:tcBorders>
                    <w:textDirection w:val="btLr"/>
                    <w:vAlign w:val="center"/>
                  </w:tcPr>
                  <w:p>
                    <w:pPr>
                      <w:rPr>
                        <w:sz w:val="18"/>
                        <w:szCs w:val="18"/>
                      </w:rPr>
                    </w:pPr>
                    <w:r>
                      <w:rPr>
                        <w:sz w:val="18"/>
                        <w:szCs w:val="18"/>
                      </w:rPr>
                      <w:t>Stabdžių trinkelės (16 01 11; 16 01 12), t</w:t>
                    </w:r>
                  </w:p>
                </w:tc>
                <w:tc>
                  <w:tcPr>
                    <w:tcW w:w="341" w:type="dxa"/>
                    <w:tcBorders>
                      <w:left w:val="single" w:sz="1" w:space="0" w:color="000000"/>
                      <w:bottom w:val="single" w:sz="1" w:space="0" w:color="000000"/>
                    </w:tcBorders>
                    <w:textDirection w:val="btLr"/>
                    <w:vAlign w:val="center"/>
                  </w:tcPr>
                  <w:p>
                    <w:pPr>
                      <w:rPr>
                        <w:sz w:val="18"/>
                        <w:szCs w:val="18"/>
                      </w:rPr>
                    </w:pPr>
                    <w:r>
                      <w:rPr>
                        <w:sz w:val="18"/>
                        <w:szCs w:val="18"/>
                      </w:rPr>
                      <w:t>Aliuminis (16 01 18), jei atskiriamas, t</w:t>
                    </w:r>
                  </w:p>
                </w:tc>
                <w:tc>
                  <w:tcPr>
                    <w:tcW w:w="315" w:type="dxa"/>
                    <w:tcBorders>
                      <w:left w:val="single" w:sz="1" w:space="0" w:color="000000"/>
                      <w:bottom w:val="single" w:sz="1" w:space="0" w:color="000000"/>
                    </w:tcBorders>
                    <w:textDirection w:val="btLr"/>
                    <w:vAlign w:val="center"/>
                  </w:tcPr>
                  <w:p>
                    <w:pPr>
                      <w:rPr>
                        <w:sz w:val="18"/>
                        <w:szCs w:val="18"/>
                      </w:rPr>
                    </w:pPr>
                    <w:r>
                      <w:rPr>
                        <w:sz w:val="18"/>
                        <w:szCs w:val="18"/>
                      </w:rPr>
                      <w:t>Varis (16 01 18), jei atskiriamas, t</w:t>
                    </w:r>
                  </w:p>
                </w:tc>
                <w:tc>
                  <w:tcPr>
                    <w:tcW w:w="331" w:type="dxa"/>
                    <w:tcBorders>
                      <w:left w:val="single" w:sz="1" w:space="0" w:color="000000"/>
                      <w:bottom w:val="single" w:sz="1" w:space="0" w:color="000000"/>
                    </w:tcBorders>
                    <w:textDirection w:val="btLr"/>
                    <w:vAlign w:val="center"/>
                  </w:tcPr>
                  <w:p>
                    <w:pPr>
                      <w:rPr>
                        <w:sz w:val="18"/>
                        <w:szCs w:val="18"/>
                      </w:rPr>
                    </w:pPr>
                    <w:r>
                      <w:rPr>
                        <w:sz w:val="18"/>
                        <w:szCs w:val="18"/>
                      </w:rPr>
                      <w:t>Laidai (16 01 22), jei atskiriami, t</w:t>
                    </w:r>
                  </w:p>
                </w:tc>
                <w:tc>
                  <w:tcPr>
                    <w:tcW w:w="567" w:type="dxa"/>
                    <w:tcBorders>
                      <w:left w:val="single" w:sz="1" w:space="0" w:color="000000"/>
                      <w:bottom w:val="single" w:sz="1" w:space="0" w:color="000000"/>
                    </w:tcBorders>
                    <w:textDirection w:val="btLr"/>
                    <w:vAlign w:val="center"/>
                  </w:tcPr>
                  <w:p>
                    <w:pPr>
                      <w:rPr>
                        <w:sz w:val="18"/>
                        <w:szCs w:val="18"/>
                      </w:rPr>
                    </w:pPr>
                    <w:r>
                      <w:rPr>
                        <w:sz w:val="18"/>
                        <w:szCs w:val="18"/>
                      </w:rPr>
                      <w:t>Geležis, plienas (16 01 17), jei atskiriama, t</w:t>
                    </w:r>
                  </w:p>
                </w:tc>
                <w:tc>
                  <w:tcPr>
                    <w:tcW w:w="322" w:type="dxa"/>
                    <w:tcBorders>
                      <w:left w:val="single" w:sz="1" w:space="0" w:color="000000"/>
                      <w:bottom w:val="single" w:sz="1" w:space="0" w:color="000000"/>
                    </w:tcBorders>
                    <w:textDirection w:val="btLr"/>
                    <w:vAlign w:val="center"/>
                  </w:tcPr>
                  <w:p>
                    <w:pPr>
                      <w:rPr>
                        <w:sz w:val="18"/>
                        <w:szCs w:val="18"/>
                      </w:rPr>
                    </w:pPr>
                    <w:r>
                      <w:rPr>
                        <w:sz w:val="18"/>
                        <w:szCs w:val="18"/>
                      </w:rPr>
                      <w:t>Plastmasė (16 01 19), jei atskiriama, t</w:t>
                    </w:r>
                  </w:p>
                </w:tc>
                <w:tc>
                  <w:tcPr>
                    <w:tcW w:w="387" w:type="dxa"/>
                    <w:tcBorders>
                      <w:left w:val="single" w:sz="1" w:space="0" w:color="000000"/>
                      <w:bottom w:val="single" w:sz="1" w:space="0" w:color="000000"/>
                    </w:tcBorders>
                    <w:textDirection w:val="btLr"/>
                    <w:vAlign w:val="center"/>
                  </w:tcPr>
                  <w:p>
                    <w:pPr>
                      <w:rPr>
                        <w:sz w:val="18"/>
                        <w:szCs w:val="18"/>
                      </w:rPr>
                    </w:pPr>
                    <w:r>
                      <w:rPr>
                        <w:sz w:val="18"/>
                        <w:szCs w:val="18"/>
                      </w:rPr>
                      <w:t>Stiklas (16 01 20), jei atskiriamas, t</w:t>
                    </w:r>
                  </w:p>
                </w:tc>
                <w:tc>
                  <w:tcPr>
                    <w:tcW w:w="295" w:type="dxa"/>
                    <w:tcBorders>
                      <w:left w:val="single" w:sz="1" w:space="0" w:color="000000"/>
                      <w:bottom w:val="single" w:sz="1" w:space="0" w:color="000000"/>
                    </w:tcBorders>
                    <w:textDirection w:val="btLr"/>
                    <w:vAlign w:val="center"/>
                  </w:tcPr>
                  <w:p>
                    <w:pPr>
                      <w:rPr>
                        <w:sz w:val="18"/>
                        <w:szCs w:val="18"/>
                      </w:rPr>
                    </w:pPr>
                    <w:r>
                      <w:rPr>
                        <w:sz w:val="18"/>
                        <w:szCs w:val="18"/>
                      </w:rPr>
                      <w:t>Švinas (16 01 18), jei atskiriamas, t</w:t>
                    </w:r>
                  </w:p>
                </w:tc>
                <w:tc>
                  <w:tcPr>
                    <w:tcW w:w="697" w:type="dxa"/>
                    <w:tcBorders>
                      <w:left w:val="single" w:sz="1" w:space="0" w:color="000000"/>
                      <w:bottom w:val="single" w:sz="1" w:space="0" w:color="000000"/>
                    </w:tcBorders>
                    <w:textDirection w:val="btLr"/>
                    <w:vAlign w:val="center"/>
                  </w:tcPr>
                  <w:p>
                    <w:pPr>
                      <w:rPr>
                        <w:sz w:val="18"/>
                        <w:szCs w:val="18"/>
                      </w:rPr>
                    </w:pPr>
                    <w:r>
                      <w:rPr>
                        <w:sz w:val="18"/>
                        <w:szCs w:val="18"/>
                      </w:rPr>
                      <w:t>Kėbulas, parengtas presavimui/smulkinimui, tolesniam apdorojimui (16 01 17), t</w:t>
                    </w:r>
                  </w:p>
                </w:tc>
                <w:tc>
                  <w:tcPr>
                    <w:tcW w:w="426" w:type="dxa"/>
                    <w:tcBorders>
                      <w:left w:val="single" w:sz="1" w:space="0" w:color="000000"/>
                      <w:bottom w:val="single" w:sz="1" w:space="0" w:color="000000"/>
                      <w:right w:val="single" w:sz="8" w:space="0" w:color="000000"/>
                    </w:tcBorders>
                    <w:textDirection w:val="btLr"/>
                    <w:vAlign w:val="center"/>
                  </w:tcPr>
                  <w:p>
                    <w:pPr>
                      <w:rPr>
                        <w:sz w:val="18"/>
                        <w:szCs w:val="18"/>
                      </w:rPr>
                    </w:pPr>
                    <w:r>
                      <w:rPr>
                        <w:sz w:val="18"/>
                        <w:szCs w:val="18"/>
                      </w:rPr>
                      <w:t>Kitos medžiagos (nurodyti pavadinimą) (16 01 99), t</w:t>
                    </w:r>
                  </w:p>
                </w:tc>
                <w:tc>
                  <w:tcPr>
                    <w:tcW w:w="446" w:type="dxa"/>
                    <w:vMerge/>
                    <w:tcBorders>
                      <w:top w:val="single" w:sz="8"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tcBorders>
                    <w:vAlign w:val="center"/>
                  </w:tcPr>
                  <w:p>
                    <w:pPr>
                      <w:rPr>
                        <w:sz w:val="18"/>
                        <w:szCs w:val="18"/>
                      </w:rPr>
                    </w:pPr>
                  </w:p>
                </w:tc>
                <w:tc>
                  <w:tcPr>
                    <w:tcW w:w="446" w:type="dxa"/>
                    <w:vMerge/>
                    <w:tcBorders>
                      <w:top w:val="single" w:sz="8" w:space="0" w:color="000000"/>
                      <w:left w:val="single" w:sz="1" w:space="0" w:color="000000"/>
                      <w:bottom w:val="single" w:sz="1" w:space="0" w:color="000000"/>
                      <w:right w:val="single" w:sz="8" w:space="0" w:color="000000"/>
                    </w:tcBorders>
                    <w:vAlign w:val="center"/>
                  </w:tcPr>
                  <w:p>
                    <w:pPr>
                      <w:rPr>
                        <w:sz w:val="18"/>
                        <w:szCs w:val="18"/>
                      </w:rPr>
                    </w:pPr>
                  </w:p>
                </w:tc>
              </w:tr>
              <w:tr>
                <w:trPr>
                  <w:cantSplit/>
                  <w:trHeight w:val="177"/>
                </w:trPr>
                <w:tc>
                  <w:tcPr>
                    <w:tcW w:w="1000" w:type="dxa"/>
                  </w:tcPr>
                  <w:p>
                    <w:pPr>
                      <w:rPr>
                        <w:sz w:val="18"/>
                        <w:szCs w:val="18"/>
                      </w:rPr>
                    </w:pPr>
                  </w:p>
                </w:tc>
                <w:tc>
                  <w:tcPr>
                    <w:tcW w:w="1122" w:type="dxa"/>
                    <w:tcBorders>
                      <w:left w:val="single" w:sz="8" w:space="0" w:color="000000"/>
                      <w:bottom w:val="single" w:sz="1" w:space="0" w:color="000000"/>
                    </w:tcBorders>
                  </w:tcPr>
                  <w:p>
                    <w:pPr>
                      <w:rPr>
                        <w:sz w:val="18"/>
                        <w:szCs w:val="18"/>
                      </w:rPr>
                    </w:pPr>
                    <w:r>
                      <w:rPr>
                        <w:sz w:val="18"/>
                        <w:szCs w:val="18"/>
                      </w:rPr>
                      <w:t>1</w:t>
                    </w:r>
                  </w:p>
                </w:tc>
                <w:tc>
                  <w:tcPr>
                    <w:tcW w:w="561" w:type="dxa"/>
                    <w:tcBorders>
                      <w:left w:val="single" w:sz="1" w:space="0" w:color="000000"/>
                      <w:bottom w:val="single" w:sz="1" w:space="0" w:color="000000"/>
                    </w:tcBorders>
                  </w:tcPr>
                  <w:p>
                    <w:pPr>
                      <w:rPr>
                        <w:sz w:val="18"/>
                        <w:szCs w:val="18"/>
                      </w:rPr>
                    </w:pPr>
                    <w:r>
                      <w:rPr>
                        <w:sz w:val="18"/>
                        <w:szCs w:val="18"/>
                      </w:rPr>
                      <w:t>2</w:t>
                    </w:r>
                  </w:p>
                </w:tc>
                <w:tc>
                  <w:tcPr>
                    <w:tcW w:w="561" w:type="dxa"/>
                    <w:tcBorders>
                      <w:left w:val="single" w:sz="1" w:space="0" w:color="000000"/>
                      <w:bottom w:val="single" w:sz="1" w:space="0" w:color="000000"/>
                    </w:tcBorders>
                  </w:tcPr>
                  <w:p>
                    <w:pPr>
                      <w:rPr>
                        <w:sz w:val="18"/>
                        <w:szCs w:val="18"/>
                      </w:rPr>
                    </w:pPr>
                    <w:r>
                      <w:rPr>
                        <w:sz w:val="18"/>
                        <w:szCs w:val="18"/>
                      </w:rPr>
                      <w:t>3</w:t>
                    </w:r>
                  </w:p>
                </w:tc>
                <w:tc>
                  <w:tcPr>
                    <w:tcW w:w="374" w:type="dxa"/>
                    <w:tcBorders>
                      <w:left w:val="single" w:sz="1" w:space="0" w:color="000000"/>
                      <w:bottom w:val="single" w:sz="1" w:space="0" w:color="000000"/>
                    </w:tcBorders>
                  </w:tcPr>
                  <w:p>
                    <w:pPr>
                      <w:rPr>
                        <w:sz w:val="18"/>
                        <w:szCs w:val="18"/>
                      </w:rPr>
                    </w:pPr>
                    <w:r>
                      <w:rPr>
                        <w:sz w:val="18"/>
                        <w:szCs w:val="18"/>
                      </w:rPr>
                      <w:t>4</w:t>
                    </w:r>
                  </w:p>
                </w:tc>
                <w:tc>
                  <w:tcPr>
                    <w:tcW w:w="374" w:type="dxa"/>
                    <w:tcBorders>
                      <w:left w:val="single" w:sz="1" w:space="0" w:color="000000"/>
                      <w:bottom w:val="single" w:sz="1" w:space="0" w:color="000000"/>
                    </w:tcBorders>
                  </w:tcPr>
                  <w:p>
                    <w:pPr>
                      <w:rPr>
                        <w:sz w:val="18"/>
                        <w:szCs w:val="18"/>
                      </w:rPr>
                    </w:pPr>
                    <w:r>
                      <w:rPr>
                        <w:sz w:val="18"/>
                        <w:szCs w:val="18"/>
                      </w:rPr>
                      <w:t>5</w:t>
                    </w:r>
                  </w:p>
                </w:tc>
                <w:tc>
                  <w:tcPr>
                    <w:tcW w:w="561" w:type="dxa"/>
                    <w:tcBorders>
                      <w:left w:val="single" w:sz="1" w:space="0" w:color="000000"/>
                      <w:bottom w:val="single" w:sz="1" w:space="0" w:color="000000"/>
                    </w:tcBorders>
                  </w:tcPr>
                  <w:p>
                    <w:pPr>
                      <w:rPr>
                        <w:sz w:val="18"/>
                        <w:szCs w:val="18"/>
                      </w:rPr>
                    </w:pPr>
                    <w:r>
                      <w:rPr>
                        <w:sz w:val="18"/>
                        <w:szCs w:val="18"/>
                      </w:rPr>
                      <w:t>6</w:t>
                    </w:r>
                  </w:p>
                </w:tc>
                <w:tc>
                  <w:tcPr>
                    <w:tcW w:w="374" w:type="dxa"/>
                    <w:tcBorders>
                      <w:left w:val="single" w:sz="1" w:space="0" w:color="000000"/>
                      <w:bottom w:val="single" w:sz="1" w:space="0" w:color="000000"/>
                    </w:tcBorders>
                  </w:tcPr>
                  <w:p>
                    <w:pPr>
                      <w:rPr>
                        <w:sz w:val="18"/>
                        <w:szCs w:val="18"/>
                      </w:rPr>
                    </w:pPr>
                    <w:r>
                      <w:rPr>
                        <w:sz w:val="18"/>
                        <w:szCs w:val="18"/>
                      </w:rPr>
                      <w:t>7</w:t>
                    </w:r>
                  </w:p>
                </w:tc>
                <w:tc>
                  <w:tcPr>
                    <w:tcW w:w="374" w:type="dxa"/>
                    <w:tcBorders>
                      <w:left w:val="single" w:sz="1" w:space="0" w:color="000000"/>
                      <w:bottom w:val="single" w:sz="1" w:space="0" w:color="000000"/>
                    </w:tcBorders>
                  </w:tcPr>
                  <w:p>
                    <w:pPr>
                      <w:rPr>
                        <w:sz w:val="18"/>
                        <w:szCs w:val="18"/>
                      </w:rPr>
                    </w:pPr>
                    <w:r>
                      <w:rPr>
                        <w:sz w:val="18"/>
                        <w:szCs w:val="18"/>
                      </w:rPr>
                      <w:t>8</w:t>
                    </w:r>
                  </w:p>
                </w:tc>
                <w:tc>
                  <w:tcPr>
                    <w:tcW w:w="374" w:type="dxa"/>
                    <w:tcBorders>
                      <w:left w:val="single" w:sz="1" w:space="0" w:color="000000"/>
                      <w:bottom w:val="single" w:sz="1" w:space="0" w:color="000000"/>
                    </w:tcBorders>
                  </w:tcPr>
                  <w:p>
                    <w:pPr>
                      <w:rPr>
                        <w:sz w:val="18"/>
                        <w:szCs w:val="18"/>
                      </w:rPr>
                    </w:pPr>
                    <w:r>
                      <w:rPr>
                        <w:sz w:val="18"/>
                        <w:szCs w:val="18"/>
                      </w:rPr>
                      <w:t>9</w:t>
                    </w:r>
                  </w:p>
                </w:tc>
                <w:tc>
                  <w:tcPr>
                    <w:tcW w:w="748" w:type="dxa"/>
                    <w:tcBorders>
                      <w:left w:val="single" w:sz="1" w:space="0" w:color="000000"/>
                      <w:bottom w:val="single" w:sz="1" w:space="0" w:color="000000"/>
                    </w:tcBorders>
                  </w:tcPr>
                  <w:p>
                    <w:pPr>
                      <w:rPr>
                        <w:sz w:val="18"/>
                        <w:szCs w:val="18"/>
                      </w:rPr>
                    </w:pPr>
                    <w:r>
                      <w:rPr>
                        <w:sz w:val="18"/>
                        <w:szCs w:val="18"/>
                      </w:rPr>
                      <w:t>10</w:t>
                    </w:r>
                  </w:p>
                </w:tc>
                <w:tc>
                  <w:tcPr>
                    <w:tcW w:w="639" w:type="dxa"/>
                    <w:tcBorders>
                      <w:left w:val="single" w:sz="1" w:space="0" w:color="000000"/>
                      <w:bottom w:val="single" w:sz="1" w:space="0" w:color="000000"/>
                    </w:tcBorders>
                  </w:tcPr>
                  <w:p>
                    <w:pPr>
                      <w:rPr>
                        <w:sz w:val="18"/>
                        <w:szCs w:val="18"/>
                      </w:rPr>
                    </w:pPr>
                    <w:r>
                      <w:rPr>
                        <w:sz w:val="18"/>
                        <w:szCs w:val="18"/>
                      </w:rPr>
                      <w:t>11</w:t>
                    </w:r>
                  </w:p>
                </w:tc>
                <w:tc>
                  <w:tcPr>
                    <w:tcW w:w="296" w:type="dxa"/>
                    <w:tcBorders>
                      <w:left w:val="single" w:sz="1" w:space="0" w:color="000000"/>
                      <w:bottom w:val="single" w:sz="1" w:space="0" w:color="000000"/>
                    </w:tcBorders>
                  </w:tcPr>
                  <w:p>
                    <w:pPr>
                      <w:rPr>
                        <w:sz w:val="18"/>
                        <w:szCs w:val="18"/>
                      </w:rPr>
                    </w:pPr>
                    <w:r>
                      <w:rPr>
                        <w:sz w:val="18"/>
                        <w:szCs w:val="18"/>
                      </w:rPr>
                      <w:t>12</w:t>
                    </w:r>
                  </w:p>
                </w:tc>
                <w:tc>
                  <w:tcPr>
                    <w:tcW w:w="418" w:type="dxa"/>
                    <w:tcBorders>
                      <w:left w:val="single" w:sz="1" w:space="0" w:color="000000"/>
                      <w:bottom w:val="single" w:sz="1" w:space="0" w:color="000000"/>
                    </w:tcBorders>
                  </w:tcPr>
                  <w:p>
                    <w:pPr>
                      <w:rPr>
                        <w:sz w:val="18"/>
                        <w:szCs w:val="18"/>
                      </w:rPr>
                    </w:pPr>
                    <w:r>
                      <w:rPr>
                        <w:sz w:val="18"/>
                        <w:szCs w:val="18"/>
                      </w:rPr>
                      <w:t>13</w:t>
                    </w:r>
                  </w:p>
                </w:tc>
                <w:tc>
                  <w:tcPr>
                    <w:tcW w:w="341" w:type="dxa"/>
                    <w:tcBorders>
                      <w:left w:val="single" w:sz="1" w:space="0" w:color="000000"/>
                      <w:bottom w:val="single" w:sz="1" w:space="0" w:color="000000"/>
                    </w:tcBorders>
                  </w:tcPr>
                  <w:p>
                    <w:pPr>
                      <w:rPr>
                        <w:sz w:val="18"/>
                        <w:szCs w:val="18"/>
                      </w:rPr>
                    </w:pPr>
                    <w:r>
                      <w:rPr>
                        <w:sz w:val="18"/>
                        <w:szCs w:val="18"/>
                      </w:rPr>
                      <w:t>14</w:t>
                    </w:r>
                  </w:p>
                </w:tc>
                <w:tc>
                  <w:tcPr>
                    <w:tcW w:w="315" w:type="dxa"/>
                    <w:tcBorders>
                      <w:left w:val="single" w:sz="1" w:space="0" w:color="000000"/>
                      <w:bottom w:val="single" w:sz="1" w:space="0" w:color="000000"/>
                    </w:tcBorders>
                  </w:tcPr>
                  <w:p>
                    <w:pPr>
                      <w:rPr>
                        <w:sz w:val="18"/>
                        <w:szCs w:val="18"/>
                      </w:rPr>
                    </w:pPr>
                    <w:r>
                      <w:rPr>
                        <w:sz w:val="18"/>
                        <w:szCs w:val="18"/>
                      </w:rPr>
                      <w:t>15</w:t>
                    </w:r>
                  </w:p>
                </w:tc>
                <w:tc>
                  <w:tcPr>
                    <w:tcW w:w="331" w:type="dxa"/>
                    <w:tcBorders>
                      <w:left w:val="single" w:sz="1" w:space="0" w:color="000000"/>
                      <w:bottom w:val="single" w:sz="1" w:space="0" w:color="000000"/>
                    </w:tcBorders>
                  </w:tcPr>
                  <w:p>
                    <w:pPr>
                      <w:rPr>
                        <w:sz w:val="18"/>
                        <w:szCs w:val="18"/>
                      </w:rPr>
                    </w:pPr>
                    <w:r>
                      <w:rPr>
                        <w:sz w:val="18"/>
                        <w:szCs w:val="18"/>
                      </w:rPr>
                      <w:t>16</w:t>
                    </w:r>
                  </w:p>
                </w:tc>
                <w:tc>
                  <w:tcPr>
                    <w:tcW w:w="567" w:type="dxa"/>
                    <w:tcBorders>
                      <w:left w:val="single" w:sz="1" w:space="0" w:color="000000"/>
                      <w:bottom w:val="single" w:sz="1" w:space="0" w:color="000000"/>
                    </w:tcBorders>
                  </w:tcPr>
                  <w:p>
                    <w:pPr>
                      <w:rPr>
                        <w:sz w:val="18"/>
                        <w:szCs w:val="18"/>
                      </w:rPr>
                    </w:pPr>
                    <w:r>
                      <w:rPr>
                        <w:sz w:val="18"/>
                        <w:szCs w:val="18"/>
                      </w:rPr>
                      <w:t>17</w:t>
                    </w:r>
                  </w:p>
                </w:tc>
                <w:tc>
                  <w:tcPr>
                    <w:tcW w:w="322" w:type="dxa"/>
                    <w:tcBorders>
                      <w:left w:val="single" w:sz="1" w:space="0" w:color="000000"/>
                      <w:bottom w:val="single" w:sz="1" w:space="0" w:color="000000"/>
                    </w:tcBorders>
                  </w:tcPr>
                  <w:p>
                    <w:pPr>
                      <w:rPr>
                        <w:sz w:val="18"/>
                        <w:szCs w:val="18"/>
                      </w:rPr>
                    </w:pPr>
                    <w:r>
                      <w:rPr>
                        <w:sz w:val="18"/>
                        <w:szCs w:val="18"/>
                      </w:rPr>
                      <w:t>18</w:t>
                    </w:r>
                  </w:p>
                </w:tc>
                <w:tc>
                  <w:tcPr>
                    <w:tcW w:w="387" w:type="dxa"/>
                    <w:tcBorders>
                      <w:left w:val="single" w:sz="1" w:space="0" w:color="000000"/>
                      <w:bottom w:val="single" w:sz="1" w:space="0" w:color="000000"/>
                    </w:tcBorders>
                  </w:tcPr>
                  <w:p>
                    <w:pPr>
                      <w:rPr>
                        <w:sz w:val="18"/>
                        <w:szCs w:val="18"/>
                      </w:rPr>
                    </w:pPr>
                    <w:r>
                      <w:rPr>
                        <w:sz w:val="18"/>
                        <w:szCs w:val="18"/>
                      </w:rPr>
                      <w:t>19</w:t>
                    </w:r>
                  </w:p>
                </w:tc>
                <w:tc>
                  <w:tcPr>
                    <w:tcW w:w="295" w:type="dxa"/>
                    <w:tcBorders>
                      <w:left w:val="single" w:sz="1" w:space="0" w:color="000000"/>
                      <w:bottom w:val="single" w:sz="1" w:space="0" w:color="000000"/>
                    </w:tcBorders>
                  </w:tcPr>
                  <w:p>
                    <w:pPr>
                      <w:rPr>
                        <w:sz w:val="18"/>
                        <w:szCs w:val="18"/>
                      </w:rPr>
                    </w:pPr>
                    <w:r>
                      <w:rPr>
                        <w:sz w:val="18"/>
                        <w:szCs w:val="18"/>
                      </w:rPr>
                      <w:t>20</w:t>
                    </w:r>
                  </w:p>
                </w:tc>
                <w:tc>
                  <w:tcPr>
                    <w:tcW w:w="697" w:type="dxa"/>
                    <w:tcBorders>
                      <w:left w:val="single" w:sz="1" w:space="0" w:color="000000"/>
                      <w:bottom w:val="single" w:sz="1" w:space="0" w:color="000000"/>
                    </w:tcBorders>
                  </w:tcPr>
                  <w:p>
                    <w:pPr>
                      <w:rPr>
                        <w:sz w:val="18"/>
                        <w:szCs w:val="18"/>
                      </w:rPr>
                    </w:pPr>
                    <w:r>
                      <w:rPr>
                        <w:sz w:val="18"/>
                        <w:szCs w:val="18"/>
                      </w:rPr>
                      <w:t>21</w:t>
                    </w:r>
                  </w:p>
                </w:tc>
                <w:tc>
                  <w:tcPr>
                    <w:tcW w:w="426" w:type="dxa"/>
                    <w:tcBorders>
                      <w:left w:val="single" w:sz="1" w:space="0" w:color="000000"/>
                      <w:bottom w:val="single" w:sz="1" w:space="0" w:color="000000"/>
                      <w:right w:val="single" w:sz="8" w:space="0" w:color="000000"/>
                    </w:tcBorders>
                  </w:tcPr>
                  <w:p>
                    <w:pPr>
                      <w:rPr>
                        <w:sz w:val="18"/>
                        <w:szCs w:val="18"/>
                      </w:rPr>
                    </w:pPr>
                    <w:r>
                      <w:rPr>
                        <w:sz w:val="18"/>
                        <w:szCs w:val="18"/>
                      </w:rPr>
                      <w:t>22</w:t>
                    </w:r>
                  </w:p>
                </w:tc>
                <w:tc>
                  <w:tcPr>
                    <w:tcW w:w="715" w:type="dxa"/>
                    <w:tcBorders>
                      <w:bottom w:val="single" w:sz="1" w:space="0" w:color="000000"/>
                    </w:tcBorders>
                  </w:tcPr>
                  <w:p>
                    <w:pPr>
                      <w:rPr>
                        <w:sz w:val="18"/>
                        <w:szCs w:val="18"/>
                      </w:rPr>
                    </w:pPr>
                    <w:r>
                      <w:rPr>
                        <w:sz w:val="18"/>
                        <w:szCs w:val="18"/>
                      </w:rPr>
                      <w:t>23</w:t>
                    </w:r>
                  </w:p>
                </w:tc>
                <w:tc>
                  <w:tcPr>
                    <w:tcW w:w="702" w:type="dxa"/>
                    <w:tcBorders>
                      <w:left w:val="single" w:sz="1" w:space="0" w:color="000000"/>
                      <w:bottom w:val="single" w:sz="1" w:space="0" w:color="000000"/>
                    </w:tcBorders>
                  </w:tcPr>
                  <w:p>
                    <w:pPr>
                      <w:rPr>
                        <w:sz w:val="18"/>
                        <w:szCs w:val="18"/>
                      </w:rPr>
                    </w:pPr>
                    <w:r>
                      <w:rPr>
                        <w:sz w:val="18"/>
                        <w:szCs w:val="18"/>
                      </w:rPr>
                      <w:t>24</w:t>
                    </w:r>
                  </w:p>
                </w:tc>
                <w:tc>
                  <w:tcPr>
                    <w:tcW w:w="709" w:type="dxa"/>
                    <w:tcBorders>
                      <w:left w:val="single" w:sz="1" w:space="0" w:color="000000"/>
                      <w:bottom w:val="single" w:sz="1" w:space="0" w:color="000000"/>
                    </w:tcBorders>
                  </w:tcPr>
                  <w:p>
                    <w:pPr>
                      <w:rPr>
                        <w:sz w:val="18"/>
                        <w:szCs w:val="18"/>
                      </w:rPr>
                    </w:pPr>
                    <w:r>
                      <w:rPr>
                        <w:sz w:val="18"/>
                        <w:szCs w:val="18"/>
                      </w:rPr>
                      <w:t>25</w:t>
                    </w:r>
                  </w:p>
                </w:tc>
                <w:tc>
                  <w:tcPr>
                    <w:tcW w:w="686" w:type="dxa"/>
                    <w:tcBorders>
                      <w:left w:val="single" w:sz="1" w:space="0" w:color="000000"/>
                      <w:bottom w:val="single" w:sz="1" w:space="0" w:color="000000"/>
                      <w:right w:val="single" w:sz="8" w:space="0" w:color="000000"/>
                    </w:tcBorders>
                  </w:tcPr>
                  <w:p>
                    <w:pPr>
                      <w:rPr>
                        <w:sz w:val="18"/>
                        <w:szCs w:val="18"/>
                      </w:rPr>
                    </w:pPr>
                    <w:r>
                      <w:rPr>
                        <w:sz w:val="18"/>
                        <w:szCs w:val="18"/>
                      </w:rPr>
                      <w:t>26</w:t>
                    </w:r>
                  </w:p>
                </w:tc>
              </w:tr>
              <w:tr>
                <w:trPr>
                  <w:cantSplit/>
                </w:trPr>
                <w:tc>
                  <w:tcPr>
                    <w:tcW w:w="1000" w:type="dxa"/>
                    <w:tcBorders>
                      <w:bottom w:val="single" w:sz="1" w:space="0" w:color="000000"/>
                    </w:tcBorders>
                  </w:tcPr>
                  <w:p>
                    <w:pPr>
                      <w:rPr>
                        <w:sz w:val="18"/>
                        <w:szCs w:val="18"/>
                      </w:rPr>
                    </w:pP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605"/>
                </w:trPr>
                <w:tc>
                  <w:tcPr>
                    <w:tcW w:w="1000" w:type="dxa"/>
                    <w:tcBorders>
                      <w:left w:val="single" w:sz="1" w:space="0" w:color="000000"/>
                      <w:bottom w:val="single" w:sz="1" w:space="0" w:color="000000"/>
                    </w:tcBorders>
                  </w:tcPr>
                  <w:p>
                    <w:pPr>
                      <w:rPr>
                        <w:sz w:val="18"/>
                        <w:szCs w:val="18"/>
                      </w:rPr>
                    </w:pPr>
                    <w:r>
                      <w:rPr>
                        <w:sz w:val="18"/>
                        <w:szCs w:val="18"/>
                      </w:rPr>
                      <w:t>Iš viso kiekis, t</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r>
                <w:trPr>
                  <w:cantSplit/>
                  <w:trHeight w:val="78"/>
                </w:trPr>
                <w:tc>
                  <w:tcPr>
                    <w:tcW w:w="1000" w:type="dxa"/>
                    <w:tcBorders>
                      <w:left w:val="single" w:sz="1" w:space="0" w:color="000000"/>
                      <w:bottom w:val="single" w:sz="1" w:space="0" w:color="000000"/>
                    </w:tcBorders>
                  </w:tcPr>
                  <w:p>
                    <w:pPr>
                      <w:rPr>
                        <w:sz w:val="18"/>
                        <w:szCs w:val="18"/>
                      </w:rPr>
                    </w:pPr>
                    <w:r>
                      <w:rPr>
                        <w:sz w:val="18"/>
                        <w:szCs w:val="18"/>
                      </w:rPr>
                      <w:t>Iš viso kiekis, %</w:t>
                    </w:r>
                  </w:p>
                </w:tc>
                <w:tc>
                  <w:tcPr>
                    <w:tcW w:w="1122" w:type="dxa"/>
                    <w:tcBorders>
                      <w:left w:val="single" w:sz="8"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561"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374" w:type="dxa"/>
                    <w:tcBorders>
                      <w:left w:val="single" w:sz="1" w:space="0" w:color="000000"/>
                      <w:bottom w:val="single" w:sz="1" w:space="0" w:color="000000"/>
                    </w:tcBorders>
                  </w:tcPr>
                  <w:p>
                    <w:pPr>
                      <w:rPr>
                        <w:sz w:val="18"/>
                        <w:szCs w:val="18"/>
                      </w:rPr>
                    </w:pPr>
                  </w:p>
                </w:tc>
                <w:tc>
                  <w:tcPr>
                    <w:tcW w:w="748" w:type="dxa"/>
                    <w:tcBorders>
                      <w:left w:val="single" w:sz="1" w:space="0" w:color="000000"/>
                      <w:bottom w:val="single" w:sz="1" w:space="0" w:color="000000"/>
                    </w:tcBorders>
                  </w:tcPr>
                  <w:p>
                    <w:pPr>
                      <w:rPr>
                        <w:sz w:val="18"/>
                        <w:szCs w:val="18"/>
                      </w:rPr>
                    </w:pPr>
                  </w:p>
                </w:tc>
                <w:tc>
                  <w:tcPr>
                    <w:tcW w:w="639" w:type="dxa"/>
                    <w:tcBorders>
                      <w:left w:val="single" w:sz="1" w:space="0" w:color="000000"/>
                      <w:bottom w:val="single" w:sz="1" w:space="0" w:color="000000"/>
                    </w:tcBorders>
                  </w:tcPr>
                  <w:p>
                    <w:pPr>
                      <w:rPr>
                        <w:sz w:val="18"/>
                        <w:szCs w:val="18"/>
                      </w:rPr>
                    </w:pPr>
                  </w:p>
                </w:tc>
                <w:tc>
                  <w:tcPr>
                    <w:tcW w:w="296" w:type="dxa"/>
                    <w:tcBorders>
                      <w:left w:val="single" w:sz="1" w:space="0" w:color="000000"/>
                      <w:bottom w:val="single" w:sz="1" w:space="0" w:color="000000"/>
                    </w:tcBorders>
                  </w:tcPr>
                  <w:p>
                    <w:pPr>
                      <w:rPr>
                        <w:sz w:val="18"/>
                        <w:szCs w:val="18"/>
                      </w:rPr>
                    </w:pPr>
                  </w:p>
                </w:tc>
                <w:tc>
                  <w:tcPr>
                    <w:tcW w:w="418" w:type="dxa"/>
                    <w:tcBorders>
                      <w:left w:val="single" w:sz="1" w:space="0" w:color="000000"/>
                      <w:bottom w:val="single" w:sz="1" w:space="0" w:color="000000"/>
                    </w:tcBorders>
                  </w:tcPr>
                  <w:p>
                    <w:pPr>
                      <w:rPr>
                        <w:sz w:val="18"/>
                        <w:szCs w:val="18"/>
                      </w:rPr>
                    </w:pPr>
                  </w:p>
                </w:tc>
                <w:tc>
                  <w:tcPr>
                    <w:tcW w:w="341" w:type="dxa"/>
                    <w:tcBorders>
                      <w:left w:val="single" w:sz="1" w:space="0" w:color="000000"/>
                      <w:bottom w:val="single" w:sz="1" w:space="0" w:color="000000"/>
                    </w:tcBorders>
                  </w:tcPr>
                  <w:p>
                    <w:pPr>
                      <w:rPr>
                        <w:sz w:val="18"/>
                        <w:szCs w:val="18"/>
                      </w:rPr>
                    </w:pPr>
                  </w:p>
                </w:tc>
                <w:tc>
                  <w:tcPr>
                    <w:tcW w:w="315" w:type="dxa"/>
                    <w:tcBorders>
                      <w:left w:val="single" w:sz="1" w:space="0" w:color="000000"/>
                      <w:bottom w:val="single" w:sz="1" w:space="0" w:color="000000"/>
                    </w:tcBorders>
                  </w:tcPr>
                  <w:p>
                    <w:pPr>
                      <w:rPr>
                        <w:sz w:val="18"/>
                        <w:szCs w:val="18"/>
                      </w:rPr>
                    </w:pPr>
                  </w:p>
                </w:tc>
                <w:tc>
                  <w:tcPr>
                    <w:tcW w:w="331" w:type="dxa"/>
                    <w:tcBorders>
                      <w:left w:val="single" w:sz="1" w:space="0" w:color="000000"/>
                      <w:bottom w:val="single" w:sz="1" w:space="0" w:color="000000"/>
                    </w:tcBorders>
                  </w:tcPr>
                  <w:p>
                    <w:pPr>
                      <w:rPr>
                        <w:sz w:val="18"/>
                        <w:szCs w:val="18"/>
                      </w:rPr>
                    </w:pPr>
                  </w:p>
                </w:tc>
                <w:tc>
                  <w:tcPr>
                    <w:tcW w:w="567" w:type="dxa"/>
                    <w:tcBorders>
                      <w:left w:val="single" w:sz="1" w:space="0" w:color="000000"/>
                      <w:bottom w:val="single" w:sz="1" w:space="0" w:color="000000"/>
                    </w:tcBorders>
                  </w:tcPr>
                  <w:p>
                    <w:pPr>
                      <w:rPr>
                        <w:sz w:val="18"/>
                        <w:szCs w:val="18"/>
                      </w:rPr>
                    </w:pPr>
                  </w:p>
                </w:tc>
                <w:tc>
                  <w:tcPr>
                    <w:tcW w:w="322" w:type="dxa"/>
                    <w:tcBorders>
                      <w:left w:val="single" w:sz="1" w:space="0" w:color="000000"/>
                      <w:bottom w:val="single" w:sz="1" w:space="0" w:color="000000"/>
                    </w:tcBorders>
                  </w:tcPr>
                  <w:p>
                    <w:pPr>
                      <w:rPr>
                        <w:sz w:val="18"/>
                        <w:szCs w:val="18"/>
                      </w:rPr>
                    </w:pPr>
                  </w:p>
                </w:tc>
                <w:tc>
                  <w:tcPr>
                    <w:tcW w:w="387" w:type="dxa"/>
                    <w:tcBorders>
                      <w:left w:val="single" w:sz="1" w:space="0" w:color="000000"/>
                      <w:bottom w:val="single" w:sz="1" w:space="0" w:color="000000"/>
                    </w:tcBorders>
                  </w:tcPr>
                  <w:p>
                    <w:pPr>
                      <w:rPr>
                        <w:sz w:val="18"/>
                        <w:szCs w:val="18"/>
                      </w:rPr>
                    </w:pPr>
                  </w:p>
                </w:tc>
                <w:tc>
                  <w:tcPr>
                    <w:tcW w:w="295" w:type="dxa"/>
                    <w:tcBorders>
                      <w:left w:val="single" w:sz="1" w:space="0" w:color="000000"/>
                      <w:bottom w:val="single" w:sz="1" w:space="0" w:color="000000"/>
                    </w:tcBorders>
                  </w:tcPr>
                  <w:p>
                    <w:pPr>
                      <w:rPr>
                        <w:sz w:val="18"/>
                        <w:szCs w:val="18"/>
                      </w:rPr>
                    </w:pPr>
                  </w:p>
                </w:tc>
                <w:tc>
                  <w:tcPr>
                    <w:tcW w:w="697" w:type="dxa"/>
                    <w:tcBorders>
                      <w:left w:val="single" w:sz="1" w:space="0" w:color="000000"/>
                      <w:bottom w:val="single" w:sz="1" w:space="0" w:color="000000"/>
                    </w:tcBorders>
                  </w:tcPr>
                  <w:p>
                    <w:pPr>
                      <w:rPr>
                        <w:sz w:val="18"/>
                        <w:szCs w:val="18"/>
                      </w:rPr>
                    </w:pPr>
                  </w:p>
                </w:tc>
                <w:tc>
                  <w:tcPr>
                    <w:tcW w:w="426" w:type="dxa"/>
                    <w:tcBorders>
                      <w:left w:val="single" w:sz="1" w:space="0" w:color="000000"/>
                      <w:bottom w:val="single" w:sz="1" w:space="0" w:color="000000"/>
                      <w:right w:val="single" w:sz="8" w:space="0" w:color="000000"/>
                    </w:tcBorders>
                  </w:tcPr>
                  <w:p>
                    <w:pPr>
                      <w:rPr>
                        <w:sz w:val="18"/>
                        <w:szCs w:val="18"/>
                      </w:rPr>
                    </w:pPr>
                  </w:p>
                </w:tc>
                <w:tc>
                  <w:tcPr>
                    <w:tcW w:w="715" w:type="dxa"/>
                    <w:tcBorders>
                      <w:bottom w:val="single" w:sz="1" w:space="0" w:color="000000"/>
                    </w:tcBorders>
                  </w:tcPr>
                  <w:p>
                    <w:pPr>
                      <w:rPr>
                        <w:sz w:val="18"/>
                        <w:szCs w:val="18"/>
                      </w:rPr>
                    </w:pPr>
                  </w:p>
                </w:tc>
                <w:tc>
                  <w:tcPr>
                    <w:tcW w:w="702" w:type="dxa"/>
                    <w:tcBorders>
                      <w:left w:val="single" w:sz="1" w:space="0" w:color="000000"/>
                      <w:bottom w:val="single" w:sz="1" w:space="0" w:color="000000"/>
                    </w:tcBorders>
                  </w:tcPr>
                  <w:p>
                    <w:pPr>
                      <w:rPr>
                        <w:sz w:val="18"/>
                        <w:szCs w:val="18"/>
                      </w:rPr>
                    </w:pPr>
                  </w:p>
                </w:tc>
                <w:tc>
                  <w:tcPr>
                    <w:tcW w:w="709" w:type="dxa"/>
                    <w:tcBorders>
                      <w:left w:val="single" w:sz="1" w:space="0" w:color="000000"/>
                      <w:bottom w:val="single" w:sz="1" w:space="0" w:color="000000"/>
                    </w:tcBorders>
                  </w:tcPr>
                  <w:p>
                    <w:pPr>
                      <w:rPr>
                        <w:sz w:val="18"/>
                        <w:szCs w:val="18"/>
                      </w:rPr>
                    </w:pPr>
                  </w:p>
                </w:tc>
                <w:tc>
                  <w:tcPr>
                    <w:tcW w:w="686" w:type="dxa"/>
                    <w:tcBorders>
                      <w:left w:val="single" w:sz="1" w:space="0" w:color="000000"/>
                      <w:bottom w:val="single" w:sz="1" w:space="0" w:color="000000"/>
                      <w:right w:val="single" w:sz="8" w:space="0" w:color="000000"/>
                    </w:tcBorders>
                  </w:tcPr>
                  <w:p>
                    <w:pPr>
                      <w:rPr>
                        <w:sz w:val="18"/>
                        <w:szCs w:val="18"/>
                      </w:rPr>
                    </w:pPr>
                  </w:p>
                </w:tc>
              </w:tr>
            </w:tbl>
            <w:p>
              <w:pPr>
                <w:ind w:firstLine="709"/>
              </w:pPr>
            </w:p>
            <w:p>
              <w:pPr>
                <w:ind w:firstLine="1309"/>
                <w:jc w:val="both"/>
                <w:rPr>
                  <w:sz w:val="20"/>
                </w:rPr>
              </w:pPr>
              <w:r>
                <w:rPr>
                  <w:sz w:val="20"/>
                </w:rPr>
                <w:t xml:space="preserve">PASTABA. Eilutėje „Iš viso kiekis, t“ įrašomas kiekis, nurodytas Eksploatuoti netinkamų transporto priemonių tvarkymo taisyklių 2 priedo pirminės atliekų </w:t>
              </w:r>
            </w:p>
            <w:p>
              <w:pPr>
                <w:ind w:firstLine="1309"/>
                <w:jc w:val="both"/>
                <w:rPr>
                  <w:sz w:val="20"/>
                </w:rPr>
              </w:pPr>
              <w:r>
                <w:rPr>
                  <w:sz w:val="20"/>
                </w:rPr>
                <w:t>apskaitos žurnalo priedo formos eilutėje „Iš viso kiekis, t“.</w:t>
              </w:r>
            </w:p>
            <w:p>
              <w:pPr>
                <w:ind w:firstLine="1309"/>
                <w:jc w:val="both"/>
                <w:rPr>
                  <w:sz w:val="20"/>
                </w:rPr>
              </w:pPr>
            </w:p>
          </w:sdtContent>
        </w:sdt>
        <w:sdt>
          <w:sdtPr>
            <w:alias w:val="3 pr. 2 p."/>
            <w:tag w:val="part_5fcdcaf76a1c43cc84e6b6ed57ec36ac"/>
            <w:lock w:val="sdtLocked"/>
            <w:richText/>
          </w:sdtPr>
          <w:sdtContent>
            <w:p>
              <w:pPr>
                <w:ind w:firstLine="748"/>
                <w:jc w:val="both"/>
                <w:rPr>
                  <w:sz w:val="20"/>
                </w:rPr>
              </w:pPr>
              <w:sdt>
                <w:sdtPr>
                  <w:alias w:val="Numeris"/>
                  <w:tag w:val="nr_5fcdcaf76a1c43cc84e6b6ed57ec36ac"/>
                  <w:lock w:val="sdtLocked"/>
                  <w:richText/>
                </w:sdtPr>
                <w:sdtContent>
                  <w:r>
                    <w:rPr>
                      <w:sz w:val="20"/>
                    </w:rPr>
                    <w:t>2</w:t>
                  </w:r>
                </w:sdtContent>
              </w:sdt>
              <w:r>
                <w:rPr>
                  <w:sz w:val="20"/>
                </w:rPr>
                <w:t>. Informacija apie prašymus ir gautą informaciją pagal Eksploatuoti netinkamų transporto priemonių tvarkymo taisyklių 39 punktą:</w:t>
              </w:r>
            </w:p>
            <w:p>
              <w:pPr>
                <w:ind w:firstLine="748"/>
                <w:jc w:val="both"/>
                <w:rPr>
                  <w:sz w:val="20"/>
                </w:rPr>
              </w:pPr>
            </w:p>
          </w:sdtContent>
        </w:sdt>
        <w:sdt>
          <w:sdtPr>
            <w:alias w:val="3 pr. 3 p."/>
            <w:tag w:val="part_1f2794d7fa1d4d338687eee51d7edcd0"/>
            <w:lock w:val="sdtLocked"/>
            <w:richText/>
          </w:sdtPr>
          <w:sdtContent>
            <w:p>
              <w:pPr>
                <w:ind w:firstLine="748"/>
                <w:jc w:val="both"/>
                <w:rPr>
                  <w:sz w:val="20"/>
                </w:rPr>
              </w:pPr>
              <w:sdt>
                <w:sdtPr>
                  <w:alias w:val="Numeris"/>
                  <w:tag w:val="nr_1f2794d7fa1d4d338687eee51d7edcd0"/>
                  <w:lock w:val="sdtLocked"/>
                  <w:richText/>
                </w:sdtPr>
                <w:sdtContent>
                  <w:r>
                    <w:rPr>
                      <w:sz w:val="20"/>
                    </w:rPr>
                    <w:t>3</w:t>
                  </w:r>
                </w:sdtContent>
              </w:sdt>
              <w:r>
                <w:rPr>
                  <w:sz w:val="20"/>
                </w:rPr>
                <w:t>. Pastabos ir komentarai dėl pakartotinai naudojamų dalių ir perdirbamų medžiagų rinkos sąlygų bei galimų jos tobulinimo būdų:</w:t>
              </w:r>
            </w:p>
            <w:p>
              <w:pPr>
                <w:jc w:val="center"/>
              </w:pPr>
            </w:p>
            <w:p>
              <w:pPr>
                <w:ind w:firstLine="709"/>
              </w:pPr>
            </w:p>
            <w:p>
              <w:pPr>
                <w:tabs>
                  <w:tab w:val="left" w:pos="748"/>
                  <w:tab w:val="right" w:leader="underscore" w:pos="3740"/>
                  <w:tab w:val="left" w:pos="4488"/>
                  <w:tab w:val="left" w:pos="5797"/>
                  <w:tab w:val="left" w:leader="underscore" w:pos="7854"/>
                  <w:tab w:val="left" w:pos="9350"/>
                  <w:tab w:val="right" w:leader="underscore" w:pos="13090"/>
                </w:tabs>
                <w:ind w:firstLine="748"/>
              </w:pPr>
              <w:r>
                <w:tab/>
                <w:tab/>
                <w:t>A. V.</w:t>
                <w:tab/>
                <w:tab/>
                <w:tab/>
                <w:tab/>
              </w:r>
            </w:p>
            <w:p>
              <w:pPr>
                <w:tabs>
                  <w:tab w:val="center" w:pos="2244"/>
                  <w:tab w:val="center" w:pos="6919"/>
                  <w:tab w:val="center" w:pos="11220"/>
                </w:tabs>
                <w:ind w:firstLine="709"/>
              </w:pPr>
              <w:r>
                <w:tab/>
                <w:t>(vadovo pareigų pavadinimas)</w:t>
                <w:tab/>
                <w:t>(parašas)</w:t>
                <w:tab/>
                <w:t>(vardas, pavardė)</w:t>
              </w:r>
            </w:p>
            <w:p>
              <w:pPr>
                <w:jc w:val="center"/>
              </w:pPr>
            </w:p>
            <w:p>
              <w:pPr>
                <w:tabs>
                  <w:tab w:val="right" w:leader="underscore" w:pos="14571"/>
                </w:tabs>
                <w:ind w:firstLine="709"/>
              </w:pPr>
              <w:r>
                <w:tab/>
              </w:r>
            </w:p>
            <w:p>
              <w:pPr>
                <w:ind w:firstLine="709"/>
                <w:jc w:val="both"/>
              </w:pPr>
              <w:r>
                <w:t>(informaciją užpildžiusiojo vardas, pavardė, telefonas, faksas, el. paštas)</w:t>
              </w:r>
            </w:p>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4 pr."/>
        <w:tag w:val="part_9c154f8dd5494e02a05b42ac3287678b"/>
        <w:lock w:val="sdtLocked"/>
        <w:richText/>
      </w:sdtPr>
      <w:sdtContent>
        <w:p>
          <w:pPr>
            <w:jc w:val="center"/>
            <w:sectPr>
              <w:pgSz w:w="16839" w:h="11907" w:orient="landscape"/>
              <w:pgMar w:top="1701" w:right="1134" w:bottom="567" w:left="1134"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sdt>
            <w:sdtPr>
              <w:alias w:val="Numeris"/>
              <w:tag w:val="nr_9c154f8dd5494e02a05b42ac3287678b"/>
              <w:lock w:val="sdtLocked"/>
              <w:richText/>
            </w:sdtPr>
            <w:sdtContent>
              <w:r>
                <w:t>4</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MEDŽIAGŲ, GAUNAMŲ SUSMULKINUS EKSPLOATUOTI NETINKAMAS TRANSPORTO PRIEMONES, TVARKYMĄ ŠALYJE</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*Išvardytos medžiagos ir kitos smulkinimo metu gautos medžiagos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pPr/>
          <w:r>
            <w:t>(informaciją užpildžiusiojo vardas, pavardė, telefonas, faksas, el. paštas)</w:t>
          </w:r>
        </w:p>
        <w:p>
          <w:pPr>
            <w:jc w:val="center"/>
          </w:pPr>
          <w: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5 pr."/>
        <w:tag w:val="part_274328118f8f4a57b897ea0576381648"/>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274328118f8f4a57b897ea0576381648"/>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*Dalys (atliekos) turi būti pažymėtos Atliekų sąrašo šešių skaitmenų kodu pagal Atliekų tvarkymo taisyklių 2 priedą.</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 V.</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pPr/>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BCED4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86A6D7395F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8D38517814F1"/>
  <Relationship Id="rId19" Type="http://schemas.openxmlformats.org/officeDocument/2006/relationships/hyperlink" TargetMode="External" Target="https://www.e-tar.lt/portal/lt/legalAct/TAR.EC8908C2BEE5"/>
  <Relationship Id="rId2" Type="http://schemas.openxmlformats.org/officeDocument/2006/relationships/fontTable" Target="fontTable.xml"/>
  <Relationship Id="rId20" Type="http://schemas.openxmlformats.org/officeDocument/2006/relationships/hyperlink" TargetMode="External" Target="https://www.e-tar.lt/portal/lt/legalAct/TAR.A3B226BB10B2"/>
  <Relationship Id="rId21" Type="http://schemas.openxmlformats.org/officeDocument/2006/relationships/hyperlink" TargetMode="External" Target="https://www.e-tar.lt/portal/lt/legalAct/TAR.003BDFD5EFB1"/>
  <Relationship Id="rId22" Type="http://schemas.openxmlformats.org/officeDocument/2006/relationships/hyperlink" TargetMode="External" Target="https://www.e-tar.lt/portal/lt/legalAct/TAR.69F3E4A4A1B6"/>
  <Relationship Id="rId23" Type="http://schemas.openxmlformats.org/officeDocument/2006/relationships/hyperlink" TargetMode="External" Target="https://www.e-tar.lt/portal/lt/legalAct/TAR.EC8908C2BEE5"/>
  <Relationship Id="rId24" Type="http://schemas.openxmlformats.org/officeDocument/2006/relationships/hyperlink" TargetMode="External" Target="https://www.e-tar.lt/portal/lt/legalAct/TAR.B01FB22C37B5"/>
  <Relationship Id="rId25" Type="http://schemas.openxmlformats.org/officeDocument/2006/relationships/hyperlink" TargetMode="External" Target="https://www.e-tar.lt/portal/lt/legalAct/TAR.38E37AB6E8E6"/>
  <Relationship Id="rId26" Type="http://schemas.openxmlformats.org/officeDocument/2006/relationships/hyperlink" TargetMode="External" Target="https://www.e-tar.lt/portal/lt/legalAct/TAR.50A573209187"/>
  <Relationship Id="rId27" Type="http://schemas.openxmlformats.org/officeDocument/2006/relationships/hyperlink" TargetMode="External" Target="https://www.e-tar.lt/portal/lt/legalAct/TAR.29DB5EFAA1D7"/>
  <Relationship Id="rId28" Type="http://schemas.openxmlformats.org/officeDocument/2006/relationships/hyperlink" TargetMode="External" Target="https://www.e-tar.lt/portal/lt/legalAct/TAR.3CEFCE5151A2"/>
  <Relationship Id="rId29" Type="http://schemas.openxmlformats.org/officeDocument/2006/relationships/hyperlink" TargetMode="External" Target="https://www.e-tar.lt/portal/lt/legalAct/TAR.2A629A227788"/>
  <Relationship Id="rId3" Type="http://schemas.openxmlformats.org/officeDocument/2006/relationships/footer" Target="footer1.xml"/>
  <Relationship Id="rId30" Type="http://schemas.openxmlformats.org/officeDocument/2006/relationships/hyperlink" TargetMode="External" Target="https://www.e-tar.lt/portal/lt/legalAct/TAR.B03710F29930"/>
  <Relationship Id="rId31" Type="http://schemas.openxmlformats.org/officeDocument/2006/relationships/hyperlink" TargetMode="External" Target="https://www.e-tar.lt/portal/lt/legalAct/TAR.AA36048687D5"/>
  <Relationship Id="rId32" Type="http://schemas.openxmlformats.org/officeDocument/2006/relationships/hyperlink" TargetMode="External" Target="https://www.e-tar.lt/portal/lt/legalAct/TAR.DA8697F09F55"/>
  <Relationship Id="rId33" Type="http://schemas.openxmlformats.org/officeDocument/2006/relationships/hyperlink" TargetMode="External" Target="https://www.e-tar.lt/portal/lt/legalAct/TAR.BEF1390C17FE"/>
  <Relationship Id="rId34" Type="http://schemas.openxmlformats.org/officeDocument/2006/relationships/hyperlink" TargetMode="External" Target="https://www.e-tar.lt/portal/lt/legalAct/TAR.3388A17F5C5B"/>
  <Relationship Id="rId35" Type="http://schemas.openxmlformats.org/officeDocument/2006/relationships/hyperlink" TargetMode="External" Target="https://www.e-tar.lt/portal/lt/legalAct/TAR.E1E48D37FBEF"/>
  <Relationship Id="rId36" Type="http://schemas.openxmlformats.org/officeDocument/2006/relationships/hyperlink" TargetMode="External" Target="https://www.e-tar.lt/portal/lt/legalAct/TAR.5C8F10257E92"/>
  <Relationship Id="rId37" Type="http://schemas.openxmlformats.org/officeDocument/2006/relationships/header" Target="header4.xml"/>
  <Relationship Id="rId38" Type="http://schemas.openxmlformats.org/officeDocument/2006/relationships/header" Target="header5.xml"/>
  <Relationship Id="rId39" Type="http://schemas.openxmlformats.org/officeDocument/2006/relationships/footer" Target="footer4.xml"/>
  <Relationship Id="rId4" Type="http://schemas.openxmlformats.org/officeDocument/2006/relationships/footer" Target="footer2.xml"/>
  <Relationship Id="rId40" Type="http://schemas.openxmlformats.org/officeDocument/2006/relationships/footer" Target="footer5.xml"/>
  <Relationship Id="rId41" Type="http://schemas.openxmlformats.org/officeDocument/2006/relationships/header" Target="header6.xml"/>
  <Relationship Id="rId42" Type="http://schemas.openxmlformats.org/officeDocument/2006/relationships/footer" Target="footer6.xml"/>
  <Relationship Id="rId43" Type="http://schemas.openxmlformats.org/officeDocument/2006/relationships/hyperlink" TargetMode="External" Target="https://www.e-tar.lt/portal/lt/legalAct/TAR.22061B01FE49"/>
  <Relationship Id="rId44" Type="http://schemas.openxmlformats.org/officeDocument/2006/relationships/hyperlink" TargetMode="External" Target="https://www.e-tar.lt/portal/lt/legalAct/TAR.360560CA7369"/>
  <Relationship Id="rId45" Type="http://schemas.openxmlformats.org/officeDocument/2006/relationships/hyperlink" TargetMode="External" Target="https://www.e-tar.lt/portal/lt/legalAct/TAR.E4770C38FFA4"/>
  <Relationship Id="rId46" Type="http://schemas.openxmlformats.org/officeDocument/2006/relationships/customXml" Target="../customXml/item1.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527766f62312438b810ac53321c65418">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dfd5ef4bb59a4107ac1c5eee8ae35096"/>
    <Part Type="punktas" Nr="6" Abbr="6 p." DocPartId="f319471d862b49b6a93b03c5776ba3e1" PartId="b8445e4401064b7db7de64259370e15e"/>
    <Part Type="signatura" DocPartId="f2df4d96711d43119a56417a2016307a" PartId="686ffff085b749bd827562432345cad1"/>
  </Part>
  <Part Type="patvirtinta" Title="EKSPLOATUOTI NETINKAMŲ TRANSPORTO PRIEMONIŲ TVARKYMO TAISYKLĖS" DocPartId="7d1c9462fb3a40e69c7d64128694066e" PartId="64c93b513d3149ccb97abceec9d540ea">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7d0ac11e77d64d20be0212f56d493f19"/>
      <Part Type="punktas" Nr="4" Abbr="4 p." DocPartId="ee475e16d1ee45d2b06144f8883a0977" PartId="c0f8ae14eb634ca38806a57f92ade5ee"/>
      <Part Type="punktas" Nr="5" Abbr="5 p." DocPartId="0bcfdeea5a964b7cac932f65e8b11c5e" PartId="39f59d5f23e442c893801c2ea5c182c2"/>
      <Part Type="punktas" Nr="6" Abbr="6 p." DocPartId="d84ae8a3bc72400ab6e900603baf12fb" PartId="c55e469ca78d43aa88150a13bb29a8cd">
        <Part Type="punktas" Nr="6.1" Abbr="6.1 p." DocPartId="1de0b46d651140ef859be51b4fc7f58f" PartId="6a8e841122494bc88b316cf564f986b4"/>
        <Part Type="punktas" Nr="6.2" Abbr="6.2 p." DocPartId="2e27d68951334e3ca4a9b5fc55127d01" PartId="8a1ecccd91c94a9fabbda6ccb574b129"/>
        <Part Type="punktas" Nr="6.3" Abbr="6.3 p." DocPartId="b6e15879c9cf4d23aaa92c5e769c26d9" PartId="3bda79200df54e829a26384fa0ee1f9e"/>
        <Part Type="punktas" Nr="6.4" Abbr="6.4 p." DocPartId="8943ee7926784c0a86be3b5dc50ebef9" PartId="45668e1ebbdb48bfa024f259a6338a34"/>
        <Part Type="punktas" Nr="6.5" Abbr="6.5 p." DocPartId="38b9397e6a12404197172545a7a5dfbb" PartId="4f522fab42774703ada28428c81e7551"/>
        <Part Type="punktas" Nr="6.6" Abbr="6.6 p." DocPartId="d1a7c1bf56364b028359e8369fb232d2" PartId="538af287512541b18dae62ca261f469c"/>
        <Part Type="punktas" Nr="6.7" Abbr="6.7 p." DocPartId="c31298c3c273472abe7a7e8016a7c772" PartId="2b142b35421e4271a88bdf29128fa652"/>
        <Part Type="punktas" Nr="6.8" Abbr="6.8 p." DocPartId="f763e48b0882408895715cbc297bb6bf" PartId="17637ecd188047c0b0177f59e5c70a2f"/>
        <Part Type="punktas" Nr="6.9" Abbr="6.9 p." DocPartId="8ea3c11f9eed410fae5d3cac9867277d" PartId="c9b61383410a4a4599d06bab5c1f3c00"/>
        <Part Type="punktas" Nr="6.9-1" Abbr="6.9-1 p." Title="" DocPartId="ac0f5468ee31429097a54f211e9969dd" PartId="d5aa67d7cd3a443199e9664e4ab9e8f9"/>
        <Part Type="punktas" Nr="6.9-2" Abbr="6.9-2 p." Title="" DocPartId="3de0d7268a0b4a8ca8314a2f9eca5af9" PartId="f8c25078b9524b3080fcca5edc085d52"/>
        <Part Type="punktas" Nr="6.9-3" Abbr="6.9-3 p." Title="" DocPartId="1438881510f9433fa448a819d68a3627" PartId="d312bdbc56444052bcb4373fd05db8b8"/>
      </Part>
      <Part Type="punktas" Nr="7" Abbr="7 p." DocPartId="314e4e61dca84c5f85209889b73466af" PartId="ef70a352259c4747967b07f710216107">
        <Part Type="punktas" Nr="7.1" Abbr="7.1 p." DocPartId="df3f2692381f4821b7598dd6fb494b7c" PartId="c64d5b0ddcf24df0bf3a61cf020bd2e6"/>
        <Part Type="punktas" Nr="7.2" Abbr="7.2 p." DocPartId="02d91eed539942788a29ddc9c5ef06e8" PartId="e471e9ae69cd473894fddfe42f52501b"/>
        <Part Type="punktas" Nr="7.3" Abbr="7.3 p." DocPartId="b7ab04315fe3442184266ac9e9763cf9" PartId="756594291df742e290d7a595bf605305"/>
        <Part Type="punktas" Nr="7.4" Abbr="7.4 p." DocPartId="5a2ff8f3b146470ea7634abd735ab74f" PartId="90afc9ea81a24d09998248bdb3e40256"/>
        <Part Type="punktas" Nr="7.5" Abbr="7.5 p." DocPartId="c591dcfe25024ef8959e141d4b7130ef" PartId="e624d0fac503425481e9c4997befb022"/>
        <Part Type="punktas" Nr="7.6" Abbr="7.6 p." DocPartId="071f644d6a834fd4abe93ced749fa9be" PartId="d4915941b8fd40568b0db3ae2927b53b"/>
        <Part Type="punktas" Nr="7.7" Abbr="7.7 p." DocPartId="04930fa1f8194b5bbe3aeda84326ce74" PartId="8cedeb167bf742b094f0719372cffaf3"/>
        <Part Type="punktas" Nr="7.8" Abbr="7.8 p." DocPartId="2a9b42de66b04d2fbe50b3718bf5d8aa" PartId="b70be9d7ec004a8fbd12e41526987013"/>
        <Part Type="punktas" Nr="7.9" Abbr="7.9 p." DocPartId="1c98f268bc9c4afebdf1a841b121c78d" PartId="495891982b0c480d92b8af7b75a51040"/>
        <Part Type="punktas" Nr="7.10" Abbr="7.10 p." DocPartId="cd8b807cb0df4831bee4746b44acfd0f" PartId="5d5fe4fb35384a63ae96f26f3f2294fa"/>
        <Part Type="punktas" Nr="7.11" Abbr="7.11 p." DocPartId="15d30c072af74bc581621e01b25a5bd9" PartId="dfed7efbb0f843c1b501de537389ec3d"/>
        <Part Type="punktas" Nr="7.12" Abbr="7.12 p." DocPartId="601aae9b7d674a6783696d0588aed3c2" PartId="36f69f76168840bb99f563ed9d6294af"/>
        <Part Type="punktas" Nr="7.13" Abbr="7.13 p." DocPartId="4876f6d3c78b42c5ab1df51d711bee3d" PartId="1010b9d63a8446c4ae2b804e153e438d"/>
        <Part Type="punktas" Nr="7.14" Abbr="7.14 p." DocPartId="ea5b7e10dbdd4775926d6100475fb346" PartId="036efd7783784b8e810a14b07accab56"/>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394d57b0665b470894e9d3e176b1f283"/>
      <Part Type="punktas" Nr="10" Abbr="10 p." DocPartId="a2efb676478a4b568381fd95a33dcf65" PartId="21ed1f8f12a8451887903a06b2345539"/>
      <Part Type="punktas" Nr="11" Abbr="11 p." DocPartId="d79cd863afdb49d4899499fd35097984" PartId="2807c2ae4265434dbcc0262520e70f3e"/>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35f8007bfcde4de39324c39fd671bec9"/>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a8e13cf8f6b142b3a29ffb5b894971c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8e2633bd9e2c44ca863d28d0b3a639b4"/>
      <Part Type="punktas" Nr="18" Abbr="18 p." DocPartId="a7db4594d7ff4b09952c8f866347e56f" PartId="e4794a1fd1744350b15a9ee5bdc88c89">
        <Part Type="punktas" Nr="18.1" Abbr="18.1 p." DocPartId="4f10f74625f24946bcc0467e9202be74" PartId="9655866a7b874a8687edc39a6edc2c14"/>
        <Part Type="punktas" Nr="18.2" Abbr="18.2 p." DocPartId="49f6aa71ce364bc9891367dfc03d08d5" PartId="3d93294826ab454ebfe7f2ac595a2f4d"/>
        <Part Type="punktas" Nr="18.3" Abbr="18.3 p." DocPartId="14d7a1361be14f0f8c8b2afc71718927" PartId="f3ba91296cce42018c83c58f1f84a4fd"/>
        <Part Type="punktas" Nr="18.4" Abbr="18.4 p." DocPartId="fbc63ab513e64a9baebe5d228aa40421" PartId="b44d8078dd9c4080b6178bde5d5e4c0a"/>
        <Part Type="punktas" Nr="18.5" Abbr="18.5 p." DocPartId="7a2aecdde9ff442a8d7135faa134de53" PartId="c39b791a3517495db41a06aeebe50a37"/>
        <Part Type="punktas" Nr="18.6" Abbr="18.6 p." DocPartId="9f052fe1fadd49a793a2578df96f7e6c" PartId="fd1881feb8cf452cb90336d151b27a2a"/>
        <Part Type="punktas" Nr="18.7" Abbr="18.7 p." DocPartId="60c69b372cea49fdbc8f3691d6c047d7" PartId="5df11cbcba804b71b555e0f0a92f2c40"/>
        <Part Type="punktas" Nr="18.8" Abbr="18.8 p." DocPartId="df2e68bd0bc1423bacd84b238f1b89f3" PartId="230172c0ad8548b1a8f8da148c717e52"/>
      </Part>
      <Part Type="punktas" Nr="19" Abbr="19 p." DocPartId="82685284060a4fcca17a5f071165c565" PartId="37c2594083984a3bac0417aacf679339">
        <Part Type="punktas" Nr="19.1" Abbr="19.1 p." DocPartId="e0cab845f36b462e9c05ee64e6de8c59" PartId="fe038f7bf599492591d4e9ca97bc58a7"/>
        <Part Type="punktas" Nr="19.2" Abbr="19.2 p." DocPartId="782816f8ec6b4256b68ff6975b5c439d" PartId="5ff1c61da5b840f38541dee74ad456b1"/>
      </Part>
      <Part Type="punktas" Nr="20" Abbr="20 p." DocPartId="a479ed5bf42e42698fd54582371d0831" PartId="60f3023bc1c74f92b97e9e5561762422">
        <Part Type="punktas" Nr="20.1" Abbr="20.1 p." DocPartId="bc599960d35b4c5a9ad05a696e244d52" PartId="be066b24e3c84907b62813d402c31e34"/>
        <Part Type="punktas" Nr="20.2" Abbr="20.2 p." DocPartId="f84c39227b3f40f9961f4f98d558196c" PartId="605952e2f4c54a76adf41d77a53474b2"/>
        <Part Type="punktas" Nr="20.3" Abbr="20.3 p." DocPartId="c88c94a93f8e416ea970dba91b2d16a0" PartId="c325b7b811b54324b9a40bbea9639ab3"/>
        <Part Type="punktas" Nr="20.4" Abbr="20.4 p." DocPartId="15a0bdde9f4648c18b99cb2c2af4ec4d" PartId="a04ada2418b6405a91799acb54b9ca31"/>
        <Part Type="punktas" Nr="20.5" Abbr="20.5 p." DocPartId="68bffb013cc941748987f2e809d14fac" PartId="b1da026193d045b4b1373c9134b73f54"/>
      </Part>
      <Part Type="punktas" Nr="21" Abbr="21 p." DocPartId="af066894c8bd453a825f076e3d8338b1" PartId="db9fc7a3c6864d2abed79dad5b0abee7"/>
      <Part Type="punktas" Nr="22" Abbr="22 p." DocPartId="ea7e5ca3f0e743548fd31a65615c9a1b" PartId="60020af3bf9f48039d30542d1dcd71ab"/>
      <Part Type="punktas" Nr="23" Abbr="23 p." DocPartId="2528e7ddfa48498eaa96d510cfcb1e35" PartId="6f258047a34c43ebb64da654d516cec8"/>
      <Part Type="punktas" Nr="24" Abbr="24 p." DocPartId="8315507fe3eb433491098146c793cf16" PartId="7636cac2726d482db3c450e144235fd3"/>
      <Part Type="punktas" Nr="25" Abbr="25 p." DocPartId="49e66af546704def8f18c40f376a7fe8" PartId="57912683566e473d8260b23560fe9741"/>
      <Part Type="punktas" Nr="26" Abbr="26 p." DocPartId="dd2889078ef2413181628d309d389167" PartId="80ff6487e92e46e3b61c6d0879e3fc80"/>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bd08b2b7c573417188273c31a76fd656"/>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3e6a5c3780fb41b0ae28db818654e6b9">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PIRMINĖ ATLIEKŲ APSKAITA" DocPartId="70c9b9e4bb8a47f0890ef99edd02e5dc" PartId="78a3d5ad0f754ce7bb8532897d9e7760">
      <Part Type="punktas" Nr="40" Abbr="40 p." DocPartId="74425582f2154a6095d68c2790cab269" PartId="cd47f757649a4ef6a1a4f01dcbf2861f"/>
      <Part Type="punktas" Nr="41" Abbr="41 p." DocPartId="ba0f68e5e1a64059a694237a1d990047" PartId="fb6739e0c51a453287cc731e4633e8e0"/>
    </Part>
    <Part Type="skyrius" Nr="8" Title="ATASKAITOS" DocPartId="7d62338c577e46beb265c175534461ff" PartId="e5086158df29486eb70b83ecd8db953b">
      <Part Type="punktas" Nr="42" Abbr="42 p." DocPartId="9f18eeb6dd4a48a2a87b72a47602e5e6" PartId="b72886234c5844479b48b2f3955ca2a7"/>
      <Part Type="punktas" Nr="43" Abbr="43 p." DocPartId="2e8343f0b4dd4594b69f635179dd6ff2" PartId="4d60b3b526234cd0a9a9b48b3e2ea8fd"/>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37d4c6ca70394e419727b9a8a2bec6ae"/>
  <Part Type="priedas" Nr="2" Abbr="2 pr." Title="" DocPartId="b82d02dbc3504eb882a6a36be88ae183" PartId="0ef6f09213f44bffaaf5696772033919">
    <Part Type="lentele" Title="EKSPLOATUOTI NETINKAMŲ TRANSPORTO PRIEMONIŲ PRIĖMIMAS IR APDOROJIMAS" DocPartId="0f4ff9418fe94873a21e61d03f90cf8f" PartId="063969b6c35d4ee2b9f6bdb2e1f3a6dc"/>
    <Part Type="lentele" Title="PIRMINĖS ATLIEKŲ APSKAITOS ŽURNALO PRIEDO UŽPILDYMO TVARKA" DocPartId="393e77fd0b82472cb3c8958adbd2ce1a" PartId="05faa03292e849fc9812db25cdf247be"/>
    <Part Type="pastraipa" DocPartId="9972a720b0e040929051c0f0f8f5b814" PartId="afc5e8a1c2b14223a14b8fde5a5bfa6a"/>
  </Part>
  <Part Type="priedas" Nr="3" Abbr="3 pr." Title="" DocPartId="779873de636e4088984d686078916c1d" PartId="0c27b908656845e7a02fbf3c33d6faf5">
    <Part Type="punktas" Nr="1" Abbr="3 pr. 1 p." DocPartId="6662aa10044f44589bc0f3681f4f8f1a" PartId="40ff0321ab8147058f214b7d967df272"/>
    <Part Type="punktas" Nr="2" Abbr="3 pr. 2 p." DocPartId="b5241dcc2ae045d2abe6edaee20915b7" PartId="5fcdcaf76a1c43cc84e6b6ed57ec36ac"/>
    <Part Type="punktas" Nr="3" Abbr="3 pr. 3 p." DocPartId="99634794d10546d9a0818bae62dbcd57" PartId="1f2794d7fa1d4d338687eee51d7edcd0"/>
  </Part>
  <Part Type="priedas" Nr="4" Abbr="4 pr." Title="" DocPartId="66209067af5949ada429d6ab739b3f3f" PartId="9c154f8dd5494e02a05b42ac3287678b"/>
  <Part Type="priedas" Nr="5" Abbr="5 pr." Title="" DocPartId="7ba31e3fc0f249c2bbda83d45536b6e8" PartId="274328118f8f4a57b897ea0576381648"/>
</Parts>
</file>

<file path=customXml/itemProps1.xml><?xml version="1.0" encoding="utf-8"?>
<ds:datastoreItem xmlns:ds="http://schemas.openxmlformats.org/officeDocument/2006/customXml" ds:itemID="{A58DBCC5-FE34-40CF-80A7-71D021D38545}">
  <ds:schemaRefs>
    <ds:schemaRef ds:uri="http://lrs.lt/TAIS/DocParts"/>
  </ds:schemaRefs>
</ds:datastoreItem>
</file>

<file path=docProps/app.xml><?xml version="1.0" encoding="utf-8"?>
<Properties xmlns="http://schemas.openxmlformats.org/officeDocument/2006/extended-properties">
  <Template>Normal.dotm</Template>
  <TotalTime>9</TotalTime>
  <Pages>19</Pages>
  <Words>31131</Words>
  <Characters>17745</Characters>
  <Application>Microsoft Office Word</Application>
  <DocSecurity>0</DocSecurity>
  <Lines>147</Lines>
  <Paragraphs>97</Paragraphs>
  <ScaleCrop>false</ScaleCrop>
  <Company/>
  <LinksUpToDate>false</LinksUpToDate>
  <CharactersWithSpaces>48779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JUOSPONIENĖ Karolina</lastModifiedBy>
  <dcterms:modified xsi:type="dcterms:W3CDTF">2016-03-04T12:29:00Z</dcterms:modified>
  <revision>4</revision>
</coreProperties>
</file>