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mbeddings/oleObject6.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f2602925bf4ba0a569583b855ff53e"/>
        <w:lock w:val="sdtLocked"/>
        <w:richText/>
      </w:sdtPr>
      <w:sdtContent>
        <w:p>
          <w:pPr>
            <w:jc w:val="both"/>
            <w:rPr>
              <w:rFonts w:ascii="Times New Roman" w:hAnsi="Times New Roman"/>
            </w:rPr>
          </w:pPr>
          <w:r>
            <w:rPr>
              <w:rFonts w:ascii="Times New Roman" w:hAnsi="Times New Roman"/>
              <w:b/>
              <w:i/>
            </w:rPr>
            <w:t>Suvestinė redakcija nuo 2016-05-01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633ED152B54A">
            <w:r w:rsidRPr="00532B9F">
              <w:rPr>
                <w:rFonts w:ascii="Times New Roman" w:eastAsia="MS Mincho" w:hAnsi="Times New Roman"/>
                <w:sz w:val="20"/>
                <w:i/>
                <w:iCs/>
                <w:color w:val="0000FF" w:themeColor="hyperlink"/>
                <w:u w:val="single"/>
              </w:rPr>
              <w:t>41-1357</w:t>
            </w:r>
          </w:fldSimple>
          <w:r>
            <w:rPr>
              <w:rFonts w:ascii="Times New Roman" w:eastAsia="MS Mincho" w:hAnsi="Times New Roman"/>
              <w:sz w:val="20"/>
              <w:i/>
              <w:iCs/>
            </w:rPr>
            <w:t>, i. k. 1042250ISAK000V-114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2016-05-01:</w:t>
          </w:r>
        </w:p>
        <w:p>
          <w:pPr>
            <w:rPr>
              <w:rFonts w:ascii="Times New Roman" w:hAnsi="Times New Roman"/>
              <w:sz w:val="20"/>
              <w:i/>
            </w:rPr>
          </w:pPr>
          <w:r>
            <w:rPr>
              <w:rFonts w:ascii="Times New Roman" w:hAnsi="Times New Roman"/>
              <w:sz w:val="20"/>
              <w:i/>
            </w:rPr>
            <w:t xml:space="preserve">Nr. </w:t>
          </w:r>
          <w:fldSimple w:instr="HYPERLINK https://www.e-tar.lt/portal/legalAct.html?documentId=ca3f37f0afaa11e5b12fbb7dc920ee2c">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2015-12-14,
paskelbta TAR 2015-12-31, i. k. 2015-21256                </w:t>
          </w:r>
        </w:p>
        <w:p>
          <w:pPr>
            <w:rPr>
              <w:rFonts w:ascii="Times New Roman" w:hAnsi="Times New Roman"/>
              <w:sz w:val="22"/>
            </w:rPr>
          </w:pPr>
        </w:p>
        <w:p>
          <w:pPr>
            <w:spacing w:line="283" w:lineRule="auto"/>
            <w:jc w:val="center"/>
            <w:rPr>
              <w:b/>
              <w:caps/>
              <w:szCs w:val="24"/>
              <w:lang w:val="pt-BR"/>
            </w:rPr>
          </w:pPr>
          <w:r>
            <w:rPr>
              <w:b/>
              <w:caps/>
              <w:szCs w:val="24"/>
              <w:lang w:val="pt-BR"/>
            </w:rPr>
            <w:t>Lietuvos Respublikos sveikatos apsaugos ministrAS</w:t>
          </w:r>
        </w:p>
        <w:p>
          <w:pPr>
            <w:spacing w:line="283" w:lineRule="auto"/>
            <w:jc w:val="center"/>
            <w:rPr>
              <w:b/>
              <w:caps/>
              <w:szCs w:val="24"/>
            </w:rPr>
          </w:pPr>
        </w:p>
        <w:p>
          <w:pPr>
            <w:spacing w:line="283" w:lineRule="auto"/>
            <w:jc w:val="center"/>
            <w:rPr>
              <w:b/>
              <w:caps/>
              <w:szCs w:val="24"/>
            </w:rPr>
          </w:pPr>
          <w:r>
            <w:rPr>
              <w:b/>
              <w:caps/>
              <w:szCs w:val="24"/>
            </w:rPr>
            <w:t>ĮSAKYMAS</w:t>
          </w:r>
        </w:p>
        <w:p>
          <w:pPr>
            <w:jc w:val="center"/>
            <w:rPr>
              <w:b/>
              <w:bCs/>
              <w:caps/>
              <w:szCs w:val="24"/>
            </w:rPr>
          </w:pPr>
          <w:r>
            <w:rPr>
              <w:b/>
              <w:bCs/>
              <w:caps/>
              <w:szCs w:val="24"/>
            </w:rPr>
            <w:t xml:space="preserve">DĖL LIETUVOS HIGIENOS NORMOS HN 60:2015 „PavojingųJŲ cheminių medžiagų RIBINĖS VERTĖS dirvožemyje“ PATvirtinimo </w:t>
          </w:r>
        </w:p>
        <w:p>
          <w:pPr>
            <w:jc w:val="center"/>
            <w:rPr>
              <w:szCs w:val="24"/>
            </w:rPr>
          </w:pPr>
        </w:p>
        <w:p>
          <w:pPr>
            <w:jc w:val="center"/>
            <w:rPr>
              <w:color w:val="000000"/>
            </w:rPr>
          </w:pPr>
          <w:r>
            <w:rPr>
              <w:color w:val="000000"/>
            </w:rPr>
            <w:t>2004 m. kovo 8 d. Nr. V-114</w:t>
          </w:r>
        </w:p>
        <w:p>
          <w:pPr>
            <w:jc w:val="center"/>
            <w:rPr>
              <w:color w:val="000000"/>
            </w:rPr>
          </w:pPr>
          <w:r>
            <w:rPr>
              <w:color w:val="000000"/>
            </w:rPr>
            <w:t>Vilnius</w:t>
          </w:r>
        </w:p>
        <w:p>
          <w:pPr>
            <w:jc w:val="center"/>
            <w:rPr>
              <w:color w:val="000000"/>
            </w:rPr>
          </w:pPr>
        </w:p>
        <w:p>
          <w:pPr>
            <w:jc w:val="center"/>
            <w:rPr>
              <w:szCs w:val="24"/>
            </w:rPr>
          </w:pPr>
        </w:p>
        <w:sdt>
          <w:sdtPr>
            <w:alias w:val="preambule"/>
            <w:tag w:val="part_e7a854375b324ec6ac9e2f1821ee8ec8"/>
            <w:lock w:val="sdtLocked"/>
            <w:richText/>
          </w:sdtPr>
          <w:sdtContent>
            <w:p>
              <w:pPr>
                <w:ind w:firstLine="720"/>
                <w:jc w:val="both"/>
                <w:rPr>
                  <w:szCs w:val="24"/>
                </w:rPr>
              </w:pPr>
              <w:r>
                <w:rPr>
                  <w:szCs w:val="24"/>
                </w:rPr>
                <w:t>Vadovaudamasis Lietuvos Respublikos visuomenės sveikatos priežiūros įstatymo 16 straipsnio 1 dalimi, Lietuvos Respublikos Vyriausybės 2008 m. balandžio 9 d. nutarimu Nr. 341 „Dėl Esminių statinio reikalavimų ir statinio techninių parametrų pagal statinių ar statybos produktų charakteristikų lygius ir klases nustatymo kompetencijos priskyrimo valstybės institucijoms“ 3 punktu:</w:t>
              </w:r>
            </w:p>
          </w:sdtContent>
        </w:sdt>
        <w:sdt>
          <w:sdtPr>
            <w:alias w:val="1 p."/>
            <w:tag w:val="part_9564043d68c44b6d8a234dc968409c42"/>
            <w:lock w:val="sdtLocked"/>
            <w:richText/>
          </w:sdtPr>
          <w:sdtContent>
            <w:p>
              <w:pPr>
                <w:ind w:firstLine="720"/>
                <w:jc w:val="both"/>
                <w:rPr>
                  <w:szCs w:val="24"/>
                </w:rPr>
              </w:pPr>
              <w:sdt>
                <w:sdtPr>
                  <w:alias w:val="Numeris"/>
                  <w:tag w:val="nr_9564043d68c44b6d8a234dc968409c42"/>
                  <w:lock w:val="sdtLocked"/>
                  <w:richText/>
                </w:sdtPr>
                <w:sdtContent>
                  <w:r>
                    <w:rPr>
                      <w:szCs w:val="24"/>
                    </w:rPr>
                    <w:t>1</w:t>
                  </w:r>
                </w:sdtContent>
              </w:sdt>
              <w:r>
                <w:rPr>
                  <w:szCs w:val="24"/>
                </w:rPr>
                <w:t xml:space="preserve">. T v i r t i n u Lietuvos higienos normą </w:t>
              </w:r>
              <w:r>
                <w:rPr>
                  <w:color w:val="000000"/>
                  <w:szCs w:val="24"/>
                </w:rPr>
                <w:t>HN 60:2015 „Pavojingųjų cheminių medžiagų ribinės vertės dirvožemyje“</w:t>
              </w:r>
              <w:r>
                <w:rPr>
                  <w:szCs w:val="24"/>
                </w:rPr>
                <w:t xml:space="preserve"> (pridedama).</w:t>
              </w:r>
            </w:p>
          </w:sdtContent>
        </w:sdt>
        <w:sdt>
          <w:sdtPr>
            <w:alias w:val="2 p."/>
            <w:tag w:val="part_190c80fc8d374844911e903b0bd4ca3b"/>
            <w:lock w:val="sdtLocked"/>
            <w:richText/>
          </w:sdtPr>
          <w:sdtContent>
            <w:p>
              <w:pPr>
                <w:tabs>
                  <w:tab w:val="left" w:pos="9498"/>
                </w:tabs>
                <w:ind w:firstLine="720"/>
                <w:jc w:val="both"/>
              </w:pPr>
              <w:sdt>
                <w:sdtPr>
                  <w:alias w:val="Numeris"/>
                  <w:tag w:val="nr_190c80fc8d374844911e903b0bd4ca3b"/>
                  <w:lock w:val="sdtLocked"/>
                  <w:richText/>
                </w:sdtPr>
                <w:sdtContent>
                  <w:r>
                    <w:rPr>
                      <w:szCs w:val="24"/>
                    </w:rPr>
                    <w:t>2</w:t>
                  </w:r>
                </w:sdtContent>
              </w:sdt>
              <w:r>
                <w:rPr>
                  <w:szCs w:val="24"/>
                </w:rPr>
                <w:t xml:space="preserve">. </w:t>
              </w:r>
              <w:r>
                <w:rPr>
                  <w:color w:val="000000"/>
                  <w:szCs w:val="24"/>
                </w:rPr>
                <w:t>P a v e d u</w:t>
              </w:r>
              <w:r>
                <w:rPr>
                  <w:szCs w:val="24"/>
                </w:rPr>
                <w:t xml:space="preserve"> įsakymo vykdymą kontroliuoti viceministrui pagal veiklos sritį.</w:t>
              </w:r>
            </w:p>
          </w:sdtContent>
        </w:sdt>
        <w:sdt>
          <w:sdtPr>
            <w:alias w:val="signatura"/>
            <w:tag w:val="part_4c672f5d2360419eb3f9438c9615b662"/>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rPr>
                  <w:caps/>
                </w:rPr>
                <w:t xml:space="preserve">SVEIKATOS APSAUGOS MINISTRAS </w:t>
                <w:tab/>
                <w:t>JUOZAS OLEKAS</w:t>
              </w:r>
            </w:p>
          </w:sdtContent>
        </w:sdt>
        <w:p/>
      </w:sdtContent>
    </w:sdt>
    <w:sdt>
      <w:sdtPr>
        <w:alias w:val="patvirtinta"/>
        <w:tag w:val="part_be01ab0b2cb14b93a7c0b156d43e9b1a"/>
        <w:lock w:val="sdtLocked"/>
        <w:richText/>
      </w:sdtPr>
      <w:sdtContent>
        <w:p>
          <w:pPr>
            <w:tabs>
              <w:tab w:val="left" w:pos="5529"/>
            </w:tabs>
            <w:ind w:left="5103"/>
          </w:pPr>
          <w:r>
            <w:br w:type="page"/>
          </w:r>
        </w:p>
        <w:p>
          <w:pPr>
            <w:tabs>
              <w:tab w:val="left" w:pos="5529"/>
            </w:tabs>
            <w:ind w:left="5103"/>
            <w:rPr>
              <w:szCs w:val="24"/>
            </w:rPr>
          </w:pPr>
          <w:r>
            <w:rPr>
              <w:szCs w:val="24"/>
            </w:rPr>
            <w:t>PATVIRTINTA</w:t>
          </w:r>
        </w:p>
        <w:p>
          <w:pPr>
            <w:tabs>
              <w:tab w:val="left" w:pos="5387"/>
            </w:tabs>
            <w:ind w:left="5103"/>
            <w:rPr>
              <w:szCs w:val="24"/>
            </w:rPr>
          </w:pPr>
          <w:r>
            <w:rPr>
              <w:szCs w:val="24"/>
            </w:rPr>
            <w:t xml:space="preserve">Lietuvos Respublikos sveikatos apsaugos ministro 2004 m. kovo 8 d. įsakymu Nr. V-114 </w:t>
          </w:r>
        </w:p>
        <w:p>
          <w:pPr>
            <w:tabs>
              <w:tab w:val="left" w:pos="5387"/>
            </w:tabs>
            <w:ind w:left="5103"/>
            <w:rPr>
              <w:szCs w:val="24"/>
            </w:rPr>
          </w:pPr>
          <w:r>
            <w:rPr>
              <w:szCs w:val="24"/>
            </w:rPr>
            <w:t>(Lietuvos Respublikos sveikatos apsaugos ministro 2015 m. gruodžio 14 d.</w:t>
          </w:r>
        </w:p>
        <w:p>
          <w:pPr>
            <w:tabs>
              <w:tab w:val="left" w:pos="5529"/>
            </w:tabs>
            <w:ind w:left="5103"/>
            <w:rPr>
              <w:szCs w:val="24"/>
            </w:rPr>
          </w:pPr>
          <w:r>
            <w:rPr>
              <w:szCs w:val="24"/>
            </w:rPr>
            <w:t>įsakymo Nr. V-1441 redakcija)</w:t>
          </w:r>
        </w:p>
        <w:p>
          <w:pPr>
            <w:tabs>
              <w:tab w:val="left" w:pos="1304"/>
              <w:tab w:val="left" w:pos="1457"/>
              <w:tab w:val="left" w:pos="1604"/>
              <w:tab w:val="left" w:pos="1757"/>
            </w:tabs>
            <w:ind w:left="5760"/>
            <w:rPr>
              <w:szCs w:val="24"/>
            </w:rPr>
          </w:pPr>
        </w:p>
        <w:sdt>
          <w:sdtPr>
            <w:alias w:val="Pavadinimas"/>
            <w:tag w:val="title_be01ab0b2cb14b93a7c0b156d43e9b1a"/>
            <w:lock w:val="sdtLocked"/>
            <w:richText/>
          </w:sdtPr>
          <w:sdtContent>
            <w:p>
              <w:pPr>
                <w:jc w:val="center"/>
                <w:rPr>
                  <w:b/>
                  <w:bCs/>
                  <w:caps/>
                  <w:szCs w:val="24"/>
                </w:rPr>
              </w:pPr>
              <w:r>
                <w:rPr>
                  <w:b/>
                  <w:bCs/>
                  <w:caps/>
                  <w:szCs w:val="24"/>
                </w:rPr>
                <w:t>LIETUVOS HIGIENOS NORMA HN 60:2015</w:t>
              </w:r>
            </w:p>
            <w:p>
              <w:pPr>
                <w:jc w:val="center"/>
                <w:rPr>
                  <w:b/>
                  <w:bCs/>
                  <w:caps/>
                  <w:szCs w:val="24"/>
                </w:rPr>
              </w:pPr>
              <w:r>
                <w:rPr>
                  <w:b/>
                  <w:bCs/>
                  <w:caps/>
                  <w:szCs w:val="24"/>
                </w:rPr>
                <w:t>PAVOJINGŲJŲ CHEMINIŲ MEDŽIAGŲ RIBINĖS VERTĖS DIRVOŽEMYJE</w:t>
              </w:r>
            </w:p>
          </w:sdtContent>
        </w:sdt>
        <w:p>
          <w:pPr>
            <w:jc w:val="center"/>
            <w:rPr>
              <w:b/>
              <w:bCs/>
              <w:caps/>
              <w:szCs w:val="24"/>
            </w:rPr>
          </w:pPr>
        </w:p>
        <w:sdt>
          <w:sdtPr>
            <w:alias w:val="skyrius"/>
            <w:tag w:val="part_167a556354f14f29b25652c8977b8bd1"/>
            <w:lock w:val="sdtLocked"/>
            <w:richText/>
          </w:sdtPr>
          <w:sdtContent>
            <w:p>
              <w:pPr>
                <w:jc w:val="center"/>
                <w:rPr>
                  <w:b/>
                  <w:bCs/>
                  <w:caps/>
                  <w:szCs w:val="24"/>
                </w:rPr>
              </w:pPr>
              <w:sdt>
                <w:sdtPr>
                  <w:alias w:val="Numeris"/>
                  <w:tag w:val="nr_167a556354f14f29b25652c8977b8bd1"/>
                  <w:lock w:val="sdtLocked"/>
                  <w:richText/>
                </w:sdtPr>
                <w:sdtContent>
                  <w:r>
                    <w:rPr>
                      <w:b/>
                      <w:bCs/>
                      <w:caps/>
                      <w:szCs w:val="24"/>
                    </w:rPr>
                    <w:t>I</w:t>
                  </w:r>
                </w:sdtContent>
              </w:sdt>
              <w:r>
                <w:rPr>
                  <w:b/>
                  <w:bCs/>
                  <w:caps/>
                  <w:szCs w:val="24"/>
                </w:rPr>
                <w:t xml:space="preserve"> SKYRIUS</w:t>
              </w:r>
            </w:p>
            <w:p>
              <w:pPr>
                <w:jc w:val="center"/>
                <w:rPr>
                  <w:b/>
                  <w:bCs/>
                  <w:caps/>
                  <w:szCs w:val="24"/>
                </w:rPr>
              </w:pPr>
              <w:sdt>
                <w:sdtPr>
                  <w:alias w:val="Pavadinimas"/>
                  <w:tag w:val="title_167a556354f14f29b25652c8977b8bd1"/>
                  <w:lock w:val="sdtLocked"/>
                  <w:richText/>
                </w:sdtPr>
                <w:sdtContent>
                  <w:r>
                    <w:rPr>
                      <w:b/>
                      <w:bCs/>
                      <w:caps/>
                      <w:szCs w:val="24"/>
                    </w:rPr>
                    <w:t>BENDRosios nuostatos</w:t>
                  </w:r>
                </w:sdtContent>
              </w:sdt>
            </w:p>
            <w:p>
              <w:pPr>
                <w:suppressAutoHyphens/>
                <w:ind w:firstLine="741"/>
                <w:jc w:val="both"/>
                <w:textAlignment w:val="center"/>
                <w:rPr>
                  <w:szCs w:val="24"/>
                </w:rPr>
              </w:pPr>
            </w:p>
            <w:sdt>
              <w:sdtPr>
                <w:alias w:val="1 p."/>
                <w:tag w:val="part_bbfae8c81378434f85b933d1858ebd9a"/>
                <w:lock w:val="sdtLocked"/>
                <w:richText/>
              </w:sdtPr>
              <w:sdtContent>
                <w:p>
                  <w:pPr>
                    <w:suppressAutoHyphens/>
                    <w:ind w:firstLine="741"/>
                    <w:jc w:val="both"/>
                    <w:textAlignment w:val="center"/>
                    <w:rPr>
                      <w:szCs w:val="24"/>
                    </w:rPr>
                  </w:pPr>
                  <w:sdt>
                    <w:sdtPr>
                      <w:alias w:val="Numeris"/>
                      <w:tag w:val="nr_bbfae8c81378434f85b933d1858ebd9a"/>
                      <w:lock w:val="sdtLocked"/>
                      <w:richText/>
                    </w:sdtPr>
                    <w:sdtContent>
                      <w:r>
                        <w:rPr>
                          <w:szCs w:val="24"/>
                        </w:rPr>
                        <w:t>1</w:t>
                      </w:r>
                    </w:sdtContent>
                  </w:sdt>
                  <w:r>
                    <w:rPr>
                      <w:szCs w:val="24"/>
                    </w:rPr>
                    <w:t xml:space="preserve">. Ši higienos norma nustato pavojingųjų cheminių medžiagų </w:t>
                  </w:r>
                  <w:r>
                    <w:rPr>
                      <w:szCs w:val="24"/>
                      <w:lang w:val="en-US"/>
                    </w:rPr>
                    <w:t>ribines vertes</w:t>
                  </w:r>
                  <w:r>
                    <w:rPr>
                      <w:szCs w:val="24"/>
                    </w:rPr>
                    <w:t xml:space="preserve"> dirvožemyje, kurios tiesiogiai ar netiesiogiai (per augalus, orą ar vandenį) nekenkia žmogaus ir jo ateinančių kartų sveikatai.</w:t>
                  </w:r>
                </w:p>
              </w:sdtContent>
            </w:sdt>
            <w:sdt>
              <w:sdtPr>
                <w:alias w:val="2 p."/>
                <w:tag w:val="part_7b1ac1e62f9942b7840355d24db500ed"/>
                <w:lock w:val="sdtLocked"/>
                <w:richText/>
              </w:sdtPr>
              <w:sdtContent>
                <w:p>
                  <w:pPr>
                    <w:suppressAutoHyphens/>
                    <w:ind w:firstLine="741"/>
                    <w:jc w:val="both"/>
                    <w:textAlignment w:val="center"/>
                    <w:rPr>
                      <w:szCs w:val="24"/>
                    </w:rPr>
                  </w:pPr>
                  <w:sdt>
                    <w:sdtPr>
                      <w:alias w:val="Numeris"/>
                      <w:tag w:val="nr_7b1ac1e62f9942b7840355d24db500ed"/>
                      <w:lock w:val="sdtLocked"/>
                      <w:richText/>
                    </w:sdtPr>
                    <w:sdtContent>
                      <w:r>
                        <w:rPr>
                          <w:szCs w:val="24"/>
                        </w:rPr>
                        <w:t>2</w:t>
                      </w:r>
                    </w:sdtContent>
                  </w:sdt>
                  <w:r>
                    <w:rPr>
                      <w:szCs w:val="24"/>
                    </w:rPr>
                    <w:t>. Ši higienos norma taikoma teritorijų (žemės sklypų) dirvožemiui, kai tose teritorijose (žemės sklypuose) planuojama statyti gyvenamuosius, mokslo (išskyrus institutus ir mokslinio tyrimo įstaigas, observatorijas, meteorologijos stotis ir laboratorijas), gydymo, viešbučių, poilsio paskirties pastatus, sporto paskirties inžinerinius statinius – aikštynus ir stadionus, naudojamus sportui ir kūno kultūrai atvirame ore, pastatus [4.1]; kai tose teritorijose (žemės sklypuose) esančiuose pastatuose planuojama įrengti gyvenamąsias, mokslo (išskyrus institutų ir mokslinių tyrimo įstaigų, observatorijų, meteorologijos stočių ir laboratorijų), viešbučių, gydymo ir poilsio paskirties patalpas; kai teritorijose (žemės sklypuose) naudojami minėti objektai; kai teritorijos (žemės sklypai) skirtos rekreacijai [4.2].</w:t>
                  </w:r>
                </w:p>
              </w:sdtContent>
            </w:sdt>
            <w:sdt>
              <w:sdtPr>
                <w:alias w:val="3 p."/>
                <w:tag w:val="part_4cf929c3e73940e188705f55586bdd7d"/>
                <w:lock w:val="sdtLocked"/>
                <w:richText/>
              </w:sdtPr>
              <w:sdtContent>
                <w:p>
                  <w:pPr>
                    <w:ind w:firstLine="741"/>
                    <w:jc w:val="both"/>
                    <w:rPr>
                      <w:szCs w:val="24"/>
                    </w:rPr>
                  </w:pPr>
                  <w:sdt>
                    <w:sdtPr>
                      <w:alias w:val="Numeris"/>
                      <w:tag w:val="nr_4cf929c3e73940e188705f55586bdd7d"/>
                      <w:lock w:val="sdtLocked"/>
                      <w:richText/>
                    </w:sdtPr>
                    <w:sdtContent>
                      <w:r>
                        <w:rPr>
                          <w:szCs w:val="24"/>
                        </w:rPr>
                        <w:t>3</w:t>
                      </w:r>
                    </w:sdtContent>
                  </w:sdt>
                  <w:r>
                    <w:rPr>
                      <w:szCs w:val="24"/>
                    </w:rPr>
                    <w:t>. Ši higienos norma privaloma visiems Lietuvos Respublikos ar kitos Europos Sąjungos valstybės narės arba Europos ekonominės erdvės (toliau – valstybė narė) piliečiams, kitiems fiziniams asmenims, kurie naudojasi Lietuvos Respublikos ar Europos Sąjungos teisės aktų jiems suteiktomis judėjimo valstybėse narėse teisėmis, Lietuvos Respublikoje įsteigtiems juridiniams asmenims arba kitoje valstybėje narėje įsteigtiems juridiniams asmenims, kitoms organizacijoms ar jų filialams, taip pat kitos užsienio valstybės juridinių asmenų ar organizacijų filialams, įsteigtiems Lietuvos Respublikoje, kurių veikla tiesiogiai ar netiesiogiai susijusi su dirvožemio, galimai užteršto dėl ūkinės veiklos, panaudojimu, bei asmenims, vykdantiems dirvožemio stebėseną, tyrinėjimus, ir institucijoms, kurios pagal kompetenciją vykdo dirvožemio valstybinę visuomenės sveikatos saugos kontrolę.</w:t>
                  </w:r>
                </w:p>
                <w:p>
                  <w:pPr>
                    <w:jc w:val="both"/>
                    <w:rPr>
                      <w:szCs w:val="24"/>
                    </w:rPr>
                  </w:pPr>
                </w:p>
              </w:sdtContent>
            </w:sdt>
          </w:sdtContent>
        </w:sdt>
        <w:sdt>
          <w:sdtPr>
            <w:alias w:val="skyrius"/>
            <w:tag w:val="part_cf833c45faf54bc0858f36b58417e213"/>
            <w:lock w:val="sdtLocked"/>
            <w:richText/>
          </w:sdtPr>
          <w:sdtContent>
            <w:p>
              <w:pPr>
                <w:ind w:firstLine="741"/>
                <w:jc w:val="center"/>
                <w:rPr>
                  <w:b/>
                  <w:bCs/>
                  <w:caps/>
                  <w:szCs w:val="24"/>
                </w:rPr>
              </w:pPr>
              <w:sdt>
                <w:sdtPr>
                  <w:alias w:val="Numeris"/>
                  <w:tag w:val="nr_cf833c45faf54bc0858f36b58417e213"/>
                  <w:lock w:val="sdtLocked"/>
                  <w:richText/>
                </w:sdtPr>
                <w:sdtContent>
                  <w:r>
                    <w:rPr>
                      <w:b/>
                      <w:bCs/>
                      <w:caps/>
                      <w:szCs w:val="24"/>
                    </w:rPr>
                    <w:t>II</w:t>
                  </w:r>
                </w:sdtContent>
              </w:sdt>
              <w:r>
                <w:rPr>
                  <w:b/>
                  <w:bCs/>
                  <w:caps/>
                  <w:szCs w:val="24"/>
                </w:rPr>
                <w:t xml:space="preserve"> skyrius</w:t>
              </w:r>
            </w:p>
            <w:p>
              <w:pPr>
                <w:ind w:firstLine="741"/>
                <w:jc w:val="center"/>
                <w:rPr>
                  <w:b/>
                  <w:bCs/>
                  <w:caps/>
                  <w:szCs w:val="24"/>
                </w:rPr>
              </w:pPr>
              <w:sdt>
                <w:sdtPr>
                  <w:alias w:val="Pavadinimas"/>
                  <w:tag w:val="title_cf833c45faf54bc0858f36b58417e213"/>
                  <w:lock w:val="sdtLocked"/>
                  <w:richText/>
                </w:sdtPr>
                <w:sdtContent>
                  <w:r>
                    <w:rPr>
                      <w:b/>
                      <w:bCs/>
                      <w:caps/>
                      <w:szCs w:val="24"/>
                    </w:rPr>
                    <w:t>NUORODOS</w:t>
                  </w:r>
                </w:sdtContent>
              </w:sdt>
            </w:p>
            <w:p>
              <w:pPr>
                <w:ind w:firstLine="741"/>
                <w:jc w:val="both"/>
                <w:rPr>
                  <w:szCs w:val="24"/>
                </w:rPr>
              </w:pPr>
            </w:p>
            <w:sdt>
              <w:sdtPr>
                <w:alias w:val="4 p."/>
                <w:tag w:val="part_46c9a06c23f34be78ca25fd77e9038f0"/>
                <w:lock w:val="sdtLocked"/>
                <w:richText/>
              </w:sdtPr>
              <w:sdtContent>
                <w:p>
                  <w:pPr>
                    <w:ind w:firstLine="709"/>
                    <w:jc w:val="both"/>
                    <w:rPr>
                      <w:szCs w:val="24"/>
                    </w:rPr>
                  </w:pPr>
                  <w:sdt>
                    <w:sdtPr>
                      <w:alias w:val="Numeris"/>
                      <w:tag w:val="nr_46c9a06c23f34be78ca25fd77e9038f0"/>
                      <w:lock w:val="sdtLocked"/>
                      <w:richText/>
                    </w:sdtPr>
                    <w:sdtContent>
                      <w:r>
                        <w:rPr>
                          <w:szCs w:val="24"/>
                        </w:rPr>
                        <w:t>4</w:t>
                      </w:r>
                    </w:sdtContent>
                  </w:sdt>
                  <w:r>
                    <w:rPr>
                      <w:szCs w:val="24"/>
                    </w:rPr>
                    <w:t>. Šioje higienos normoje yra nuorodos į šiuos dokumentus:</w:t>
                  </w:r>
                </w:p>
                <w:sdt>
                  <w:sdtPr>
                    <w:alias w:val="4.1 p."/>
                    <w:tag w:val="part_4b6e71ed87924151af4bf6207cec3094"/>
                    <w:lock w:val="sdtLocked"/>
                    <w:richText/>
                  </w:sdtPr>
                  <w:sdtContent>
                    <w:p>
                      <w:pPr>
                        <w:ind w:firstLine="709"/>
                        <w:jc w:val="both"/>
                        <w:rPr>
                          <w:szCs w:val="24"/>
                        </w:rPr>
                      </w:pPr>
                      <w:sdt>
                        <w:sdtPr>
                          <w:alias w:val="Numeris"/>
                          <w:tag w:val="nr_4b6e71ed87924151af4bf6207cec3094"/>
                          <w:lock w:val="sdtLocked"/>
                          <w:richText/>
                        </w:sdtPr>
                        <w:sdtContent>
                          <w:r>
                            <w:rPr>
                              <w:szCs w:val="24"/>
                            </w:rPr>
                            <w:t>4.1</w:t>
                          </w:r>
                        </w:sdtContent>
                      </w:sdt>
                      <w:r>
                        <w:rPr>
                          <w:szCs w:val="24"/>
                        </w:rPr>
                        <w:t>. Statybos techninis reglamentas STR 1.01.09:2003 „Statinių klasifikavimas pagal jų naudojimo paskirtį“, patvirtintas Lietuvos Respublikos aplinkos ministro 2003 m. birželio 11 d. įsakymu Nr. 289 „Dėl statybos techninio reglamento STR 1.01.09:2003 „Statinių klasifikavimas pagal jų naudojimų paskirtį“ patvirtinimo“.</w:t>
                      </w:r>
                    </w:p>
                  </w:sdtContent>
                </w:sdt>
                <w:sdt>
                  <w:sdtPr>
                    <w:alias w:val="4.2 p."/>
                    <w:tag w:val="part_663e81969f57412a8ea005f2f86a4d6d"/>
                    <w:lock w:val="sdtLocked"/>
                    <w:richText/>
                  </w:sdtPr>
                  <w:sdtContent>
                    <w:p>
                      <w:pPr>
                        <w:ind w:firstLine="709"/>
                        <w:jc w:val="both"/>
                        <w:rPr>
                          <w:szCs w:val="24"/>
                        </w:rPr>
                      </w:pPr>
                      <w:sdt>
                        <w:sdtPr>
                          <w:alias w:val="Numeris"/>
                          <w:tag w:val="nr_663e81969f57412a8ea005f2f86a4d6d"/>
                          <w:lock w:val="sdtLocked"/>
                          <w:richText/>
                        </w:sdtPr>
                        <w:sdtContent>
                          <w:r>
                            <w:rPr>
                              <w:szCs w:val="24"/>
                            </w:rPr>
                            <w:t>4.2</w:t>
                          </w:r>
                        </w:sdtContent>
                      </w:sdt>
                      <w:r>
                        <w:rPr>
                          <w:szCs w:val="24"/>
                        </w:rPr>
                        <w:t>. Žemės naudojimo būdų turinio aprašas, patvirtintas Lietuvos Respublikos žemės ūkio ministro ir Lietuvos Respublikos aplinkos ministro 2005 m. sausio 20 d. įsakymu Nr. 3D-37/D1-40 „</w:t>
                      </w:r>
                      <w:r>
                        <w:rPr>
                          <w:color w:val="0000FF"/>
                          <w:szCs w:val="24"/>
                          <w:u w:val="single"/>
                        </w:rPr>
                        <w:t>Dėl Žemės naudojimo būdų turinio aprašo patvirtinimo</w:t>
                      </w:r>
                      <w:r>
                        <w:rPr>
                          <w:szCs w:val="24"/>
                        </w:rPr>
                        <w:t>“.</w:t>
                      </w:r>
                    </w:p>
                  </w:sdtContent>
                </w:sdt>
                <w:sdt>
                  <w:sdtPr>
                    <w:alias w:val="4.3 p."/>
                    <w:tag w:val="part_1942957eb2ff4ff6b02f93e411ac0d52"/>
                    <w:lock w:val="sdtLocked"/>
                    <w:richText/>
                  </w:sdtPr>
                  <w:sdtContent>
                    <w:p>
                      <w:pPr>
                        <w:ind w:firstLine="709"/>
                        <w:jc w:val="both"/>
                        <w:rPr>
                          <w:szCs w:val="24"/>
                        </w:rPr>
                      </w:pPr>
                      <w:sdt>
                        <w:sdtPr>
                          <w:alias w:val="Numeris"/>
                          <w:tag w:val="nr_1942957eb2ff4ff6b02f93e411ac0d52"/>
                          <w:lock w:val="sdtLocked"/>
                          <w:richText/>
                        </w:sdtPr>
                        <w:sdtContent>
                          <w:r>
                            <w:rPr>
                              <w:szCs w:val="24"/>
                            </w:rPr>
                            <w:t>4.3</w:t>
                          </w:r>
                        </w:sdtContent>
                      </w:sdt>
                      <w:r>
                        <w:rPr>
                          <w:szCs w:val="24"/>
                        </w:rPr>
                        <w:t>. Lietuvos standartas LST ISO 10381-1:2005 „Dirvožemio kokybė. Ėminių ėmimas. 1 dalis. Ėminių ėmimo programų sudarymo vadovas“ (tapatus ISO 10391-1:2002).</w:t>
                      </w:r>
                    </w:p>
                  </w:sdtContent>
                </w:sdt>
                <w:sdt>
                  <w:sdtPr>
                    <w:alias w:val="4.4 p."/>
                    <w:tag w:val="part_39d3e5c26b3d477cb5c2d9a29657c0c8"/>
                    <w:lock w:val="sdtLocked"/>
                    <w:richText/>
                  </w:sdtPr>
                  <w:sdtContent>
                    <w:p>
                      <w:pPr>
                        <w:ind w:firstLine="709"/>
                        <w:jc w:val="both"/>
                        <w:rPr>
                          <w:szCs w:val="24"/>
                        </w:rPr>
                      </w:pPr>
                      <w:sdt>
                        <w:sdtPr>
                          <w:alias w:val="Numeris"/>
                          <w:tag w:val="nr_39d3e5c26b3d477cb5c2d9a29657c0c8"/>
                          <w:lock w:val="sdtLocked"/>
                          <w:richText/>
                        </w:sdtPr>
                        <w:sdtContent>
                          <w:r>
                            <w:rPr>
                              <w:szCs w:val="24"/>
                            </w:rPr>
                            <w:t>4.4</w:t>
                          </w:r>
                        </w:sdtContent>
                      </w:sdt>
                      <w:r>
                        <w:rPr>
                          <w:szCs w:val="24"/>
                        </w:rPr>
                        <w:t>. Lietuvos standartas LST ISO 10381-2:2005 „Dirvožemio kokybė. Ėminių ėmimas. 2 dalis. Ėmimo būdų vadovas“ (tapatus ISO 10381-2:2002).</w:t>
                      </w:r>
                    </w:p>
                  </w:sdtContent>
                </w:sdt>
                <w:sdt>
                  <w:sdtPr>
                    <w:alias w:val="4.5 p."/>
                    <w:tag w:val="part_7b7adfb473ae43aaab43f94ff6210034"/>
                    <w:lock w:val="sdtLocked"/>
                    <w:richText/>
                  </w:sdtPr>
                  <w:sdtContent>
                    <w:p>
                      <w:pPr>
                        <w:ind w:firstLine="709"/>
                        <w:jc w:val="both"/>
                        <w:rPr>
                          <w:szCs w:val="24"/>
                        </w:rPr>
                      </w:pPr>
                      <w:sdt>
                        <w:sdtPr>
                          <w:alias w:val="Numeris"/>
                          <w:tag w:val="nr_7b7adfb473ae43aaab43f94ff6210034"/>
                          <w:lock w:val="sdtLocked"/>
                          <w:richText/>
                        </w:sdtPr>
                        <w:sdtContent>
                          <w:r>
                            <w:rPr>
                              <w:szCs w:val="24"/>
                            </w:rPr>
                            <w:t>4.5</w:t>
                          </w:r>
                        </w:sdtContent>
                      </w:sdt>
                      <w:r>
                        <w:rPr>
                          <w:szCs w:val="24"/>
                        </w:rPr>
                        <w:t>. Lietuvos standartas LST ISO 10381-3:2003 „Dirvožemio kokybė. Ėminių ėmimas. 3 dalis. Saugos vadovas“ (tapatus ISO 10381-3:2001).</w:t>
                      </w:r>
                    </w:p>
                  </w:sdtContent>
                </w:sdt>
                <w:sdt>
                  <w:sdtPr>
                    <w:alias w:val="4.6 p."/>
                    <w:tag w:val="part_e537fcbf09b64a2a806d03db559c76a7"/>
                    <w:lock w:val="sdtLocked"/>
                    <w:richText/>
                  </w:sdtPr>
                  <w:sdtContent>
                    <w:p>
                      <w:pPr>
                        <w:ind w:firstLine="709"/>
                        <w:jc w:val="both"/>
                        <w:rPr>
                          <w:szCs w:val="24"/>
                        </w:rPr>
                      </w:pPr>
                      <w:sdt>
                        <w:sdtPr>
                          <w:alias w:val="Numeris"/>
                          <w:tag w:val="nr_e537fcbf09b64a2a806d03db559c76a7"/>
                          <w:lock w:val="sdtLocked"/>
                          <w:richText/>
                        </w:sdtPr>
                        <w:sdtContent>
                          <w:r>
                            <w:rPr>
                              <w:szCs w:val="24"/>
                            </w:rPr>
                            <w:t>4.6</w:t>
                          </w:r>
                        </w:sdtContent>
                      </w:sdt>
                      <w:r>
                        <w:rPr>
                          <w:szCs w:val="24"/>
                        </w:rPr>
                        <w:t xml:space="preserve">. Lietuvos standartas LST ISO 10381-4:2006 „Dirvožemio kokybė. Ėminių ėmimas. 4 dalis. Natūralių, pusiau natūralių ir dirbamų sklypų tyrimo vadovas“ (tapatus ISO 10381-4:2003). </w:t>
                      </w:r>
                    </w:p>
                  </w:sdtContent>
                </w:sdt>
                <w:sdt>
                  <w:sdtPr>
                    <w:alias w:val="4.7 p."/>
                    <w:tag w:val="part_e4aedc3cb47c4870b8d87e4045c42c60"/>
                    <w:lock w:val="sdtLocked"/>
                    <w:richText/>
                  </w:sdtPr>
                  <w:sdtContent>
                    <w:p>
                      <w:pPr>
                        <w:ind w:firstLine="709"/>
                        <w:jc w:val="both"/>
                        <w:rPr>
                          <w:szCs w:val="24"/>
                        </w:rPr>
                      </w:pPr>
                      <w:sdt>
                        <w:sdtPr>
                          <w:alias w:val="Numeris"/>
                          <w:tag w:val="nr_e4aedc3cb47c4870b8d87e4045c42c60"/>
                          <w:lock w:val="sdtLocked"/>
                          <w:richText/>
                        </w:sdtPr>
                        <w:sdtContent>
                          <w:r>
                            <w:rPr>
                              <w:szCs w:val="24"/>
                            </w:rPr>
                            <w:t>4.7</w:t>
                          </w:r>
                        </w:sdtContent>
                      </w:sdt>
                      <w:r>
                        <w:rPr>
                          <w:szCs w:val="24"/>
                        </w:rPr>
                        <w:t>. Lietuvos standartas LST ISO 10381-5:2007 „Dirvožemio kokybė. Ėminių ėmimas. 5 dalis. Miesto ir pramoninių sklypų dirvožemio taršos tyrimo vadovas“ (tapatus ISO 10381-5:2005).</w:t>
                      </w:r>
                    </w:p>
                  </w:sdtContent>
                </w:sdt>
                <w:sdt>
                  <w:sdtPr>
                    <w:alias w:val="4.8 p."/>
                    <w:tag w:val="part_27368366994f4eb1b92423f24e96d31b"/>
                    <w:lock w:val="sdtLocked"/>
                    <w:richText/>
                  </w:sdtPr>
                  <w:sdtContent>
                    <w:p>
                      <w:pPr>
                        <w:ind w:firstLine="709"/>
                        <w:jc w:val="both"/>
                        <w:rPr>
                          <w:szCs w:val="24"/>
                        </w:rPr>
                      </w:pPr>
                      <w:sdt>
                        <w:sdtPr>
                          <w:alias w:val="Numeris"/>
                          <w:tag w:val="nr_27368366994f4eb1b92423f24e96d31b"/>
                          <w:lock w:val="sdtLocked"/>
                          <w:richText/>
                        </w:sdtPr>
                        <w:sdtContent>
                          <w:r>
                            <w:rPr>
                              <w:szCs w:val="24"/>
                            </w:rPr>
                            <w:t>4.8</w:t>
                          </w:r>
                        </w:sdtContent>
                      </w:sdt>
                      <w:r>
                        <w:rPr>
                          <w:szCs w:val="24"/>
                        </w:rPr>
                        <w:t>. Lietuvos standartas LST EN 15935:2012 „Dumblas, apdorotos bioatliekos, dirvožemis ir atliekos. Degimo nuostolių nustatymas“.</w:t>
                      </w:r>
                    </w:p>
                  </w:sdtContent>
                </w:sdt>
                <w:sdt>
                  <w:sdtPr>
                    <w:alias w:val="4.9 p."/>
                    <w:tag w:val="part_e197ec00f8974ef8970d29f25ece5c49"/>
                    <w:lock w:val="sdtLocked"/>
                    <w:richText/>
                  </w:sdtPr>
                  <w:sdtContent>
                    <w:p>
                      <w:pPr>
                        <w:ind w:firstLine="709"/>
                        <w:jc w:val="both"/>
                        <w:rPr>
                          <w:szCs w:val="24"/>
                        </w:rPr>
                      </w:pPr>
                      <w:sdt>
                        <w:sdtPr>
                          <w:alias w:val="Numeris"/>
                          <w:tag w:val="nr_e197ec00f8974ef8970d29f25ece5c49"/>
                          <w:lock w:val="sdtLocked"/>
                          <w:richText/>
                        </w:sdtPr>
                        <w:sdtContent>
                          <w:r>
                            <w:rPr>
                              <w:szCs w:val="24"/>
                            </w:rPr>
                            <w:t>4.9</w:t>
                          </w:r>
                        </w:sdtContent>
                      </w:sdt>
                      <w:r>
                        <w:rPr>
                          <w:szCs w:val="24"/>
                        </w:rPr>
                        <w:t>. Lietuvos standartas LST EN 15934:2012 „Dumblas, apdorotos bioatliekos, dirvožemis ir atliekos. Sausųjų medžiagų kiekio skaičiavimas pagal nustatytą sausojo likučio arba vandens kiekį“.</w:t>
                      </w:r>
                    </w:p>
                    <w:p>
                      <w:pPr>
                        <w:ind w:firstLine="741"/>
                        <w:jc w:val="both"/>
                        <w:rPr>
                          <w:szCs w:val="24"/>
                        </w:rPr>
                      </w:pPr>
                    </w:p>
                  </w:sdtContent>
                </w:sdt>
              </w:sdtContent>
            </w:sdt>
          </w:sdtContent>
        </w:sdt>
        <w:sdt>
          <w:sdtPr>
            <w:alias w:val="skyrius"/>
            <w:tag w:val="part_4cf0484f1cc243c1bc59e3b0af7439bf"/>
            <w:lock w:val="sdtLocked"/>
            <w:richText/>
          </w:sdtPr>
          <w:sdtContent>
            <w:p>
              <w:pPr>
                <w:ind w:firstLine="741"/>
                <w:jc w:val="center"/>
                <w:rPr>
                  <w:b/>
                  <w:bCs/>
                  <w:caps/>
                  <w:szCs w:val="24"/>
                </w:rPr>
              </w:pPr>
              <w:sdt>
                <w:sdtPr>
                  <w:alias w:val="Numeris"/>
                  <w:tag w:val="nr_4cf0484f1cc243c1bc59e3b0af7439bf"/>
                  <w:lock w:val="sdtLocked"/>
                  <w:richText/>
                </w:sdtPr>
                <w:sdtContent>
                  <w:r>
                    <w:rPr>
                      <w:b/>
                      <w:bCs/>
                      <w:caps/>
                      <w:szCs w:val="24"/>
                    </w:rPr>
                    <w:t>III</w:t>
                  </w:r>
                </w:sdtContent>
              </w:sdt>
              <w:r>
                <w:rPr>
                  <w:b/>
                  <w:bCs/>
                  <w:caps/>
                  <w:szCs w:val="24"/>
                </w:rPr>
                <w:t xml:space="preserve"> skyrius</w:t>
              </w:r>
            </w:p>
            <w:p>
              <w:pPr>
                <w:ind w:firstLine="741"/>
                <w:jc w:val="center"/>
                <w:rPr>
                  <w:b/>
                  <w:bCs/>
                  <w:caps/>
                  <w:szCs w:val="24"/>
                </w:rPr>
              </w:pPr>
              <w:sdt>
                <w:sdtPr>
                  <w:alias w:val="Pavadinimas"/>
                  <w:tag w:val="title_4cf0484f1cc243c1bc59e3b0af7439bf"/>
                  <w:lock w:val="sdtLocked"/>
                  <w:richText/>
                </w:sdtPr>
                <w:sdtContent>
                  <w:r>
                    <w:rPr>
                      <w:b/>
                      <w:bCs/>
                      <w:caps/>
                      <w:szCs w:val="24"/>
                    </w:rPr>
                    <w:t>SĄVOKOS IR JŲ APIBRĖŽTYS</w:t>
                  </w:r>
                </w:sdtContent>
              </w:sdt>
            </w:p>
            <w:p>
              <w:pPr>
                <w:ind w:firstLine="741"/>
                <w:jc w:val="center"/>
                <w:rPr>
                  <w:b/>
                  <w:bCs/>
                  <w:caps/>
                  <w:szCs w:val="24"/>
                </w:rPr>
              </w:pPr>
            </w:p>
            <w:sdt>
              <w:sdtPr>
                <w:alias w:val="5 p."/>
                <w:tag w:val="part_e8a2dd895d58454bb0800cb38577bd86"/>
                <w:lock w:val="sdtLocked"/>
                <w:richText/>
              </w:sdtPr>
              <w:sdtContent>
                <w:p>
                  <w:pPr>
                    <w:ind w:firstLine="709"/>
                    <w:jc w:val="both"/>
                    <w:rPr>
                      <w:szCs w:val="24"/>
                    </w:rPr>
                  </w:pPr>
                  <w:sdt>
                    <w:sdtPr>
                      <w:alias w:val="Numeris"/>
                      <w:tag w:val="nr_e8a2dd895d58454bb0800cb38577bd86"/>
                      <w:lock w:val="sdtLocked"/>
                      <w:richText/>
                    </w:sdtPr>
                    <w:sdtContent>
                      <w:r>
                        <w:rPr>
                          <w:szCs w:val="24"/>
                        </w:rPr>
                        <w:t>5</w:t>
                      </w:r>
                    </w:sdtContent>
                  </w:sdt>
                  <w:r>
                    <w:rPr>
                      <w:szCs w:val="24"/>
                    </w:rPr>
                    <w:t>. Šioje higienos normoje vartojamos sąvokos ir jų apibrėžtys:</w:t>
                  </w:r>
                </w:p>
                <w:sdt>
                  <w:sdtPr>
                    <w:alias w:val="5.1 p."/>
                    <w:tag w:val="part_e60ebea3984a4bdeb9627b50d97a987f"/>
                    <w:lock w:val="sdtLocked"/>
                    <w:richText/>
                  </w:sdtPr>
                  <w:sdtContent>
                    <w:p>
                      <w:pPr>
                        <w:tabs>
                          <w:tab w:val="left" w:pos="1134"/>
                        </w:tabs>
                        <w:ind w:firstLine="709"/>
                        <w:jc w:val="both"/>
                        <w:rPr>
                          <w:szCs w:val="24"/>
                        </w:rPr>
                      </w:pPr>
                      <w:sdt>
                        <w:sdtPr>
                          <w:alias w:val="Numeris"/>
                          <w:tag w:val="nr_e60ebea3984a4bdeb9627b50d97a987f"/>
                          <w:lock w:val="sdtLocked"/>
                          <w:richText/>
                        </w:sdtPr>
                        <w:sdtContent>
                          <w:r>
                            <w:rPr>
                              <w:szCs w:val="24"/>
                            </w:rPr>
                            <w:t>5.1</w:t>
                          </w:r>
                        </w:sdtContent>
                      </w:sdt>
                      <w:r>
                        <w:rPr>
                          <w:szCs w:val="24"/>
                        </w:rPr>
                        <w:t xml:space="preserve">. </w:t>
                      </w:r>
                      <w:r>
                        <w:rPr>
                          <w:b/>
                          <w:bCs/>
                          <w:caps/>
                          <w:szCs w:val="24"/>
                        </w:rPr>
                        <w:t>d</w:t>
                      </w:r>
                      <w:r>
                        <w:rPr>
                          <w:b/>
                          <w:bCs/>
                          <w:szCs w:val="24"/>
                        </w:rPr>
                        <w:t xml:space="preserve">irvožemis </w:t>
                      </w:r>
                      <w:r>
                        <w:rPr>
                          <w:bCs/>
                          <w:szCs w:val="24"/>
                        </w:rPr>
                        <w:t>– potencialiai derlingas viršutinis purusis Žemės plutos sluoksnis, veikiant dirvodaros procesams, susidaręs iš dirvodarinės uolienos (kompleksiškai veikiant vandeniui, orui, gyviesiems organizmams).</w:t>
                      </w:r>
                      <w:r>
                        <w:rPr>
                          <w:szCs w:val="24"/>
                        </w:rPr>
                        <w:t xml:space="preserve"> </w:t>
                      </w:r>
                    </w:p>
                  </w:sdtContent>
                </w:sdt>
                <w:sdt>
                  <w:sdtPr>
                    <w:alias w:val="5.2 p."/>
                    <w:tag w:val="part_4fef1a0fc1fa49f49fef31a7fe662254"/>
                    <w:lock w:val="sdtLocked"/>
                    <w:richText/>
                  </w:sdtPr>
                  <w:sdtContent>
                    <w:p>
                      <w:pPr>
                        <w:tabs>
                          <w:tab w:val="left" w:pos="1134"/>
                        </w:tabs>
                        <w:ind w:firstLine="709"/>
                        <w:jc w:val="both"/>
                        <w:rPr>
                          <w:szCs w:val="24"/>
                        </w:rPr>
                      </w:pPr>
                      <w:sdt>
                        <w:sdtPr>
                          <w:alias w:val="Numeris"/>
                          <w:tag w:val="nr_4fef1a0fc1fa49f49fef31a7fe662254"/>
                          <w:lock w:val="sdtLocked"/>
                          <w:richText/>
                        </w:sdtPr>
                        <w:sdtContent>
                          <w:r>
                            <w:rPr>
                              <w:szCs w:val="24"/>
                            </w:rPr>
                            <w:t>5.2</w:t>
                          </w:r>
                        </w:sdtContent>
                      </w:sdt>
                      <w:r>
                        <w:rPr>
                          <w:szCs w:val="24"/>
                        </w:rPr>
                        <w:t>.</w:t>
                      </w:r>
                      <w:r>
                        <w:rPr>
                          <w:b/>
                          <w:szCs w:val="24"/>
                        </w:rPr>
                        <w:t xml:space="preserve"> Organinės cheminės medžiagos </w:t>
                      </w:r>
                      <w:r>
                        <w:rPr>
                          <w:szCs w:val="24"/>
                        </w:rPr>
                        <w:t>– visi anglies junginiai, išskyrus jos oksidus, sulfidus ir metalų karbonatus.</w:t>
                      </w:r>
                    </w:p>
                  </w:sdtContent>
                </w:sdt>
                <w:sdt>
                  <w:sdtPr>
                    <w:alias w:val="5.3 p."/>
                    <w:tag w:val="part_5bed9b4bd1d9401daf97d7b09f57627e"/>
                    <w:lock w:val="sdtLocked"/>
                    <w:richText/>
                  </w:sdtPr>
                  <w:sdtContent>
                    <w:p>
                      <w:pPr>
                        <w:tabs>
                          <w:tab w:val="left" w:pos="1134"/>
                        </w:tabs>
                        <w:ind w:firstLine="709"/>
                        <w:jc w:val="both"/>
                        <w:rPr>
                          <w:szCs w:val="24"/>
                        </w:rPr>
                      </w:pPr>
                      <w:sdt>
                        <w:sdtPr>
                          <w:alias w:val="Numeris"/>
                          <w:tag w:val="nr_5bed9b4bd1d9401daf97d7b09f57627e"/>
                          <w:lock w:val="sdtLocked"/>
                          <w:richText/>
                        </w:sdtPr>
                        <w:sdtContent>
                          <w:r>
                            <w:rPr>
                              <w:bCs/>
                              <w:caps/>
                              <w:szCs w:val="24"/>
                            </w:rPr>
                            <w:t>5.3</w:t>
                          </w:r>
                        </w:sdtContent>
                      </w:sdt>
                      <w:r>
                        <w:rPr>
                          <w:bCs/>
                          <w:caps/>
                          <w:szCs w:val="24"/>
                        </w:rPr>
                        <w:t>.</w:t>
                      </w:r>
                      <w:r>
                        <w:rPr>
                          <w:b/>
                          <w:bCs/>
                          <w:caps/>
                          <w:szCs w:val="24"/>
                        </w:rPr>
                        <w:t xml:space="preserve"> </w:t>
                      </w:r>
                      <w:r>
                        <w:rPr>
                          <w:b/>
                          <w:szCs w:val="24"/>
                        </w:rPr>
                        <w:t xml:space="preserve">Patikslinta pavojingosios cheminės medžiagos ribinė vertė </w:t>
                      </w:r>
                      <w:r>
                        <w:rPr>
                          <w:szCs w:val="24"/>
                        </w:rPr>
                        <w:t>– pavojingos cheminės medžiagos ribinė vertė, apskaičiuota pagal konkrečios teritorijos dirvožemio savybes.</w:t>
                      </w:r>
                    </w:p>
                  </w:sdtContent>
                </w:sdt>
                <w:sdt>
                  <w:sdtPr>
                    <w:alias w:val="5.4 p."/>
                    <w:tag w:val="part_21a553a03d64497a813603d1cc376c9b"/>
                    <w:lock w:val="sdtLocked"/>
                    <w:richText/>
                  </w:sdtPr>
                  <w:sdtContent>
                    <w:p>
                      <w:pPr>
                        <w:tabs>
                          <w:tab w:val="left" w:pos="851"/>
                        </w:tabs>
                        <w:ind w:firstLine="709"/>
                        <w:jc w:val="both"/>
                        <w:rPr>
                          <w:szCs w:val="24"/>
                        </w:rPr>
                      </w:pPr>
                      <w:sdt>
                        <w:sdtPr>
                          <w:alias w:val="Numeris"/>
                          <w:tag w:val="nr_21a553a03d64497a813603d1cc376c9b"/>
                          <w:lock w:val="sdtLocked"/>
                          <w:richText/>
                        </w:sdtPr>
                        <w:sdtContent>
                          <w:r>
                            <w:rPr>
                              <w:szCs w:val="24"/>
                            </w:rPr>
                            <w:t>5.4</w:t>
                          </w:r>
                        </w:sdtContent>
                      </w:sdt>
                      <w:r>
                        <w:rPr>
                          <w:szCs w:val="24"/>
                        </w:rPr>
                        <w:t xml:space="preserve">. </w:t>
                      </w:r>
                      <w:r>
                        <w:rPr>
                          <w:b/>
                          <w:szCs w:val="24"/>
                        </w:rPr>
                        <w:t xml:space="preserve">Pavojingosios cheminės medžiagos ribinė vertė </w:t>
                      </w:r>
                      <w:r>
                        <w:rPr>
                          <w:szCs w:val="24"/>
                        </w:rPr>
                        <w:t>– pavojingosios cheminės medžiagos koncentracija tiriamame dirvožemyje, kuri, atsižvelgiant į naudojamos teritorijos paskirtį, turimomis žiniomis, neribotą laiką nekelia pavojaus aplinkai ir žmonėms.</w:t>
                      </w:r>
                    </w:p>
                  </w:sdtContent>
                </w:sdt>
                <w:sdt>
                  <w:sdtPr>
                    <w:alias w:val="5.5 p."/>
                    <w:tag w:val="part_833b027038a74197afe59cf58e4d747d"/>
                    <w:lock w:val="sdtLocked"/>
                    <w:richText/>
                  </w:sdtPr>
                  <w:sdtContent>
                    <w:p>
                      <w:pPr>
                        <w:tabs>
                          <w:tab w:val="left" w:pos="851"/>
                        </w:tabs>
                        <w:ind w:firstLine="709"/>
                        <w:jc w:val="both"/>
                        <w:rPr>
                          <w:szCs w:val="24"/>
                        </w:rPr>
                      </w:pPr>
                      <w:sdt>
                        <w:sdtPr>
                          <w:alias w:val="Numeris"/>
                          <w:tag w:val="nr_833b027038a74197afe59cf58e4d747d"/>
                          <w:lock w:val="sdtLocked"/>
                          <w:richText/>
                        </w:sdtPr>
                        <w:sdtContent>
                          <w:r>
                            <w:rPr>
                              <w:szCs w:val="24"/>
                            </w:rPr>
                            <w:t>5.5</w:t>
                          </w:r>
                        </w:sdtContent>
                      </w:sdt>
                      <w:r>
                        <w:rPr>
                          <w:szCs w:val="24"/>
                        </w:rPr>
                        <w:t xml:space="preserve">. </w:t>
                      </w:r>
                      <w:r>
                        <w:rPr>
                          <w:b/>
                          <w:szCs w:val="24"/>
                        </w:rPr>
                        <w:t>Pesticidai</w:t>
                      </w:r>
                      <w:r>
                        <w:rPr>
                          <w:szCs w:val="24"/>
                        </w:rPr>
                        <w:t xml:space="preserve"> – pavojingos cheminės medžiagos kenksmingiems organizmams naikinti: </w:t>
                      </w:r>
                      <w:r>
                        <w:t>insekticidai (vabzdžiams naikinti), herbicidai (piktžolėms naikinti), fungicidai (grybams, pelėsiams ir samanoms naikinti), algicidai (dumbliams naikinti) ir rodenticidai (graužikams, pavyzdžiui, žiurkėms ir pelėms, naikinti).</w:t>
                      </w:r>
                      <w:r>
                        <w:rPr>
                          <w:szCs w:val="24"/>
                        </w:rPr>
                        <w:t xml:space="preserve"> </w:t>
                      </w:r>
                    </w:p>
                    <w:p>
                      <w:pPr>
                        <w:rPr>
                          <w:sz w:val="10"/>
                          <w:szCs w:val="10"/>
                        </w:rPr>
                      </w:pPr>
                    </w:p>
                    <w:p>
                      <w:pPr>
                        <w:jc w:val="both"/>
                        <w:rPr>
                          <w:szCs w:val="24"/>
                        </w:rPr>
                      </w:pPr>
                    </w:p>
                  </w:sdtContent>
                </w:sdt>
              </w:sdtContent>
            </w:sdt>
          </w:sdtContent>
        </w:sdt>
        <w:sdt>
          <w:sdtPr>
            <w:alias w:val="skyrius"/>
            <w:tag w:val="part_175184a9df7b4591827e4d3c179b50fc"/>
            <w:lock w:val="sdtLocked"/>
            <w:richText/>
          </w:sdtPr>
          <w:sdtContent>
            <w:p>
              <w:pPr>
                <w:jc w:val="center"/>
                <w:rPr>
                  <w:b/>
                  <w:bCs/>
                  <w:caps/>
                  <w:szCs w:val="24"/>
                </w:rPr>
              </w:pPr>
              <w:sdt>
                <w:sdtPr>
                  <w:alias w:val="Numeris"/>
                  <w:tag w:val="nr_175184a9df7b4591827e4d3c179b50fc"/>
                  <w:lock w:val="sdtLocked"/>
                  <w:richText/>
                </w:sdtPr>
                <w:sdtContent>
                  <w:r>
                    <w:rPr>
                      <w:b/>
                      <w:bCs/>
                      <w:caps/>
                      <w:szCs w:val="24"/>
                    </w:rPr>
                    <w:t>IV</w:t>
                  </w:r>
                </w:sdtContent>
              </w:sdt>
              <w:r>
                <w:rPr>
                  <w:b/>
                  <w:bCs/>
                  <w:caps/>
                  <w:szCs w:val="24"/>
                </w:rPr>
                <w:t xml:space="preserve"> skyrius</w:t>
              </w:r>
            </w:p>
            <w:p>
              <w:pPr>
                <w:ind w:firstLine="60"/>
                <w:jc w:val="center"/>
                <w:rPr>
                  <w:b/>
                  <w:bCs/>
                  <w:caps/>
                  <w:szCs w:val="24"/>
                </w:rPr>
              </w:pPr>
              <w:sdt>
                <w:sdtPr>
                  <w:alias w:val="Pavadinimas"/>
                  <w:tag w:val="title_175184a9df7b4591827e4d3c179b50fc"/>
                  <w:lock w:val="sdtLocked"/>
                  <w:richText/>
                </w:sdtPr>
                <w:sdtContent>
                  <w:r>
                    <w:rPr>
                      <w:b/>
                      <w:bCs/>
                      <w:caps/>
                      <w:szCs w:val="24"/>
                    </w:rPr>
                    <w:t>PAVOJINGŲjų CHEMINIŲ MEDŽIAGŲ RIBINĖS VERTĖS DIRVOŽEMYJE</w:t>
                  </w:r>
                </w:sdtContent>
              </w:sdt>
            </w:p>
            <w:p>
              <w:pPr>
                <w:ind w:firstLine="312"/>
                <w:jc w:val="both"/>
                <w:rPr>
                  <w:szCs w:val="24"/>
                </w:rPr>
              </w:pPr>
            </w:p>
            <w:sdt>
              <w:sdtPr>
                <w:alias w:val="6 p."/>
                <w:tag w:val="part_ec4f6d1b2ed4495c8d17f2ff459c560e"/>
                <w:lock w:val="sdtLocked"/>
                <w:richText/>
              </w:sdtPr>
              <w:sdtContent>
                <w:p>
                  <w:pPr>
                    <w:ind w:firstLine="709"/>
                    <w:jc w:val="both"/>
                    <w:rPr>
                      <w:szCs w:val="24"/>
                    </w:rPr>
                  </w:pPr>
                  <w:sdt>
                    <w:sdtPr>
                      <w:alias w:val="Numeris"/>
                      <w:tag w:val="nr_ec4f6d1b2ed4495c8d17f2ff459c560e"/>
                      <w:lock w:val="sdtLocked"/>
                      <w:richText/>
                    </w:sdtPr>
                    <w:sdtContent>
                      <w:r>
                        <w:rPr>
                          <w:szCs w:val="24"/>
                        </w:rPr>
                        <w:t>6</w:t>
                      </w:r>
                    </w:sdtContent>
                  </w:sdt>
                  <w:r>
                    <w:rPr>
                      <w:szCs w:val="24"/>
                    </w:rPr>
                    <w:t>. Pavojingųjų cheminių medžiagų ribinės vertės dirvožemyje pateiktos lentelėje.</w:t>
                  </w:r>
                </w:p>
                <w:p>
                  <w:pPr>
                    <w:ind w:firstLine="312"/>
                    <w:jc w:val="both"/>
                    <w:rPr>
                      <w:szCs w:val="24"/>
                    </w:rPr>
                  </w:pPr>
                </w:p>
                <w:p>
                  <w:pPr>
                    <w:jc w:val="center"/>
                    <w:rPr>
                      <w:szCs w:val="24"/>
                    </w:rPr>
                  </w:pPr>
                  <w:r>
                    <w:rPr>
                      <w:szCs w:val="24"/>
                    </w:rPr>
                    <w:t xml:space="preserve">Pavojingųjų cheminių medžiagų ribinių verčių lentelė </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686"/>
                    <w:gridCol w:w="141"/>
                    <w:gridCol w:w="1985"/>
                    <w:gridCol w:w="2551"/>
                  </w:tblGrid>
                  <w:tr>
                    <w:trPr>
                      <w:cantSplit/>
                      <w:trHeight w:val="1104"/>
                    </w:trPr>
                    <w:tc>
                      <w:tcPr>
                        <w:tcW w:w="817" w:type="dxa"/>
                        <w:tcBorders>
                          <w:top w:val="single" w:sz="4" w:space="0" w:color="auto"/>
                          <w:left w:val="single" w:sz="4" w:space="0" w:color="auto"/>
                          <w:bottom w:val="single" w:sz="4" w:space="0" w:color="auto"/>
                          <w:right w:val="single" w:sz="4" w:space="0" w:color="auto"/>
                        </w:tcBorders>
                        <w:vAlign w:val="center"/>
                      </w:tcPr>
                      <w:p>
                        <w:pPr>
                          <w:keepNext/>
                          <w:jc w:val="center"/>
                          <w:outlineLvl w:val="3"/>
                          <w:rPr>
                            <w:szCs w:val="24"/>
                          </w:rPr>
                        </w:pPr>
                      </w:p>
                      <w:p>
                        <w:pPr>
                          <w:jc w:val="center"/>
                          <w:rPr>
                            <w:szCs w:val="24"/>
                          </w:rPr>
                        </w:pPr>
                        <w:r>
                          <w:t>Eil. nr.</w:t>
                        </w:r>
                      </w:p>
                    </w:tc>
                    <w:tc>
                      <w:tcPr>
                        <w:tcW w:w="3686" w:type="dxa"/>
                        <w:tcBorders>
                          <w:top w:val="single" w:sz="4" w:space="0" w:color="auto"/>
                          <w:left w:val="single" w:sz="4" w:space="0" w:color="auto"/>
                          <w:bottom w:val="single" w:sz="4" w:space="0" w:color="auto"/>
                          <w:right w:val="single" w:sz="4" w:space="0" w:color="auto"/>
                        </w:tcBorders>
                        <w:vAlign w:val="center"/>
                      </w:tcPr>
                      <w:p>
                        <w:pPr>
                          <w:keepNext/>
                          <w:jc w:val="center"/>
                          <w:outlineLvl w:val="3"/>
                          <w:rPr>
                            <w:szCs w:val="24"/>
                          </w:rPr>
                        </w:pPr>
                      </w:p>
                      <w:p>
                        <w:pPr>
                          <w:keepNext/>
                          <w:jc w:val="center"/>
                          <w:outlineLvl w:val="3"/>
                          <w:rPr>
                            <w:szCs w:val="24"/>
                          </w:rPr>
                        </w:pPr>
                      </w:p>
                      <w:p>
                        <w:pPr>
                          <w:keepNext/>
                          <w:jc w:val="center"/>
                          <w:outlineLvl w:val="3"/>
                          <w:rPr>
                            <w:szCs w:val="24"/>
                          </w:rPr>
                        </w:pPr>
                        <w:r>
                          <w:rPr>
                            <w:szCs w:val="24"/>
                          </w:rPr>
                          <w:t>Medžiagos pavadinimas</w:t>
                        </w:r>
                      </w:p>
                      <w:p>
                        <w:pPr>
                          <w:jc w:val="center"/>
                          <w:rPr>
                            <w:szCs w:val="24"/>
                          </w:rPr>
                        </w:pPr>
                      </w:p>
                    </w:tc>
                    <w:tc>
                      <w:tcPr>
                        <w:tcW w:w="2126"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CAS Nr.*</w:t>
                        </w:r>
                      </w:p>
                    </w:tc>
                    <w:tc>
                      <w:tcPr>
                        <w:tcW w:w="255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Cheminės medžiagos ribinė vertė (RV), mg/kg sausosios medžiagos</w:t>
                        </w:r>
                      </w:p>
                    </w:tc>
                  </w:tr>
                  <w:tr>
                    <w:trPr>
                      <w:cantSplit/>
                    </w:trPr>
                    <w:tc>
                      <w:tcPr>
                        <w:tcW w:w="817" w:type="dxa"/>
                        <w:tcBorders>
                          <w:top w:val="single" w:sz="4" w:space="0" w:color="auto"/>
                          <w:left w:val="single" w:sz="4" w:space="0" w:color="auto"/>
                          <w:bottom w:val="single" w:sz="4" w:space="0" w:color="auto"/>
                          <w:right w:val="single" w:sz="4" w:space="0" w:color="auto"/>
                        </w:tcBorders>
                        <w:hideMark/>
                      </w:tcPr>
                      <w:p>
                        <w:pPr>
                          <w:keepNext/>
                          <w:jc w:val="center"/>
                          <w:outlineLvl w:val="3"/>
                          <w:rPr>
                            <w:szCs w:val="24"/>
                          </w:rPr>
                        </w:pPr>
                        <w:r>
                          <w:rPr>
                            <w:szCs w:val="24"/>
                          </w:rPr>
                          <w:t>1</w:t>
                        </w:r>
                      </w:p>
                    </w:tc>
                    <w:tc>
                      <w:tcPr>
                        <w:tcW w:w="3686" w:type="dxa"/>
                        <w:tcBorders>
                          <w:top w:val="single" w:sz="4" w:space="0" w:color="auto"/>
                          <w:left w:val="single" w:sz="4" w:space="0" w:color="auto"/>
                          <w:bottom w:val="single" w:sz="4" w:space="0" w:color="auto"/>
                          <w:right w:val="single" w:sz="4" w:space="0" w:color="auto"/>
                        </w:tcBorders>
                        <w:hideMark/>
                      </w:tcPr>
                      <w:p>
                        <w:pPr>
                          <w:keepNext/>
                          <w:jc w:val="center"/>
                          <w:outlineLvl w:val="3"/>
                          <w:rPr>
                            <w:szCs w:val="24"/>
                          </w:rPr>
                        </w:pPr>
                        <w:r>
                          <w:rPr>
                            <w:szCs w:val="24"/>
                          </w:rPr>
                          <w:t>2</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3</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4</w:t>
                        </w:r>
                      </w:p>
                    </w:tc>
                  </w:tr>
                  <w:tr>
                    <w:trPr>
                      <w:cantSplit/>
                    </w:trPr>
                    <w:tc>
                      <w:tcPr>
                        <w:tcW w:w="9180" w:type="dxa"/>
                        <w:gridSpan w:val="5"/>
                        <w:tcBorders>
                          <w:top w:val="single" w:sz="4" w:space="0" w:color="auto"/>
                          <w:left w:val="single" w:sz="4" w:space="0" w:color="auto"/>
                          <w:bottom w:val="single" w:sz="4" w:space="0" w:color="auto"/>
                          <w:right w:val="single" w:sz="4" w:space="0" w:color="auto"/>
                        </w:tcBorders>
                        <w:vAlign w:val="center"/>
                        <w:hideMark/>
                      </w:tcPr>
                      <w:p>
                        <w:pPr>
                          <w:keepNext/>
                          <w:tabs>
                            <w:tab w:val="center" w:pos="6537"/>
                            <w:tab w:val="left" w:pos="10845"/>
                          </w:tabs>
                          <w:jc w:val="center"/>
                          <w:outlineLvl w:val="1"/>
                          <w:rPr>
                            <w:b/>
                            <w:szCs w:val="24"/>
                          </w:rPr>
                        </w:pPr>
                        <w:r>
                          <w:rPr>
                            <w:b/>
                            <w:szCs w:val="24"/>
                          </w:rPr>
                          <w:t>Metalai ir neorganiniai junginiai</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1.</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Alavas (Sn)</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7440-31-5</w:t>
                        </w:r>
                      </w:p>
                    </w:tc>
                    <w:tc>
                      <w:tcPr>
                        <w:tcW w:w="2551" w:type="dxa"/>
                        <w:tcBorders>
                          <w:top w:val="single" w:sz="4" w:space="0" w:color="auto"/>
                          <w:left w:val="single" w:sz="4" w:space="0" w:color="auto"/>
                          <w:bottom w:val="single" w:sz="4" w:space="0" w:color="auto"/>
                          <w:right w:val="single" w:sz="4" w:space="0" w:color="auto"/>
                        </w:tcBorders>
                        <w:hideMark/>
                      </w:tcPr>
                      <w:p>
                        <w:pPr>
                          <w:jc w:val="center"/>
                          <w:rPr>
                            <w:strike/>
                            <w:szCs w:val="24"/>
                          </w:rPr>
                        </w:pPr>
                        <w:r>
                          <w:t>20</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2.</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Arsenas (As)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7440-38-2</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20</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3.</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Baris (Ba)</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7440-39-3</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700</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4.</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Berilis (Be)</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7440-41-7</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10</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5.</w:t>
                        </w:r>
                      </w:p>
                    </w:tc>
                    <w:tc>
                      <w:tcPr>
                        <w:tcW w:w="3686" w:type="dxa"/>
                        <w:tcBorders>
                          <w:top w:val="single" w:sz="4" w:space="0" w:color="auto"/>
                          <w:left w:val="single" w:sz="4" w:space="0" w:color="auto"/>
                          <w:bottom w:val="single" w:sz="4" w:space="0" w:color="auto"/>
                          <w:right w:val="single" w:sz="4" w:space="0" w:color="auto"/>
                        </w:tcBorders>
                        <w:hideMark/>
                      </w:tcPr>
                      <w:p>
                        <w:pPr>
                          <w:jc w:val="both"/>
                          <w:rPr>
                            <w:b/>
                            <w:szCs w:val="24"/>
                          </w:rPr>
                        </w:pPr>
                        <w:r>
                          <w:t>Boras (B)</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7440-42-8</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50</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6.</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Chromas (Cr)</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7440-47-3</w:t>
                        </w:r>
                      </w:p>
                    </w:tc>
                    <w:tc>
                      <w:tcPr>
                        <w:tcW w:w="2551" w:type="dxa"/>
                        <w:tcBorders>
                          <w:top w:val="single" w:sz="4" w:space="0" w:color="auto"/>
                          <w:left w:val="single" w:sz="4" w:space="0" w:color="auto"/>
                          <w:bottom w:val="single" w:sz="4" w:space="0" w:color="auto"/>
                          <w:right w:val="single" w:sz="4" w:space="0" w:color="auto"/>
                        </w:tcBorders>
                        <w:hideMark/>
                      </w:tcPr>
                      <w:p>
                        <w:pPr>
                          <w:jc w:val="center"/>
                          <w:rPr>
                            <w:strike/>
                            <w:szCs w:val="24"/>
                          </w:rPr>
                        </w:pPr>
                        <w:r>
                          <w:t>80</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7.</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Cinkas (Zn)</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7440-66-6</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300</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8.</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Gyvsidabris (Hg)</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7439-97-6</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0,5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9.</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Kadmis (Cd)</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7440-43-9</w:t>
                        </w:r>
                      </w:p>
                    </w:tc>
                    <w:tc>
                      <w:tcPr>
                        <w:tcW w:w="2551" w:type="dxa"/>
                        <w:tcBorders>
                          <w:top w:val="single" w:sz="4" w:space="0" w:color="auto"/>
                          <w:left w:val="single" w:sz="4" w:space="0" w:color="auto"/>
                          <w:bottom w:val="single" w:sz="4" w:space="0" w:color="auto"/>
                          <w:right w:val="single" w:sz="4" w:space="0" w:color="auto"/>
                        </w:tcBorders>
                        <w:hideMark/>
                      </w:tcPr>
                      <w:p>
                        <w:pPr>
                          <w:jc w:val="center"/>
                          <w:rPr>
                            <w:strike/>
                            <w:szCs w:val="24"/>
                          </w:rPr>
                        </w:pPr>
                        <w:r>
                          <w:t>1,5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10.</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Kobaltas (Co)</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7440-48-4</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600"/>
                            <w:tab w:val="center" w:pos="671"/>
                          </w:tabs>
                          <w:jc w:val="center"/>
                          <w:rPr>
                            <w:szCs w:val="24"/>
                          </w:rPr>
                        </w:pPr>
                        <w:r>
                          <w:t>40</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11.</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Manganas (Mn)</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7439-96-5</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1500</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12.</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Molibdenas (Mo)</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7439-38-7</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13.</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Nikelis (Ni)</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7440-02-0</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75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14.</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Selenas (Se)</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7782-49-2</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1,5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15.</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Sidabras (Ag)</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7440-22-4</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0,5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16.</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Stibis (Sb)</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7440-36-0</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10</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17.</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 xml:space="preserve">Švinas (Pb) </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7439-92-1</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80</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18.</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Uranas (U)</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7440-61-1</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20</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19.</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Vanadis (V)</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7440-62-2</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150</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20.</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Varis (Cu)</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7470-50-8</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75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21.</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Cianidai (bendras, CN)</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22.</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Fluoridai (F)</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200</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23.</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Nitratai (NO</w:t>
                        </w:r>
                        <w:r>
                          <w:rPr>
                            <w:vertAlign w:val="subscript"/>
                          </w:rPr>
                          <w:t>3</w:t>
                        </w:r>
                        <w:r>
                          <w:t>)</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130</w:t>
                        </w:r>
                      </w:p>
                    </w:tc>
                  </w:tr>
                  <w:tr>
                    <w:trPr>
                      <w:cantSplit/>
                    </w:trPr>
                    <w:tc>
                      <w:tcPr>
                        <w:tcW w:w="9180" w:type="dxa"/>
                        <w:gridSpan w:val="5"/>
                        <w:tcBorders>
                          <w:top w:val="single" w:sz="4" w:space="0" w:color="auto"/>
                          <w:left w:val="single" w:sz="4" w:space="0" w:color="auto"/>
                          <w:bottom w:val="single" w:sz="4" w:space="0" w:color="auto"/>
                          <w:right w:val="single" w:sz="4" w:space="0" w:color="auto"/>
                        </w:tcBorders>
                        <w:vAlign w:val="center"/>
                        <w:hideMark/>
                      </w:tcPr>
                      <w:p>
                        <w:pPr>
                          <w:keepNext/>
                          <w:jc w:val="center"/>
                          <w:outlineLvl w:val="1"/>
                          <w:rPr>
                            <w:b/>
                            <w:szCs w:val="24"/>
                          </w:rPr>
                        </w:pPr>
                        <w:r>
                          <w:rPr>
                            <w:b/>
                            <w:szCs w:val="24"/>
                          </w:rPr>
                          <w:t>Aromatiniai angliavandeniliai</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24.</w:t>
                        </w:r>
                      </w:p>
                    </w:tc>
                    <w:tc>
                      <w:tcPr>
                        <w:tcW w:w="3827" w:type="dxa"/>
                        <w:gridSpan w:val="2"/>
                        <w:tcBorders>
                          <w:top w:val="single" w:sz="4" w:space="0" w:color="auto"/>
                          <w:left w:val="single" w:sz="4" w:space="0" w:color="auto"/>
                          <w:bottom w:val="single" w:sz="4" w:space="0" w:color="auto"/>
                          <w:right w:val="single" w:sz="4" w:space="0" w:color="auto"/>
                        </w:tcBorders>
                        <w:hideMark/>
                      </w:tcPr>
                      <w:p>
                        <w:pPr>
                          <w:jc w:val="both"/>
                          <w:rPr>
                            <w:szCs w:val="24"/>
                          </w:rPr>
                        </w:pPr>
                        <w:r>
                          <w:t>Anilinas</w:t>
                        </w:r>
                      </w:p>
                    </w:tc>
                    <w:tc>
                      <w:tcPr>
                        <w:tcW w:w="1985" w:type="dxa"/>
                        <w:tcBorders>
                          <w:top w:val="single" w:sz="4" w:space="0" w:color="auto"/>
                          <w:left w:val="single" w:sz="4" w:space="0" w:color="auto"/>
                          <w:bottom w:val="single" w:sz="4" w:space="0" w:color="auto"/>
                          <w:right w:val="single" w:sz="4" w:space="0" w:color="auto"/>
                        </w:tcBorders>
                        <w:hideMark/>
                      </w:tcPr>
                      <w:p>
                        <w:pPr>
                          <w:jc w:val="center"/>
                          <w:rPr>
                            <w:szCs w:val="24"/>
                          </w:rPr>
                        </w:pPr>
                        <w:r>
                          <w:t>62-53-3</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25.</w:t>
                        </w:r>
                      </w:p>
                    </w:tc>
                    <w:tc>
                      <w:tcPr>
                        <w:tcW w:w="3827" w:type="dxa"/>
                        <w:gridSpan w:val="2"/>
                        <w:tcBorders>
                          <w:top w:val="single" w:sz="4" w:space="0" w:color="auto"/>
                          <w:left w:val="single" w:sz="4" w:space="0" w:color="auto"/>
                          <w:bottom w:val="single" w:sz="4" w:space="0" w:color="auto"/>
                          <w:right w:val="single" w:sz="4" w:space="0" w:color="auto"/>
                        </w:tcBorders>
                        <w:hideMark/>
                      </w:tcPr>
                      <w:p>
                        <w:pPr>
                          <w:jc w:val="both"/>
                          <w:rPr>
                            <w:szCs w:val="24"/>
                          </w:rPr>
                        </w:pPr>
                        <w:r>
                          <w:t>Benzenas</w:t>
                        </w:r>
                      </w:p>
                    </w:tc>
                    <w:tc>
                      <w:tcPr>
                        <w:tcW w:w="1985" w:type="dxa"/>
                        <w:tcBorders>
                          <w:top w:val="single" w:sz="4" w:space="0" w:color="auto"/>
                          <w:left w:val="single" w:sz="4" w:space="0" w:color="auto"/>
                          <w:bottom w:val="single" w:sz="4" w:space="0" w:color="auto"/>
                          <w:right w:val="single" w:sz="4" w:space="0" w:color="auto"/>
                        </w:tcBorders>
                        <w:hideMark/>
                      </w:tcPr>
                      <w:p>
                        <w:pPr>
                          <w:jc w:val="center"/>
                          <w:rPr>
                            <w:szCs w:val="24"/>
                          </w:rPr>
                        </w:pPr>
                        <w:r>
                          <w:t>71-43-2</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0,5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26.</w:t>
                        </w:r>
                      </w:p>
                    </w:tc>
                    <w:tc>
                      <w:tcPr>
                        <w:tcW w:w="3827" w:type="dxa"/>
                        <w:gridSpan w:val="2"/>
                        <w:tcBorders>
                          <w:top w:val="single" w:sz="4" w:space="0" w:color="auto"/>
                          <w:left w:val="single" w:sz="4" w:space="0" w:color="auto"/>
                          <w:bottom w:val="single" w:sz="4" w:space="0" w:color="auto"/>
                          <w:right w:val="single" w:sz="4" w:space="0" w:color="auto"/>
                        </w:tcBorders>
                        <w:hideMark/>
                      </w:tcPr>
                      <w:p>
                        <w:pPr>
                          <w:jc w:val="both"/>
                          <w:rPr>
                            <w:szCs w:val="24"/>
                          </w:rPr>
                        </w:pPr>
                        <w:r>
                          <w:t>Bifenilas</w:t>
                        </w:r>
                      </w:p>
                    </w:tc>
                    <w:tc>
                      <w:tcPr>
                        <w:tcW w:w="1985" w:type="dxa"/>
                        <w:tcBorders>
                          <w:top w:val="single" w:sz="4" w:space="0" w:color="auto"/>
                          <w:left w:val="single" w:sz="4" w:space="0" w:color="auto"/>
                          <w:bottom w:val="single" w:sz="4" w:space="0" w:color="auto"/>
                          <w:right w:val="single" w:sz="4" w:space="0" w:color="auto"/>
                        </w:tcBorders>
                        <w:hideMark/>
                      </w:tcPr>
                      <w:p>
                        <w:pPr>
                          <w:jc w:val="center"/>
                          <w:rPr>
                            <w:szCs w:val="24"/>
                          </w:rPr>
                        </w:pPr>
                        <w:r>
                          <w:t>92-52-4</w:t>
                        </w:r>
                      </w:p>
                    </w:tc>
                    <w:tc>
                      <w:tcPr>
                        <w:tcW w:w="2551" w:type="dxa"/>
                        <w:tcBorders>
                          <w:top w:val="single" w:sz="4" w:space="0" w:color="auto"/>
                          <w:left w:val="single" w:sz="4" w:space="0" w:color="auto"/>
                          <w:bottom w:val="single" w:sz="4" w:space="0" w:color="auto"/>
                          <w:right w:val="single" w:sz="4" w:space="0" w:color="auto"/>
                        </w:tcBorders>
                        <w:hideMark/>
                      </w:tcPr>
                      <w:p>
                        <w:pPr>
                          <w:jc w:val="center"/>
                          <w:rPr>
                            <w:strike/>
                            <w:szCs w:val="24"/>
                          </w:rPr>
                        </w:pPr>
                        <w:r>
                          <w:t>4</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27.</w:t>
                        </w:r>
                      </w:p>
                    </w:tc>
                    <w:tc>
                      <w:tcPr>
                        <w:tcW w:w="3827" w:type="dxa"/>
                        <w:gridSpan w:val="2"/>
                        <w:tcBorders>
                          <w:top w:val="single" w:sz="4" w:space="0" w:color="auto"/>
                          <w:left w:val="single" w:sz="4" w:space="0" w:color="auto"/>
                          <w:bottom w:val="single" w:sz="4" w:space="0" w:color="auto"/>
                          <w:right w:val="single" w:sz="4" w:space="0" w:color="auto"/>
                        </w:tcBorders>
                        <w:hideMark/>
                      </w:tcPr>
                      <w:p>
                        <w:pPr>
                          <w:jc w:val="both"/>
                          <w:rPr>
                            <w:szCs w:val="24"/>
                          </w:rPr>
                        </w:pPr>
                        <w:r>
                          <w:t>2,4-dimetilfenolis</w:t>
                        </w:r>
                      </w:p>
                    </w:tc>
                    <w:tc>
                      <w:tcPr>
                        <w:tcW w:w="1985" w:type="dxa"/>
                        <w:tcBorders>
                          <w:top w:val="single" w:sz="4" w:space="0" w:color="auto"/>
                          <w:left w:val="single" w:sz="4" w:space="0" w:color="auto"/>
                          <w:bottom w:val="single" w:sz="4" w:space="0" w:color="auto"/>
                          <w:right w:val="single" w:sz="4" w:space="0" w:color="auto"/>
                        </w:tcBorders>
                        <w:hideMark/>
                      </w:tcPr>
                      <w:p>
                        <w:pPr>
                          <w:jc w:val="center"/>
                          <w:rPr>
                            <w:szCs w:val="24"/>
                          </w:rPr>
                        </w:pPr>
                        <w:r>
                          <w:t>105-67-9</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1</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28.</w:t>
                        </w:r>
                      </w:p>
                    </w:tc>
                    <w:tc>
                      <w:tcPr>
                        <w:tcW w:w="3827" w:type="dxa"/>
                        <w:gridSpan w:val="2"/>
                        <w:tcBorders>
                          <w:top w:val="single" w:sz="4" w:space="0" w:color="auto"/>
                          <w:left w:val="single" w:sz="4" w:space="0" w:color="auto"/>
                          <w:bottom w:val="single" w:sz="4" w:space="0" w:color="auto"/>
                          <w:right w:val="single" w:sz="4" w:space="0" w:color="auto"/>
                        </w:tcBorders>
                        <w:hideMark/>
                      </w:tcPr>
                      <w:p>
                        <w:pPr>
                          <w:jc w:val="both"/>
                          <w:rPr>
                            <w:szCs w:val="24"/>
                          </w:rPr>
                        </w:pPr>
                        <w:r>
                          <w:t>2,6-dimetilfenolis</w:t>
                        </w:r>
                      </w:p>
                    </w:tc>
                    <w:tc>
                      <w:tcPr>
                        <w:tcW w:w="1985" w:type="dxa"/>
                        <w:tcBorders>
                          <w:top w:val="single" w:sz="4" w:space="0" w:color="auto"/>
                          <w:left w:val="single" w:sz="4" w:space="0" w:color="auto"/>
                          <w:bottom w:val="single" w:sz="4" w:space="0" w:color="auto"/>
                          <w:right w:val="single" w:sz="4" w:space="0" w:color="auto"/>
                        </w:tcBorders>
                        <w:hideMark/>
                      </w:tcPr>
                      <w:p>
                        <w:pPr>
                          <w:jc w:val="center"/>
                          <w:rPr>
                            <w:szCs w:val="24"/>
                          </w:rPr>
                        </w:pPr>
                        <w:r>
                          <w:t>576-26-1</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1</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29.</w:t>
                        </w:r>
                      </w:p>
                    </w:tc>
                    <w:tc>
                      <w:tcPr>
                        <w:tcW w:w="3827" w:type="dxa"/>
                        <w:gridSpan w:val="2"/>
                        <w:tcBorders>
                          <w:top w:val="single" w:sz="4" w:space="0" w:color="auto"/>
                          <w:left w:val="single" w:sz="4" w:space="0" w:color="auto"/>
                          <w:bottom w:val="single" w:sz="4" w:space="0" w:color="auto"/>
                          <w:right w:val="single" w:sz="4" w:space="0" w:color="auto"/>
                        </w:tcBorders>
                        <w:hideMark/>
                      </w:tcPr>
                      <w:p>
                        <w:pPr>
                          <w:jc w:val="both"/>
                          <w:rPr>
                            <w:szCs w:val="24"/>
                          </w:rPr>
                        </w:pPr>
                        <w:r>
                          <w:t>3,4-dimetilfenolis</w:t>
                        </w:r>
                      </w:p>
                    </w:tc>
                    <w:tc>
                      <w:tcPr>
                        <w:tcW w:w="1985" w:type="dxa"/>
                        <w:tcBorders>
                          <w:top w:val="single" w:sz="4" w:space="0" w:color="auto"/>
                          <w:left w:val="single" w:sz="4" w:space="0" w:color="auto"/>
                          <w:bottom w:val="single" w:sz="4" w:space="0" w:color="auto"/>
                          <w:right w:val="single" w:sz="4" w:space="0" w:color="auto"/>
                        </w:tcBorders>
                        <w:hideMark/>
                      </w:tcPr>
                      <w:p>
                        <w:pPr>
                          <w:jc w:val="center"/>
                          <w:rPr>
                            <w:szCs w:val="24"/>
                          </w:rPr>
                        </w:pPr>
                        <w:r>
                          <w:t>95-65-8</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1</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30.</w:t>
                        </w:r>
                      </w:p>
                    </w:tc>
                    <w:tc>
                      <w:tcPr>
                        <w:tcW w:w="3827" w:type="dxa"/>
                        <w:gridSpan w:val="2"/>
                        <w:tcBorders>
                          <w:top w:val="single" w:sz="4" w:space="0" w:color="auto"/>
                          <w:left w:val="single" w:sz="4" w:space="0" w:color="auto"/>
                          <w:bottom w:val="single" w:sz="4" w:space="0" w:color="auto"/>
                          <w:right w:val="single" w:sz="4" w:space="0" w:color="auto"/>
                        </w:tcBorders>
                        <w:hideMark/>
                      </w:tcPr>
                      <w:p>
                        <w:pPr>
                          <w:jc w:val="both"/>
                          <w:rPr>
                            <w:szCs w:val="24"/>
                          </w:rPr>
                        </w:pPr>
                        <w:r>
                          <w:t>Etilbenzenas</w:t>
                        </w:r>
                      </w:p>
                    </w:tc>
                    <w:tc>
                      <w:tcPr>
                        <w:tcW w:w="1985" w:type="dxa"/>
                        <w:tcBorders>
                          <w:top w:val="single" w:sz="4" w:space="0" w:color="auto"/>
                          <w:left w:val="single" w:sz="4" w:space="0" w:color="auto"/>
                          <w:bottom w:val="single" w:sz="4" w:space="0" w:color="auto"/>
                          <w:right w:val="single" w:sz="4" w:space="0" w:color="auto"/>
                        </w:tcBorders>
                        <w:hideMark/>
                      </w:tcPr>
                      <w:p>
                        <w:pPr>
                          <w:jc w:val="center"/>
                          <w:rPr>
                            <w:szCs w:val="24"/>
                          </w:rPr>
                        </w:pPr>
                        <w:r>
                          <w:t>100-41-4</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31.</w:t>
                        </w:r>
                      </w:p>
                    </w:tc>
                    <w:tc>
                      <w:tcPr>
                        <w:tcW w:w="3827" w:type="dxa"/>
                        <w:gridSpan w:val="2"/>
                        <w:tcBorders>
                          <w:top w:val="single" w:sz="4" w:space="0" w:color="auto"/>
                          <w:left w:val="single" w:sz="4" w:space="0" w:color="auto"/>
                          <w:bottom w:val="single" w:sz="4" w:space="0" w:color="auto"/>
                          <w:right w:val="single" w:sz="4" w:space="0" w:color="auto"/>
                        </w:tcBorders>
                        <w:hideMark/>
                      </w:tcPr>
                      <w:p>
                        <w:pPr>
                          <w:jc w:val="both"/>
                          <w:rPr>
                            <w:szCs w:val="24"/>
                          </w:rPr>
                        </w:pPr>
                        <w:r>
                          <w:t>Fenolis</w:t>
                        </w:r>
                      </w:p>
                    </w:tc>
                    <w:tc>
                      <w:tcPr>
                        <w:tcW w:w="1985" w:type="dxa"/>
                        <w:tcBorders>
                          <w:top w:val="single" w:sz="4" w:space="0" w:color="auto"/>
                          <w:left w:val="single" w:sz="4" w:space="0" w:color="auto"/>
                          <w:bottom w:val="single" w:sz="4" w:space="0" w:color="auto"/>
                          <w:right w:val="single" w:sz="4" w:space="0" w:color="auto"/>
                        </w:tcBorders>
                        <w:hideMark/>
                      </w:tcPr>
                      <w:p>
                        <w:pPr>
                          <w:jc w:val="center"/>
                          <w:rPr>
                            <w:szCs w:val="24"/>
                          </w:rPr>
                        </w:pPr>
                        <w:r>
                          <w:t>108-95-2</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10</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32.</w:t>
                        </w:r>
                      </w:p>
                    </w:tc>
                    <w:tc>
                      <w:tcPr>
                        <w:tcW w:w="3827" w:type="dxa"/>
                        <w:gridSpan w:val="2"/>
                        <w:tcBorders>
                          <w:top w:val="single" w:sz="4" w:space="0" w:color="auto"/>
                          <w:left w:val="single" w:sz="4" w:space="0" w:color="auto"/>
                          <w:bottom w:val="single" w:sz="4" w:space="0" w:color="auto"/>
                          <w:right w:val="single" w:sz="4" w:space="0" w:color="auto"/>
                        </w:tcBorders>
                        <w:hideMark/>
                      </w:tcPr>
                      <w:p>
                        <w:pPr>
                          <w:jc w:val="both"/>
                          <w:rPr>
                            <w:szCs w:val="24"/>
                          </w:rPr>
                        </w:pPr>
                        <w:r>
                          <w:t>Ksilenas</w:t>
                        </w:r>
                      </w:p>
                    </w:tc>
                    <w:tc>
                      <w:tcPr>
                        <w:tcW w:w="1985" w:type="dxa"/>
                        <w:tcBorders>
                          <w:top w:val="single" w:sz="4" w:space="0" w:color="auto"/>
                          <w:left w:val="single" w:sz="4" w:space="0" w:color="auto"/>
                          <w:bottom w:val="single" w:sz="4" w:space="0" w:color="auto"/>
                          <w:right w:val="single" w:sz="4" w:space="0" w:color="auto"/>
                        </w:tcBorders>
                        <w:hideMark/>
                      </w:tcPr>
                      <w:p>
                        <w:pPr>
                          <w:jc w:val="center"/>
                          <w:rPr>
                            <w:szCs w:val="24"/>
                          </w:rPr>
                        </w:pPr>
                        <w:r>
                          <w:t>1330-20-7</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5</w:t>
                        </w:r>
                      </w:p>
                    </w:tc>
                  </w:tr>
                  <w:tr>
                    <w:trPr>
                      <w:cantSplit/>
                    </w:trPr>
                    <w:tc>
                      <w:tcPr>
                        <w:tcW w:w="817"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33.</w:t>
                        </w:r>
                      </w:p>
                    </w:tc>
                    <w:tc>
                      <w:tcPr>
                        <w:tcW w:w="3827" w:type="dxa"/>
                        <w:gridSpan w:val="2"/>
                        <w:vMerge w:val="restart"/>
                        <w:tcBorders>
                          <w:top w:val="single" w:sz="4" w:space="0" w:color="auto"/>
                          <w:left w:val="single" w:sz="4" w:space="0" w:color="auto"/>
                          <w:bottom w:val="single" w:sz="4" w:space="0" w:color="auto"/>
                          <w:right w:val="single" w:sz="4" w:space="0" w:color="auto"/>
                        </w:tcBorders>
                        <w:hideMark/>
                      </w:tcPr>
                      <w:p>
                        <w:pPr>
                          <w:jc w:val="both"/>
                          <w:rPr>
                            <w:szCs w:val="24"/>
                          </w:rPr>
                        </w:pPr>
                        <w:r>
                          <w:t>Naftos produktai (angliavandeniliai):</w:t>
                        </w:r>
                      </w:p>
                      <w:p>
                        <w:pPr>
                          <w:ind w:firstLine="360"/>
                          <w:jc w:val="both"/>
                        </w:pPr>
                        <w:r>
                          <w:t>C</w:t>
                        </w:r>
                        <w:r>
                          <w:rPr>
                            <w:vertAlign w:val="subscript"/>
                          </w:rPr>
                          <w:t>5</w:t>
                        </w:r>
                        <w:r>
                          <w:t>-C</w:t>
                        </w:r>
                        <w:r>
                          <w:rPr>
                            <w:vertAlign w:val="subscript"/>
                          </w:rPr>
                          <w:t>10</w:t>
                        </w:r>
                        <w:r>
                          <w:t xml:space="preserve"> </w:t>
                        </w:r>
                      </w:p>
                      <w:p>
                        <w:pPr>
                          <w:ind w:firstLine="360"/>
                          <w:jc w:val="both"/>
                        </w:pPr>
                        <w:r>
                          <w:t>C</w:t>
                        </w:r>
                        <w:r>
                          <w:rPr>
                            <w:vertAlign w:val="subscript"/>
                          </w:rPr>
                          <w:t>10</w:t>
                        </w:r>
                        <w:r>
                          <w:t>-C</w:t>
                        </w:r>
                        <w:r>
                          <w:rPr>
                            <w:vertAlign w:val="subscript"/>
                          </w:rPr>
                          <w:t>20</w:t>
                        </w:r>
                      </w:p>
                      <w:p>
                        <w:pPr>
                          <w:ind w:firstLine="360"/>
                          <w:jc w:val="both"/>
                          <w:rPr>
                            <w:szCs w:val="24"/>
                          </w:rPr>
                        </w:pPr>
                        <w:r>
                          <w:t>C</w:t>
                        </w:r>
                        <w:r>
                          <w:rPr>
                            <w:vertAlign w:val="subscript"/>
                          </w:rPr>
                          <w:t>20</w:t>
                        </w:r>
                        <w:r>
                          <w:t>-C</w:t>
                        </w:r>
                        <w:r>
                          <w:rPr>
                            <w:vertAlign w:val="subscript"/>
                          </w:rPr>
                          <w:t>40</w:t>
                        </w:r>
                      </w:p>
                    </w:tc>
                    <w:tc>
                      <w:tcPr>
                        <w:tcW w:w="1985" w:type="dxa"/>
                        <w:tcBorders>
                          <w:top w:val="single" w:sz="4" w:space="0" w:color="auto"/>
                          <w:left w:val="single" w:sz="4" w:space="0" w:color="auto"/>
                          <w:bottom w:val="single" w:sz="4" w:space="0" w:color="auto"/>
                          <w:right w:val="single" w:sz="4" w:space="0" w:color="auto"/>
                        </w:tcBorders>
                        <w:vAlign w:val="bottom"/>
                        <w:hideMark/>
                      </w:tcPr>
                      <w:p>
                        <w:pPr>
                          <w:jc w:val="center"/>
                          <w:rPr>
                            <w:szCs w:val="24"/>
                          </w:rPr>
                        </w:pPr>
                        <w:r>
                          <w:t>-</w:t>
                        </w:r>
                      </w:p>
                    </w:tc>
                    <w:tc>
                      <w:tcPr>
                        <w:tcW w:w="2551" w:type="dxa"/>
                        <w:tcBorders>
                          <w:top w:val="single" w:sz="4" w:space="0" w:color="auto"/>
                          <w:left w:val="single" w:sz="4" w:space="0" w:color="auto"/>
                          <w:bottom w:val="single" w:sz="4" w:space="0" w:color="auto"/>
                          <w:right w:val="single" w:sz="4" w:space="0" w:color="auto"/>
                        </w:tcBorders>
                      </w:tcPr>
                      <w:p>
                        <w:pPr>
                          <w:jc w:val="center"/>
                          <w:rPr>
                            <w:szCs w:val="24"/>
                          </w:rPr>
                        </w:pPr>
                      </w:p>
                      <w:p>
                        <w:pPr>
                          <w:jc w:val="center"/>
                          <w:rPr>
                            <w:szCs w:val="24"/>
                          </w:rPr>
                        </w:pPr>
                        <w:r>
                          <w:t>100</w:t>
                        </w:r>
                      </w:p>
                    </w:tc>
                  </w:tr>
                  <w:tr>
                    <w:trPr>
                      <w:cantSplit/>
                    </w:trPr>
                    <w:tc>
                      <w:tcPr>
                        <w:tcW w:w="918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5953" w:type="dxa"/>
                        <w:gridSpan w:val="2"/>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985" w:type="dxa"/>
                        <w:tcBorders>
                          <w:top w:val="single" w:sz="4" w:space="0" w:color="auto"/>
                          <w:left w:val="single" w:sz="4" w:space="0" w:color="auto"/>
                          <w:bottom w:val="single" w:sz="4" w:space="0" w:color="auto"/>
                          <w:right w:val="single" w:sz="4" w:space="0" w:color="auto"/>
                        </w:tcBorders>
                        <w:hideMark/>
                      </w:tcPr>
                      <w:p>
                        <w:pPr>
                          <w:jc w:val="center"/>
                          <w:rPr>
                            <w:szCs w:val="24"/>
                          </w:rPr>
                        </w:pPr>
                        <w:r>
                          <w:t>-</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200</w:t>
                        </w:r>
                      </w:p>
                    </w:tc>
                  </w:tr>
                  <w:tr>
                    <w:trPr>
                      <w:cantSplit/>
                    </w:trPr>
                    <w:tc>
                      <w:tcPr>
                        <w:tcW w:w="9180"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5953" w:type="dxa"/>
                        <w:gridSpan w:val="2"/>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985" w:type="dxa"/>
                        <w:tcBorders>
                          <w:top w:val="single" w:sz="4" w:space="0" w:color="auto"/>
                          <w:left w:val="single" w:sz="4" w:space="0" w:color="auto"/>
                          <w:bottom w:val="single" w:sz="4" w:space="0" w:color="auto"/>
                          <w:right w:val="single" w:sz="4" w:space="0" w:color="auto"/>
                        </w:tcBorders>
                        <w:hideMark/>
                      </w:tcPr>
                      <w:p>
                        <w:pPr>
                          <w:jc w:val="center"/>
                          <w:rPr>
                            <w:szCs w:val="24"/>
                          </w:rPr>
                        </w:pPr>
                        <w:r>
                          <w:t>-</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5000</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34.</w:t>
                        </w:r>
                      </w:p>
                    </w:tc>
                    <w:tc>
                      <w:tcPr>
                        <w:tcW w:w="3827" w:type="dxa"/>
                        <w:gridSpan w:val="2"/>
                        <w:tcBorders>
                          <w:top w:val="single" w:sz="4" w:space="0" w:color="auto"/>
                          <w:left w:val="single" w:sz="4" w:space="0" w:color="auto"/>
                          <w:bottom w:val="single" w:sz="4" w:space="0" w:color="auto"/>
                          <w:right w:val="single" w:sz="4" w:space="0" w:color="auto"/>
                        </w:tcBorders>
                        <w:hideMark/>
                      </w:tcPr>
                      <w:p>
                        <w:pPr>
                          <w:jc w:val="both"/>
                          <w:rPr>
                            <w:szCs w:val="24"/>
                          </w:rPr>
                        </w:pPr>
                        <w:r>
                          <w:t>Nitrobenzenas</w:t>
                        </w:r>
                      </w:p>
                    </w:tc>
                    <w:tc>
                      <w:tcPr>
                        <w:tcW w:w="1985" w:type="dxa"/>
                        <w:tcBorders>
                          <w:top w:val="single" w:sz="4" w:space="0" w:color="auto"/>
                          <w:left w:val="single" w:sz="4" w:space="0" w:color="auto"/>
                          <w:bottom w:val="single" w:sz="4" w:space="0" w:color="auto"/>
                          <w:right w:val="single" w:sz="4" w:space="0" w:color="auto"/>
                        </w:tcBorders>
                        <w:hideMark/>
                      </w:tcPr>
                      <w:p>
                        <w:pPr>
                          <w:jc w:val="center"/>
                          <w:rPr>
                            <w:szCs w:val="24"/>
                          </w:rPr>
                        </w:pPr>
                        <w:r>
                          <w:t>98-95-3</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2</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35.</w:t>
                        </w:r>
                      </w:p>
                    </w:tc>
                    <w:tc>
                      <w:tcPr>
                        <w:tcW w:w="3827" w:type="dxa"/>
                        <w:gridSpan w:val="2"/>
                        <w:tcBorders>
                          <w:top w:val="single" w:sz="4" w:space="0" w:color="auto"/>
                          <w:left w:val="single" w:sz="4" w:space="0" w:color="auto"/>
                          <w:bottom w:val="single" w:sz="4" w:space="0" w:color="auto"/>
                          <w:right w:val="single" w:sz="4" w:space="0" w:color="auto"/>
                        </w:tcBorders>
                        <w:hideMark/>
                      </w:tcPr>
                      <w:p>
                        <w:pPr>
                          <w:jc w:val="both"/>
                          <w:rPr>
                            <w:szCs w:val="24"/>
                          </w:rPr>
                        </w:pPr>
                        <w:r>
                          <w:t>4-nitrofenolis</w:t>
                        </w:r>
                      </w:p>
                    </w:tc>
                    <w:tc>
                      <w:tcPr>
                        <w:tcW w:w="1985" w:type="dxa"/>
                        <w:tcBorders>
                          <w:top w:val="single" w:sz="4" w:space="0" w:color="auto"/>
                          <w:left w:val="single" w:sz="4" w:space="0" w:color="auto"/>
                          <w:bottom w:val="single" w:sz="4" w:space="0" w:color="auto"/>
                          <w:right w:val="single" w:sz="4" w:space="0" w:color="auto"/>
                        </w:tcBorders>
                        <w:hideMark/>
                      </w:tcPr>
                      <w:p>
                        <w:pPr>
                          <w:jc w:val="center"/>
                          <w:rPr>
                            <w:szCs w:val="24"/>
                          </w:rPr>
                        </w:pPr>
                        <w:r>
                          <w:t>100-02-7</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0,5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36.</w:t>
                        </w:r>
                      </w:p>
                    </w:tc>
                    <w:tc>
                      <w:tcPr>
                        <w:tcW w:w="3827" w:type="dxa"/>
                        <w:gridSpan w:val="2"/>
                        <w:tcBorders>
                          <w:top w:val="single" w:sz="4" w:space="0" w:color="auto"/>
                          <w:left w:val="single" w:sz="4" w:space="0" w:color="auto"/>
                          <w:bottom w:val="single" w:sz="4" w:space="0" w:color="auto"/>
                          <w:right w:val="single" w:sz="4" w:space="0" w:color="auto"/>
                        </w:tcBorders>
                        <w:hideMark/>
                      </w:tcPr>
                      <w:p>
                        <w:pPr>
                          <w:jc w:val="both"/>
                          <w:rPr>
                            <w:szCs w:val="24"/>
                          </w:rPr>
                        </w:pPr>
                        <w:r>
                          <w:t>Pentachlorbenzenas</w:t>
                        </w:r>
                      </w:p>
                    </w:tc>
                    <w:tc>
                      <w:tcPr>
                        <w:tcW w:w="1985" w:type="dxa"/>
                        <w:tcBorders>
                          <w:top w:val="single" w:sz="4" w:space="0" w:color="auto"/>
                          <w:left w:val="single" w:sz="4" w:space="0" w:color="auto"/>
                          <w:bottom w:val="single" w:sz="4" w:space="0" w:color="auto"/>
                          <w:right w:val="single" w:sz="4" w:space="0" w:color="auto"/>
                        </w:tcBorders>
                        <w:hideMark/>
                      </w:tcPr>
                      <w:p>
                        <w:pPr>
                          <w:jc w:val="center"/>
                          <w:rPr>
                            <w:szCs w:val="24"/>
                          </w:rPr>
                        </w:pPr>
                        <w:r>
                          <w:t>608-93-5</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1</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37.</w:t>
                        </w:r>
                      </w:p>
                    </w:tc>
                    <w:tc>
                      <w:tcPr>
                        <w:tcW w:w="3827" w:type="dxa"/>
                        <w:gridSpan w:val="2"/>
                        <w:tcBorders>
                          <w:top w:val="single" w:sz="4" w:space="0" w:color="auto"/>
                          <w:left w:val="single" w:sz="4" w:space="0" w:color="auto"/>
                          <w:bottom w:val="single" w:sz="4" w:space="0" w:color="auto"/>
                          <w:right w:val="single" w:sz="4" w:space="0" w:color="auto"/>
                        </w:tcBorders>
                        <w:hideMark/>
                      </w:tcPr>
                      <w:p>
                        <w:pPr>
                          <w:jc w:val="both"/>
                          <w:rPr>
                            <w:szCs w:val="24"/>
                          </w:rPr>
                        </w:pPr>
                        <w:r>
                          <w:t>Stirenas</w:t>
                        </w:r>
                      </w:p>
                    </w:tc>
                    <w:tc>
                      <w:tcPr>
                        <w:tcW w:w="1985" w:type="dxa"/>
                        <w:tcBorders>
                          <w:top w:val="single" w:sz="4" w:space="0" w:color="auto"/>
                          <w:left w:val="single" w:sz="4" w:space="0" w:color="auto"/>
                          <w:bottom w:val="single" w:sz="4" w:space="0" w:color="auto"/>
                          <w:right w:val="single" w:sz="4" w:space="0" w:color="auto"/>
                        </w:tcBorders>
                        <w:hideMark/>
                      </w:tcPr>
                      <w:p>
                        <w:pPr>
                          <w:jc w:val="center"/>
                          <w:rPr>
                            <w:szCs w:val="24"/>
                          </w:rPr>
                        </w:pPr>
                        <w:r>
                          <w:t>100-42-5</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0,5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38.</w:t>
                        </w:r>
                      </w:p>
                    </w:tc>
                    <w:tc>
                      <w:tcPr>
                        <w:tcW w:w="3827" w:type="dxa"/>
                        <w:gridSpan w:val="2"/>
                        <w:tcBorders>
                          <w:top w:val="single" w:sz="4" w:space="0" w:color="auto"/>
                          <w:left w:val="single" w:sz="4" w:space="0" w:color="auto"/>
                          <w:bottom w:val="single" w:sz="4" w:space="0" w:color="auto"/>
                          <w:right w:val="single" w:sz="4" w:space="0" w:color="auto"/>
                        </w:tcBorders>
                        <w:hideMark/>
                      </w:tcPr>
                      <w:p>
                        <w:pPr>
                          <w:jc w:val="both"/>
                          <w:rPr>
                            <w:szCs w:val="24"/>
                          </w:rPr>
                        </w:pPr>
                        <w:r>
                          <w:t>Toluenas</w:t>
                        </w:r>
                      </w:p>
                    </w:tc>
                    <w:tc>
                      <w:tcPr>
                        <w:tcW w:w="1985" w:type="dxa"/>
                        <w:tcBorders>
                          <w:top w:val="single" w:sz="4" w:space="0" w:color="auto"/>
                          <w:left w:val="single" w:sz="4" w:space="0" w:color="auto"/>
                          <w:bottom w:val="single" w:sz="4" w:space="0" w:color="auto"/>
                          <w:right w:val="single" w:sz="4" w:space="0" w:color="auto"/>
                        </w:tcBorders>
                        <w:hideMark/>
                      </w:tcPr>
                      <w:p>
                        <w:pPr>
                          <w:jc w:val="center"/>
                          <w:rPr>
                            <w:szCs w:val="24"/>
                          </w:rPr>
                        </w:pPr>
                        <w:r>
                          <w:t>108-88-3</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5</w:t>
                        </w:r>
                      </w:p>
                    </w:tc>
                  </w:tr>
                  <w:tr>
                    <w:trPr>
                      <w:cantSplit/>
                    </w:trPr>
                    <w:tc>
                      <w:tcPr>
                        <w:tcW w:w="9180" w:type="dxa"/>
                        <w:gridSpan w:val="5"/>
                        <w:tcBorders>
                          <w:top w:val="single" w:sz="4" w:space="0" w:color="auto"/>
                          <w:left w:val="single" w:sz="4" w:space="0" w:color="auto"/>
                          <w:bottom w:val="single" w:sz="4" w:space="0" w:color="auto"/>
                          <w:right w:val="single" w:sz="4" w:space="0" w:color="auto"/>
                        </w:tcBorders>
                        <w:vAlign w:val="center"/>
                        <w:hideMark/>
                      </w:tcPr>
                      <w:p>
                        <w:pPr>
                          <w:keepNext/>
                          <w:jc w:val="center"/>
                          <w:outlineLvl w:val="1"/>
                          <w:rPr>
                            <w:b/>
                            <w:szCs w:val="24"/>
                          </w:rPr>
                        </w:pPr>
                        <w:r>
                          <w:rPr>
                            <w:b/>
                            <w:szCs w:val="24"/>
                          </w:rPr>
                          <w:t>Policikliniai aromatiniai angliavandeniliai</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39.</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Antracenas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120-12-7</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40.</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Benzo(a)pirenas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50-32-8</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0,5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41.</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Chrizenas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218-01-9</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2</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42.</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Fenantrenas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85-01-8</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60</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43.</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Naftalenas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91-20-3</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44.</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Policikliniai aromatiniai angliavandeniliai (PAA, bendras)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45.</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Pirenas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129-00-0</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125</w:t>
                        </w:r>
                      </w:p>
                    </w:tc>
                  </w:tr>
                  <w:tr>
                    <w:trPr>
                      <w:cantSplit/>
                    </w:trPr>
                    <w:tc>
                      <w:tcPr>
                        <w:tcW w:w="9180" w:type="dxa"/>
                        <w:gridSpan w:val="5"/>
                        <w:tcBorders>
                          <w:top w:val="single" w:sz="4" w:space="0" w:color="auto"/>
                          <w:left w:val="single" w:sz="4" w:space="0" w:color="auto"/>
                          <w:bottom w:val="single" w:sz="4" w:space="0" w:color="auto"/>
                          <w:right w:val="single" w:sz="4" w:space="0" w:color="auto"/>
                        </w:tcBorders>
                        <w:vAlign w:val="center"/>
                        <w:hideMark/>
                      </w:tcPr>
                      <w:p>
                        <w:pPr>
                          <w:keepNext/>
                          <w:jc w:val="center"/>
                          <w:outlineLvl w:val="1"/>
                          <w:rPr>
                            <w:b/>
                            <w:szCs w:val="24"/>
                          </w:rPr>
                        </w:pPr>
                        <w:r>
                          <w:rPr>
                            <w:b/>
                            <w:szCs w:val="24"/>
                          </w:rPr>
                          <w:t>Halogeninti angliavandeniliai</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46.</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Anglies tetrachloridas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56-23-5</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1</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47.</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1,2-dichloretanas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107-06-2</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0,035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48.</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Dichlormetanas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75-09-2</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0,35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49.</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1,2-dichlorpropanas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78-87-5</w:t>
                        </w:r>
                      </w:p>
                    </w:tc>
                    <w:tc>
                      <w:tcPr>
                        <w:tcW w:w="2551" w:type="dxa"/>
                        <w:tcBorders>
                          <w:top w:val="single" w:sz="4" w:space="0" w:color="auto"/>
                          <w:left w:val="single" w:sz="4" w:space="0" w:color="auto"/>
                          <w:bottom w:val="single" w:sz="4" w:space="0" w:color="auto"/>
                          <w:right w:val="single" w:sz="4" w:space="0" w:color="auto"/>
                        </w:tcBorders>
                        <w:hideMark/>
                      </w:tcPr>
                      <w:p>
                        <w:pPr>
                          <w:jc w:val="center"/>
                          <w:rPr>
                            <w:strike/>
                            <w:szCs w:val="24"/>
                          </w:rPr>
                        </w:pPr>
                        <w:r>
                          <w:t>2</w:t>
                        </w:r>
                        <w:r>
                          <w:rPr>
                            <w:strike/>
                          </w:rPr>
                          <w:t xml:space="preserve"> </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50.</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Heksachloretanas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67-72-1</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1</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51.</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Polichlorintieji bifenilai (PCB)</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w:t>
                        </w:r>
                      </w:p>
                    </w:tc>
                    <w:tc>
                      <w:tcPr>
                        <w:tcW w:w="2551" w:type="dxa"/>
                        <w:tcBorders>
                          <w:top w:val="single" w:sz="4" w:space="0" w:color="auto"/>
                          <w:left w:val="single" w:sz="4" w:space="0" w:color="auto"/>
                          <w:bottom w:val="single" w:sz="4" w:space="0" w:color="auto"/>
                          <w:right w:val="single" w:sz="4" w:space="0" w:color="auto"/>
                        </w:tcBorders>
                        <w:hideMark/>
                      </w:tcPr>
                      <w:p>
                        <w:pPr>
                          <w:jc w:val="center"/>
                          <w:rPr>
                            <w:strike/>
                            <w:szCs w:val="24"/>
                          </w:rPr>
                        </w:pPr>
                        <w:r>
                          <w:t>0,3</w:t>
                        </w:r>
                        <w:r>
                          <w:rPr>
                            <w:strike/>
                          </w:rPr>
                          <w:t xml:space="preserve"> </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52.</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Tetrachloretilenas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127-18-4</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0,5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53.</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Trichloretilenas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79-01-6</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1,5</w:t>
                        </w:r>
                      </w:p>
                    </w:tc>
                  </w:tr>
                  <w:tr>
                    <w:trPr>
                      <w:cantSplit/>
                    </w:trPr>
                    <w:tc>
                      <w:tcPr>
                        <w:tcW w:w="9180" w:type="dxa"/>
                        <w:gridSpan w:val="5"/>
                        <w:tcBorders>
                          <w:top w:val="single" w:sz="4" w:space="0" w:color="auto"/>
                          <w:left w:val="single" w:sz="4" w:space="0" w:color="auto"/>
                          <w:bottom w:val="single" w:sz="4" w:space="0" w:color="auto"/>
                          <w:right w:val="single" w:sz="4" w:space="0" w:color="auto"/>
                        </w:tcBorders>
                        <w:vAlign w:val="center"/>
                        <w:hideMark/>
                      </w:tcPr>
                      <w:p>
                        <w:pPr>
                          <w:keepNext/>
                          <w:jc w:val="center"/>
                          <w:outlineLvl w:val="1"/>
                          <w:rPr>
                            <w:b/>
                            <w:szCs w:val="24"/>
                          </w:rPr>
                        </w:pPr>
                        <w:r>
                          <w:rPr>
                            <w:b/>
                            <w:szCs w:val="24"/>
                          </w:rPr>
                          <w:t>Pesticidai</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54.</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Aldrinas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309-00-2</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0,05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55.</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Chlordanas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57-47-9</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0,1</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56.</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2,4 D (dichlorfenoksiacto rūgštis)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94-75-7</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0,1</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57.</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DDT (dichlordifeniltrichloretanas)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50-29-3</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0,1</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58.</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Dieldrinas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60-57-1</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0,005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59.</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Endrinas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72-20-8</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0,1</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60.</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Heksachlorbenzenas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118-74-1</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0,5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61.</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Heksachlorcikloheksanas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319-84-6</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0,4</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62.</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Heptachloras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76-44-8</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0,05</w:t>
                        </w:r>
                      </w:p>
                    </w:tc>
                  </w:tr>
                  <w:tr>
                    <w:trPr>
                      <w:cantSplit/>
                    </w:trPr>
                    <w:tc>
                      <w:tcPr>
                        <w:tcW w:w="8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t>63.</w:t>
                        </w:r>
                      </w:p>
                    </w:tc>
                    <w:tc>
                      <w:tcPr>
                        <w:tcW w:w="3686" w:type="dxa"/>
                        <w:tcBorders>
                          <w:top w:val="single" w:sz="4" w:space="0" w:color="auto"/>
                          <w:left w:val="single" w:sz="4" w:space="0" w:color="auto"/>
                          <w:bottom w:val="single" w:sz="4" w:space="0" w:color="auto"/>
                          <w:right w:val="single" w:sz="4" w:space="0" w:color="auto"/>
                        </w:tcBorders>
                        <w:hideMark/>
                      </w:tcPr>
                      <w:p>
                        <w:pPr>
                          <w:jc w:val="both"/>
                          <w:rPr>
                            <w:szCs w:val="24"/>
                          </w:rPr>
                        </w:pPr>
                        <w:r>
                          <w:t>Pesticidai (bendras)</w:t>
                        </w:r>
                      </w:p>
                    </w:tc>
                    <w:tc>
                      <w:tcPr>
                        <w:tcW w:w="2126"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t>-</w:t>
                        </w:r>
                      </w:p>
                    </w:tc>
                    <w:tc>
                      <w:tcPr>
                        <w:tcW w:w="2551" w:type="dxa"/>
                        <w:tcBorders>
                          <w:top w:val="single" w:sz="4" w:space="0" w:color="auto"/>
                          <w:left w:val="single" w:sz="4" w:space="0" w:color="auto"/>
                          <w:bottom w:val="single" w:sz="4" w:space="0" w:color="auto"/>
                          <w:right w:val="single" w:sz="4" w:space="0" w:color="auto"/>
                        </w:tcBorders>
                        <w:hideMark/>
                      </w:tcPr>
                      <w:p>
                        <w:pPr>
                          <w:jc w:val="center"/>
                          <w:rPr>
                            <w:szCs w:val="24"/>
                          </w:rPr>
                        </w:pPr>
                        <w:r>
                          <w:t>0,1</w:t>
                        </w:r>
                      </w:p>
                    </w:tc>
                  </w:tr>
                </w:tbl>
                <w:p>
                  <w:pPr>
                    <w:rPr>
                      <w:szCs w:val="24"/>
                    </w:rPr>
                  </w:pPr>
                  <w:r>
                    <w:t>* Cheminių medžiagų santrumpų tarnybos (</w:t>
                  </w:r>
                  <w:r>
                    <w:rPr>
                      <w:i/>
                    </w:rPr>
                    <w:t>Chemical Abstracts Service</w:t>
                  </w:r>
                  <w:r>
                    <w:t>) medžiagai suteiktas registracijos numeris.</w:t>
                  </w:r>
                </w:p>
                <w:p>
                  <w:pPr>
                    <w:ind w:firstLine="312"/>
                    <w:jc w:val="both"/>
                    <w:rPr>
                      <w:szCs w:val="24"/>
                    </w:rPr>
                  </w:pPr>
                </w:p>
              </w:sdtContent>
            </w:sdt>
          </w:sdtContent>
        </w:sdt>
        <w:sdt>
          <w:sdtPr>
            <w:alias w:val="skyrius"/>
            <w:tag w:val="part_c2ddc2ae72c94caea343667af08db7aa"/>
            <w:lock w:val="sdtLocked"/>
            <w:richText/>
          </w:sdtPr>
          <w:sdtContent>
            <w:p>
              <w:pPr>
                <w:jc w:val="center"/>
                <w:rPr>
                  <w:b/>
                  <w:bCs/>
                  <w:caps/>
                  <w:szCs w:val="24"/>
                </w:rPr>
              </w:pPr>
              <w:sdt>
                <w:sdtPr>
                  <w:alias w:val="Numeris"/>
                  <w:tag w:val="nr_c2ddc2ae72c94caea343667af08db7aa"/>
                  <w:lock w:val="sdtLocked"/>
                  <w:richText/>
                </w:sdtPr>
                <w:sdtContent>
                  <w:r>
                    <w:rPr>
                      <w:b/>
                      <w:bCs/>
                      <w:caps/>
                      <w:szCs w:val="24"/>
                    </w:rPr>
                    <w:t>V</w:t>
                  </w:r>
                </w:sdtContent>
              </w:sdt>
              <w:r>
                <w:rPr>
                  <w:b/>
                  <w:bCs/>
                  <w:caps/>
                  <w:szCs w:val="24"/>
                </w:rPr>
                <w:t xml:space="preserve"> skyrius</w:t>
              </w:r>
            </w:p>
            <w:p>
              <w:pPr>
                <w:jc w:val="center"/>
                <w:rPr>
                  <w:b/>
                  <w:bCs/>
                  <w:caps/>
                  <w:szCs w:val="24"/>
                </w:rPr>
              </w:pPr>
              <w:sdt>
                <w:sdtPr>
                  <w:alias w:val="Pavadinimas"/>
                  <w:tag w:val="title_c2ddc2ae72c94caea343667af08db7aa"/>
                  <w:lock w:val="sdtLocked"/>
                  <w:richText/>
                </w:sdtPr>
                <w:sdtContent>
                  <w:r>
                    <w:rPr>
                      <w:b/>
                      <w:bCs/>
                      <w:caps/>
                      <w:szCs w:val="24"/>
                    </w:rPr>
                    <w:t>DIRVOŽEMIO UŽTERŠTUMO nustatymo METODIKA</w:t>
                  </w:r>
                </w:sdtContent>
              </w:sdt>
            </w:p>
            <w:p>
              <w:pPr>
                <w:ind w:firstLine="312"/>
                <w:jc w:val="both"/>
                <w:rPr>
                  <w:szCs w:val="24"/>
                </w:rPr>
              </w:pPr>
            </w:p>
            <w:sdt>
              <w:sdtPr>
                <w:alias w:val="7 p."/>
                <w:tag w:val="part_d0f02f187fa845c18a90d5a38c36ba39"/>
                <w:lock w:val="sdtLocked"/>
                <w:richText/>
              </w:sdtPr>
              <w:sdtContent>
                <w:p>
                  <w:pPr>
                    <w:ind w:firstLine="709"/>
                    <w:jc w:val="both"/>
                    <w:rPr>
                      <w:szCs w:val="24"/>
                    </w:rPr>
                  </w:pPr>
                  <w:sdt>
                    <w:sdtPr>
                      <w:alias w:val="Numeris"/>
                      <w:tag w:val="nr_d0f02f187fa845c18a90d5a38c36ba39"/>
                      <w:lock w:val="sdtLocked"/>
                      <w:richText/>
                    </w:sdtPr>
                    <w:sdtContent>
                      <w:r>
                        <w:rPr>
                          <w:szCs w:val="24"/>
                        </w:rPr>
                        <w:t>7</w:t>
                      </w:r>
                    </w:sdtContent>
                  </w:sdt>
                  <w:r>
                    <w:rPr>
                      <w:szCs w:val="24"/>
                    </w:rPr>
                    <w:t>. Pagrindinis dirvožemio užterštumo pavojingosiomis cheminėmis medžiagomis nustatymo rodiklis yra cheminės medžiagos ribinė vertė (toliau – RV) dirvožemyje (lentelė).</w:t>
                  </w:r>
                </w:p>
              </w:sdtContent>
            </w:sdt>
            <w:sdt>
              <w:sdtPr>
                <w:alias w:val="8 p."/>
                <w:tag w:val="part_f2b989d8952f4b5cbb28ecb3c821a554"/>
                <w:lock w:val="sdtLocked"/>
                <w:richText/>
              </w:sdtPr>
              <w:sdtContent>
                <w:p>
                  <w:pPr>
                    <w:ind w:firstLine="709"/>
                    <w:jc w:val="both"/>
                    <w:rPr>
                      <w:szCs w:val="24"/>
                    </w:rPr>
                  </w:pPr>
                  <w:sdt>
                    <w:sdtPr>
                      <w:alias w:val="Numeris"/>
                      <w:tag w:val="nr_f2b989d8952f4b5cbb28ecb3c821a554"/>
                      <w:lock w:val="sdtLocked"/>
                      <w:richText/>
                    </w:sdtPr>
                    <w:sdtContent>
                      <w:r>
                        <w:rPr>
                          <w:szCs w:val="24"/>
                        </w:rPr>
                        <w:t>8</w:t>
                      </w:r>
                    </w:sdtContent>
                  </w:sdt>
                  <w:r>
                    <w:rPr>
                      <w:szCs w:val="24"/>
                    </w:rPr>
                    <w:t>. Dirvožemio užterštumas organine chemine medžiaga (išskyrus naftos produktus ir policiklinius aromatinius angliavandenilius) nustatomas atsižvelgiant į cheminės medžiagos patikslintą ribinę vertę (toliau – RVp), kuri lygi:</w:t>
                  </w:r>
                </w:p>
                <w:p>
                  <w:pPr>
                    <w:ind w:firstLine="709"/>
                    <w:jc w:val="both"/>
                    <w:rPr>
                      <w:szCs w:val="24"/>
                    </w:rPr>
                  </w:pPr>
                </w:p>
                <w:p>
                  <w:pPr>
                    <w:ind w:firstLine="709"/>
                    <w:jc w:val="both"/>
                    <w:rPr>
                      <w:szCs w:val="24"/>
                    </w:rPr>
                  </w:pPr>
                  <w:r>
                    <w:rPr>
                      <w:position w:val="-24"/>
                      <w:szCs w:val="24"/>
                    </w:rPr>
                    <w:object w:dxaOrig="2175" w:dyaOrig="615" w14:anchorId="073A497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08.7pt;height:30.55pt" o:ole="">
                        <v:imagedata r:id="rId39" o:title=""/>
                      </v:shape>
                      <o:OLEObject Type="Embed" ProgID="Equation.3" ShapeID="_x0000_i1027" DrawAspect="Content" ObjectID="_1514020585" r:id="rId40"/>
                    </w:object>
                  </w:r>
                </w:p>
                <w:p>
                  <w:pPr>
                    <w:ind w:firstLine="709"/>
                    <w:jc w:val="both"/>
                    <w:rPr>
                      <w:szCs w:val="24"/>
                    </w:rPr>
                  </w:pPr>
                  <w:r>
                    <w:rPr>
                      <w:szCs w:val="24"/>
                    </w:rPr>
                    <w:t xml:space="preserve">čia </w:t>
                  </w:r>
                  <w:r>
                    <w:rPr>
                      <w:i/>
                      <w:szCs w:val="24"/>
                    </w:rPr>
                    <w:t>OM (%)</w:t>
                  </w:r>
                  <w:r>
                    <w:rPr>
                      <w:szCs w:val="24"/>
                    </w:rPr>
                    <w:t xml:space="preserve"> – dirvožemio organinės medžiagos kiekis (%). Tais atvejais, kai nustatytas dirvožemio organinės medžiagos kiekis yra daugiau kaip 10 % ar mažiau kaip 3 %, į formulę įrašomos vertės atitinkamai 10 % arba 3 %.</w:t>
                  </w:r>
                </w:p>
                <w:p>
                  <w:pPr>
                    <w:ind w:firstLine="709"/>
                    <w:jc w:val="both"/>
                    <w:rPr>
                      <w:szCs w:val="24"/>
                    </w:rPr>
                  </w:pPr>
                </w:p>
              </w:sdtContent>
            </w:sdt>
            <w:sdt>
              <w:sdtPr>
                <w:alias w:val="9 p."/>
                <w:tag w:val="part_543248c0032946e28f3f275cb2658834"/>
                <w:lock w:val="sdtLocked"/>
                <w:richText/>
              </w:sdtPr>
              <w:sdtContent>
                <w:p>
                  <w:pPr>
                    <w:ind w:firstLine="709"/>
                    <w:jc w:val="both"/>
                    <w:rPr>
                      <w:szCs w:val="24"/>
                    </w:rPr>
                  </w:pPr>
                  <w:sdt>
                    <w:sdtPr>
                      <w:alias w:val="Numeris"/>
                      <w:tag w:val="nr_543248c0032946e28f3f275cb2658834"/>
                      <w:lock w:val="sdtLocked"/>
                      <w:richText/>
                    </w:sdtPr>
                    <w:sdtContent>
                      <w:r>
                        <w:rPr>
                          <w:szCs w:val="24"/>
                        </w:rPr>
                        <w:t>9</w:t>
                      </w:r>
                    </w:sdtContent>
                  </w:sdt>
                  <w:r>
                    <w:rPr>
                      <w:szCs w:val="24"/>
                    </w:rPr>
                    <w:t>. Dirvožemio užterštumas naftos produktais nustatomas pagal cheminių medžiagų RVp, kuri lygi:</w:t>
                  </w:r>
                </w:p>
                <w:p>
                  <w:pPr>
                    <w:ind w:firstLine="709"/>
                    <w:jc w:val="both"/>
                    <w:rPr>
                      <w:szCs w:val="24"/>
                    </w:rPr>
                  </w:pPr>
                  <w:r>
                    <w:rPr>
                      <w:position w:val="-28"/>
                      <w:szCs w:val="24"/>
                    </w:rPr>
                    <w:object w:dxaOrig="2175" w:dyaOrig="660" w14:anchorId="6221C6ED">
                      <v:shape id="_x0000_i1028" type="#_x0000_t75" style="width:108.7pt;height:33.3pt" o:ole="">
                        <v:imagedata r:id="rId41" o:title=""/>
                      </v:shape>
                      <o:OLEObject Type="Embed" ProgID="Equation.3" ShapeID="_x0000_i1028" DrawAspect="Content" ObjectID="_1514020586" r:id="rId42"/>
                    </w:object>
                  </w:r>
                </w:p>
                <w:p>
                  <w:pPr>
                    <w:ind w:firstLine="709"/>
                    <w:jc w:val="both"/>
                    <w:rPr>
                      <w:szCs w:val="24"/>
                    </w:rPr>
                  </w:pPr>
                  <w:r>
                    <w:rPr>
                      <w:szCs w:val="24"/>
                    </w:rPr>
                    <w:t xml:space="preserve">čia </w:t>
                  </w:r>
                  <w:r>
                    <w:rPr>
                      <w:i/>
                      <w:szCs w:val="24"/>
                    </w:rPr>
                    <w:t>OM (%)</w:t>
                  </w:r>
                  <w:r>
                    <w:rPr>
                      <w:szCs w:val="24"/>
                    </w:rPr>
                    <w:t xml:space="preserve"> – dirvožemio organinės medžiagos kiekis (%).</w:t>
                  </w:r>
                  <w:r>
                    <w:rPr>
                      <w:rFonts w:ascii="TimesLT" w:hAnsi="TimesLT"/>
                      <w:szCs w:val="24"/>
                      <w:lang w:val="en-US"/>
                    </w:rPr>
                    <w:t xml:space="preserve"> Tais atvejais, kai nustatytas grunto organinės medžiagos kie</w:t>
                  </w:r>
                  <w:r>
                    <w:rPr>
                      <w:rFonts w:ascii="TimesLT" w:hAnsi="TimesLT"/>
                      <w:szCs w:val="24"/>
                    </w:rPr>
                    <w:t>kis yra daugiau kaip 2 % ar mažiau kaip 1,2 %, į formulę įrašomos vertės atitinkamai 2 % arba 1,2 %.</w:t>
                  </w:r>
                </w:p>
                <w:p>
                  <w:pPr>
                    <w:ind w:firstLine="709"/>
                    <w:jc w:val="both"/>
                    <w:rPr>
                      <w:szCs w:val="24"/>
                    </w:rPr>
                  </w:pPr>
                </w:p>
              </w:sdtContent>
            </w:sdt>
            <w:sdt>
              <w:sdtPr>
                <w:alias w:val="10 p."/>
                <w:tag w:val="part_9ec1c49d58b84ab29f782ce69337fe1e"/>
                <w:lock w:val="sdtLocked"/>
                <w:richText/>
              </w:sdtPr>
              <w:sdtContent>
                <w:p>
                  <w:pPr>
                    <w:ind w:firstLine="709"/>
                    <w:jc w:val="both"/>
                    <w:rPr>
                      <w:szCs w:val="24"/>
                    </w:rPr>
                  </w:pPr>
                  <w:sdt>
                    <w:sdtPr>
                      <w:alias w:val="Numeris"/>
                      <w:tag w:val="nr_9ec1c49d58b84ab29f782ce69337fe1e"/>
                      <w:lock w:val="sdtLocked"/>
                      <w:richText/>
                    </w:sdtPr>
                    <w:sdtContent>
                      <w:r>
                        <w:rPr>
                          <w:szCs w:val="24"/>
                        </w:rPr>
                        <w:t>10</w:t>
                      </w:r>
                    </w:sdtContent>
                  </w:sdt>
                  <w:r>
                    <w:rPr>
                      <w:szCs w:val="24"/>
                    </w:rPr>
                    <w:t xml:space="preserve">. Dirvožemio užterštumas policikliniais aromatiniais angliavandeniliais nustatomas pagal cheminių medžiagų RVp, kuri lygi: </w:t>
                  </w:r>
                </w:p>
                <w:p>
                  <w:pPr>
                    <w:ind w:firstLine="709"/>
                    <w:jc w:val="both"/>
                    <w:rPr>
                      <w:szCs w:val="24"/>
                    </w:rPr>
                  </w:pPr>
                </w:p>
                <w:p>
                  <w:pPr>
                    <w:tabs>
                      <w:tab w:val="left" w:pos="709"/>
                    </w:tabs>
                    <w:ind w:firstLine="709"/>
                    <w:jc w:val="both"/>
                    <w:rPr>
                      <w:szCs w:val="24"/>
                    </w:rPr>
                  </w:pPr>
                  <w:r>
                    <w:rPr>
                      <w:rFonts w:ascii="TimesLT" w:hAnsi="TimesLT"/>
                      <w:sz w:val="20"/>
                      <w:lang w:val="en-US"/>
                    </w:rPr>
                    <w:pict w14:anchorId="44D96ABB">
                      <v:shape id="_x0000_s1028" type="#_x0000_t75" style="position:absolute;left:0;text-align:left;margin-left:36.75pt;margin-top:.5pt;width:159.75pt;height:15.75pt;z-index:251659776">
                        <v:imagedata r:id="rId43" o:title=""/>
                        <w10:wrap type="square" side="right"/>
                      </v:shape>
                      <o:OLEObject Type="Embed" ProgID="Equation.3" ShapeID="_x0000_s1028" DrawAspect="Content" ObjectID="_1514020590" r:id="rId44"/>
                    </w:pict>
                  </w:r>
                </w:p>
                <w:p>
                  <w:pPr>
                    <w:tabs>
                      <w:tab w:val="left" w:pos="1620"/>
                    </w:tabs>
                    <w:ind w:firstLine="709"/>
                    <w:jc w:val="both"/>
                    <w:rPr>
                      <w:szCs w:val="24"/>
                    </w:rPr>
                  </w:pPr>
                </w:p>
                <w:p>
                  <w:pPr>
                    <w:tabs>
                      <w:tab w:val="left" w:pos="1620"/>
                    </w:tabs>
                    <w:ind w:firstLine="709"/>
                    <w:jc w:val="both"/>
                    <w:rPr>
                      <w:szCs w:val="24"/>
                    </w:rPr>
                  </w:pPr>
                  <w:r>
                    <w:rPr>
                      <w:szCs w:val="24"/>
                    </w:rPr>
                    <w:t xml:space="preserve">čia </w:t>
                  </w:r>
                  <w:r>
                    <w:rPr>
                      <w:i/>
                      <w:szCs w:val="24"/>
                    </w:rPr>
                    <w:t>OM</w:t>
                  </w:r>
                  <w:r>
                    <w:rPr>
                      <w:szCs w:val="24"/>
                    </w:rPr>
                    <w:t xml:space="preserve"> (%) – dirvožemio organinės medžiagos kiekis (%). Tais atvejais, kai nustatytas dirvožemio organinės medžiagos kiekis yra daugiau kaip 10 % ar mažiau kaip 3 %, į formulę įrašomos vertės atitinkamai 10 % arba 3 %.</w:t>
                  </w:r>
                </w:p>
                <w:p>
                  <w:pPr>
                    <w:tabs>
                      <w:tab w:val="left" w:pos="1620"/>
                    </w:tabs>
                    <w:ind w:firstLine="709"/>
                    <w:jc w:val="both"/>
                    <w:rPr>
                      <w:szCs w:val="24"/>
                    </w:rPr>
                  </w:pPr>
                  <w:r>
                    <w:rPr>
                      <w:i/>
                      <w:szCs w:val="24"/>
                    </w:rPr>
                    <w:t>A, B</w:t>
                  </w:r>
                  <w:r>
                    <w:rPr>
                      <w:szCs w:val="24"/>
                    </w:rPr>
                    <w:t xml:space="preserve"> – koeficientai, kurių vertės priklauso nuo policiklinių aromatinių angliavandenilių </w:t>
                    <w:br/>
                    <w:t>(1 priedas).</w:t>
                  </w:r>
                </w:p>
                <w:p>
                  <w:pPr>
                    <w:tabs>
                      <w:tab w:val="left" w:pos="1620"/>
                    </w:tabs>
                    <w:ind w:firstLine="709"/>
                    <w:jc w:val="both"/>
                    <w:rPr>
                      <w:szCs w:val="24"/>
                    </w:rPr>
                  </w:pPr>
                </w:p>
              </w:sdtContent>
            </w:sdt>
            <w:sdt>
              <w:sdtPr>
                <w:alias w:val="11 p."/>
                <w:tag w:val="part_44ed7e7a7b7f4ac08d7bb606c6ea07de"/>
                <w:lock w:val="sdtLocked"/>
                <w:richText/>
              </w:sdtPr>
              <w:sdtContent>
                <w:p>
                  <w:pPr>
                    <w:tabs>
                      <w:tab w:val="left" w:pos="1620"/>
                    </w:tabs>
                    <w:ind w:firstLine="709"/>
                    <w:jc w:val="both"/>
                    <w:rPr>
                      <w:szCs w:val="24"/>
                    </w:rPr>
                  </w:pPr>
                  <w:sdt>
                    <w:sdtPr>
                      <w:alias w:val="Numeris"/>
                      <w:tag w:val="nr_44ed7e7a7b7f4ac08d7bb606c6ea07de"/>
                      <w:lock w:val="sdtLocked"/>
                      <w:richText/>
                    </w:sdtPr>
                    <w:sdtContent>
                      <w:r>
                        <w:rPr>
                          <w:szCs w:val="24"/>
                        </w:rPr>
                        <w:t>1</w:t>
                      </w:r>
                      <w:r>
                        <w:rPr>
                          <w:szCs w:val="24"/>
                          <w:lang w:val="en-US"/>
                        </w:rPr>
                        <w:t>1</w:t>
                      </w:r>
                    </w:sdtContent>
                  </w:sdt>
                  <w:r>
                    <w:rPr>
                      <w:szCs w:val="24"/>
                    </w:rPr>
                    <w:t>. Dirvožemio užterštumas sunkiaisiais metalais nustatomas pagal RVp, kuri lygi:</w:t>
                  </w:r>
                </w:p>
                <w:p>
                  <w:pPr>
                    <w:tabs>
                      <w:tab w:val="left" w:pos="1620"/>
                    </w:tabs>
                    <w:ind w:firstLine="709"/>
                    <w:jc w:val="both"/>
                    <w:rPr>
                      <w:szCs w:val="24"/>
                    </w:rPr>
                  </w:pPr>
                  <w:r>
                    <w:rPr>
                      <w:position w:val="-10"/>
                      <w:szCs w:val="24"/>
                    </w:rPr>
                    <w:object w:dxaOrig="180" w:dyaOrig="345" w14:anchorId="63E072B4">
                      <v:shape id="_x0000_i1029" type="#_x0000_t75" style="width:8.85pt;height:17pt" o:ole="">
                        <v:imagedata r:id="rId45" o:title=""/>
                      </v:shape>
                      <o:OLEObject Type="Embed" ProgID="Equation.3" ShapeID="_x0000_i1029" DrawAspect="Content" ObjectID="_1514020587" r:id="rId46"/>
                    </w:object>
                    <w:object w:dxaOrig="180" w:dyaOrig="345" w14:anchorId="349D5D60">
                      <v:shape id="_x0000_i1030" type="#_x0000_t75" style="width:8.85pt;height:17pt" o:ole="">
                        <v:imagedata r:id="rId47" o:title=""/>
                      </v:shape>
                      <o:OLEObject Type="Embed" ProgID="Equation.3" ShapeID="_x0000_i1030" DrawAspect="Content" ObjectID="_1514020588" r:id="rId48"/>
                    </w:object>
                  </w:r>
                </w:p>
                <w:p>
                  <w:pPr>
                    <w:tabs>
                      <w:tab w:val="left" w:pos="1620"/>
                    </w:tabs>
                    <w:ind w:firstLine="709"/>
                    <w:jc w:val="both"/>
                    <w:rPr>
                      <w:szCs w:val="24"/>
                    </w:rPr>
                  </w:pPr>
                  <w:r>
                    <w:rPr>
                      <w:position w:val="-28"/>
                      <w:szCs w:val="24"/>
                    </w:rPr>
                    <w:object w:dxaOrig="4455" w:dyaOrig="660" w14:anchorId="1413FAA1">
                      <v:shape id="_x0000_i1031" type="#_x0000_t75" style="width:222.8pt;height:33.3pt" o:ole="">
                        <v:imagedata r:id="rId49" o:title=""/>
                      </v:shape>
                      <o:OLEObject Type="Embed" ProgID="Equation.3" ShapeID="_x0000_i1031" DrawAspect="Content" ObjectID="_1514020589" r:id="rId50"/>
                    </w:object>
                  </w:r>
                </w:p>
                <w:p>
                  <w:pPr>
                    <w:tabs>
                      <w:tab w:val="left" w:pos="1620"/>
                    </w:tabs>
                    <w:ind w:firstLine="709"/>
                    <w:jc w:val="both"/>
                    <w:rPr>
                      <w:szCs w:val="24"/>
                    </w:rPr>
                  </w:pPr>
                </w:p>
                <w:p>
                  <w:pPr>
                    <w:tabs>
                      <w:tab w:val="left" w:pos="1620"/>
                    </w:tabs>
                    <w:ind w:firstLine="709"/>
                    <w:jc w:val="both"/>
                    <w:rPr>
                      <w:szCs w:val="24"/>
                    </w:rPr>
                  </w:pPr>
                  <w:r>
                    <w:rPr>
                      <w:szCs w:val="24"/>
                    </w:rPr>
                    <w:t xml:space="preserve">čia </w:t>
                  </w:r>
                  <w:r>
                    <w:rPr>
                      <w:i/>
                      <w:szCs w:val="24"/>
                    </w:rPr>
                    <w:t>M</w:t>
                  </w:r>
                  <w:r>
                    <w:rPr>
                      <w:szCs w:val="24"/>
                    </w:rPr>
                    <w:t xml:space="preserve"> (%) – tiriamo dirvožemio molio dalelių (mažesnių kaip 0,002 mm) kiekis (%). Tais atvejais, kai nustatytas dirvožemio molio dalelių kiekis yra daugiau kaip 50 % ar mažiau kaip 10 %, į formulę įrašomos vertės atitinkamai 50 % arba 10 %;</w:t>
                  </w:r>
                </w:p>
                <w:p>
                  <w:pPr>
                    <w:tabs>
                      <w:tab w:val="left" w:pos="1620"/>
                    </w:tabs>
                    <w:ind w:firstLine="709"/>
                    <w:jc w:val="both"/>
                    <w:rPr>
                      <w:szCs w:val="24"/>
                    </w:rPr>
                  </w:pPr>
                  <w:r>
                    <w:rPr>
                      <w:i/>
                      <w:szCs w:val="24"/>
                    </w:rPr>
                    <w:t>OM</w:t>
                  </w:r>
                  <w:r>
                    <w:rPr>
                      <w:szCs w:val="24"/>
                    </w:rPr>
                    <w:t xml:space="preserve"> (%) – dirvožemio organinės medžiagos kiekis (%). Tais atvejais, kai nustatytas dirvožemio organinės medžiagos kiekis yra daugiau kaip 10 % ar mažiau kaip 3 %, į formulę įrašomos vertės atitinkamai 10 % arba 3 %.</w:t>
                  </w:r>
                </w:p>
                <w:p>
                  <w:pPr>
                    <w:tabs>
                      <w:tab w:val="left" w:pos="1620"/>
                    </w:tabs>
                    <w:ind w:firstLine="709"/>
                    <w:jc w:val="both"/>
                    <w:rPr>
                      <w:szCs w:val="24"/>
                    </w:rPr>
                  </w:pPr>
                  <w:r>
                    <w:rPr>
                      <w:i/>
                      <w:szCs w:val="24"/>
                    </w:rPr>
                    <w:t>A, B, C</w:t>
                  </w:r>
                  <w:r>
                    <w:rPr>
                      <w:szCs w:val="24"/>
                    </w:rPr>
                    <w:t xml:space="preserve"> – koeficientai, kurių vertės priklauso nuo sunkiųjų metalų (2 priedas).</w:t>
                  </w:r>
                </w:p>
                <w:p>
                  <w:pPr>
                    <w:ind w:firstLine="709"/>
                    <w:jc w:val="both"/>
                    <w:rPr>
                      <w:szCs w:val="24"/>
                    </w:rPr>
                  </w:pPr>
                </w:p>
              </w:sdtContent>
            </w:sdt>
            <w:sdt>
              <w:sdtPr>
                <w:alias w:val="12 p."/>
                <w:tag w:val="part_e2e7fca3b4954f798edca3896face423"/>
                <w:lock w:val="sdtLocked"/>
                <w:richText/>
              </w:sdtPr>
              <w:sdtContent>
                <w:p>
                  <w:pPr>
                    <w:ind w:firstLine="709"/>
                    <w:jc w:val="both"/>
                    <w:rPr>
                      <w:szCs w:val="24"/>
                    </w:rPr>
                  </w:pPr>
                  <w:sdt>
                    <w:sdtPr>
                      <w:alias w:val="Numeris"/>
                      <w:tag w:val="nr_e2e7fca3b4954f798edca3896face423"/>
                      <w:lock w:val="sdtLocked"/>
                      <w:richText/>
                    </w:sdtPr>
                    <w:sdtContent>
                      <w:r>
                        <w:rPr>
                          <w:szCs w:val="24"/>
                        </w:rPr>
                        <w:t>12</w:t>
                      </w:r>
                    </w:sdtContent>
                  </w:sdt>
                  <w:r>
                    <w:rPr>
                      <w:szCs w:val="24"/>
                    </w:rPr>
                    <w:t>. Dirvožemio ėminių ėmimo programos sudaromos ir ėminiai imami pagal standartus LST ISO 10381-1 [4.3], LST ISO 10381-2 [4.4], LST ISO 10381-3 [4.5], LST ISO 10381-4 [4.6], LST ISO 10381-5 [4.7].</w:t>
                  </w:r>
                </w:p>
              </w:sdtContent>
            </w:sdt>
            <w:sdt>
              <w:sdtPr>
                <w:alias w:val="13 p."/>
                <w:tag w:val="part_d14a9b4247b34f729808f60cff4e5133"/>
                <w:lock w:val="sdtLocked"/>
                <w:richText/>
              </w:sdtPr>
              <w:sdtContent>
                <w:p>
                  <w:pPr>
                    <w:ind w:firstLine="709"/>
                    <w:jc w:val="both"/>
                    <w:rPr>
                      <w:szCs w:val="24"/>
                    </w:rPr>
                  </w:pPr>
                  <w:sdt>
                    <w:sdtPr>
                      <w:alias w:val="Numeris"/>
                      <w:tag w:val="nr_d14a9b4247b34f729808f60cff4e5133"/>
                      <w:lock w:val="sdtLocked"/>
                      <w:richText/>
                    </w:sdtPr>
                    <w:sdtContent>
                      <w:r>
                        <w:rPr>
                          <w:szCs w:val="24"/>
                        </w:rPr>
                        <w:t>13</w:t>
                      </w:r>
                    </w:sdtContent>
                  </w:sdt>
                  <w:r>
                    <w:rPr>
                      <w:szCs w:val="24"/>
                    </w:rPr>
                    <w:t xml:space="preserve">. Bendri cheminių elementų kiekiai dirvožemyje nustatomi taikant šiam tikslui skirtas  tarptautiniuose standartuose (ISO) nurodytas tyrimų (analizės) metodikas (atominės absorbcijos spektrometrijos, induktyviai sužadintos plazmos masės fotometrijos, rentgeno fluorescencijos, atominės emisijos spektrometrijos) tyrimo (analizės) metodikas.</w:t>
                  </w:r>
                </w:p>
              </w:sdtContent>
            </w:sdt>
            <w:sdt>
              <w:sdtPr>
                <w:alias w:val="14 p."/>
                <w:tag w:val="part_fe13f19a3f5f40d2a07d846335b26daf"/>
                <w:lock w:val="sdtLocked"/>
                <w:richText/>
              </w:sdtPr>
              <w:sdtContent>
                <w:p>
                  <w:pPr>
                    <w:ind w:firstLine="709"/>
                    <w:jc w:val="both"/>
                    <w:rPr>
                      <w:szCs w:val="24"/>
                    </w:rPr>
                  </w:pPr>
                  <w:sdt>
                    <w:sdtPr>
                      <w:alias w:val="Numeris"/>
                      <w:tag w:val="nr_fe13f19a3f5f40d2a07d846335b26daf"/>
                      <w:lock w:val="sdtLocked"/>
                      <w:richText/>
                    </w:sdtPr>
                    <w:sdtContent>
                      <w:r>
                        <w:rPr>
                          <w:szCs w:val="24"/>
                        </w:rPr>
                        <w:t>14</w:t>
                      </w:r>
                    </w:sdtContent>
                  </w:sdt>
                  <w:r>
                    <w:rPr>
                      <w:szCs w:val="24"/>
                    </w:rPr>
                    <w:t>. Bendras pesticidų kiekis dirvožemyje nustatomas taikant tarptautiniuose standartuose (ISO) nurodytas dujų arba skysčių chromatografijos tyrimų (analizės) metodikas. Jei nėra tarptautiniais standartais ar teisės aktais patvirtintų konkrečių pesticidų tyrimo (analizės) metodikų, galima taikyti Europos (EN), Šiaurės šalių (NMKL) arba Oficialiųjų chemikų analitikų asociacijos (AOAC) tyrimo (analizės) metodikas.</w:t>
                  </w:r>
                </w:p>
              </w:sdtContent>
            </w:sdt>
            <w:sdt>
              <w:sdtPr>
                <w:alias w:val="15 p."/>
                <w:tag w:val="part_2e579a9d95d94e99a73cae184660f0d3"/>
                <w:lock w:val="sdtLocked"/>
                <w:richText/>
              </w:sdtPr>
              <w:sdtContent>
                <w:p>
                  <w:pPr>
                    <w:ind w:firstLine="709"/>
                    <w:jc w:val="both"/>
                    <w:rPr>
                      <w:szCs w:val="24"/>
                    </w:rPr>
                  </w:pPr>
                  <w:sdt>
                    <w:sdtPr>
                      <w:alias w:val="Numeris"/>
                      <w:tag w:val="nr_2e579a9d95d94e99a73cae184660f0d3"/>
                      <w:lock w:val="sdtLocked"/>
                      <w:richText/>
                    </w:sdtPr>
                    <w:sdtContent>
                      <w:r>
                        <w:rPr>
                          <w:szCs w:val="24"/>
                        </w:rPr>
                        <w:t>15</w:t>
                      </w:r>
                    </w:sdtContent>
                  </w:sdt>
                  <w:r>
                    <w:rPr>
                      <w:szCs w:val="24"/>
                    </w:rPr>
                    <w:t>. Dirvožemio organinės medžiagos kiekis nustatomas pagal standartą LST EN 15935 [4.8].</w:t>
                  </w:r>
                </w:p>
              </w:sdtContent>
            </w:sdt>
            <w:sdt>
              <w:sdtPr>
                <w:alias w:val="16 p."/>
                <w:tag w:val="part_97b275aaa0f34ca2929a80c06ac459e8"/>
                <w:lock w:val="sdtLocked"/>
                <w:richText/>
              </w:sdtPr>
              <w:sdtContent>
                <w:p>
                  <w:pPr>
                    <w:ind w:firstLine="709"/>
                    <w:jc w:val="both"/>
                    <w:rPr>
                      <w:szCs w:val="24"/>
                    </w:rPr>
                  </w:pPr>
                  <w:sdt>
                    <w:sdtPr>
                      <w:alias w:val="Numeris"/>
                      <w:tag w:val="nr_97b275aaa0f34ca2929a80c06ac459e8"/>
                      <w:lock w:val="sdtLocked"/>
                      <w:richText/>
                    </w:sdtPr>
                    <w:sdtContent>
                      <w:r>
                        <w:rPr>
                          <w:szCs w:val="24"/>
                        </w:rPr>
                        <w:t>16</w:t>
                      </w:r>
                    </w:sdtContent>
                  </w:sdt>
                  <w:r>
                    <w:rPr>
                      <w:szCs w:val="24"/>
                    </w:rPr>
                    <w:t>. Dirvožemio sausųjų medžiagų kiekis nustatomas pagal standartą LST EN 15934 [4.9].</w:t>
                  </w:r>
                </w:p>
              </w:sdtContent>
            </w:sdt>
            <w:sdt>
              <w:sdtPr>
                <w:alias w:val="17 p."/>
                <w:tag w:val="part_69c8e9b1fd454dd1b3ea3056c5891313"/>
                <w:lock w:val="sdtLocked"/>
                <w:richText/>
              </w:sdtPr>
              <w:sdtContent>
                <w:p>
                  <w:pPr>
                    <w:ind w:firstLine="709"/>
                    <w:jc w:val="both"/>
                    <w:rPr>
                      <w:szCs w:val="24"/>
                    </w:rPr>
                  </w:pPr>
                  <w:sdt>
                    <w:sdtPr>
                      <w:alias w:val="Numeris"/>
                      <w:tag w:val="nr_69c8e9b1fd454dd1b3ea3056c5891313"/>
                      <w:lock w:val="sdtLocked"/>
                      <w:richText/>
                    </w:sdtPr>
                    <w:sdtContent>
                      <w:r>
                        <w:rPr>
                          <w:szCs w:val="24"/>
                        </w:rPr>
                        <w:t>17</w:t>
                      </w:r>
                    </w:sdtContent>
                  </w:sdt>
                  <w:r>
                    <w:rPr>
                      <w:szCs w:val="24"/>
                    </w:rPr>
                    <w:t xml:space="preserve">. Nustatant kitas chemines medžiagas gali būti taikomos įvairios tarptautinės standartinės (ISO) arba kitos įteisintos metodikos. </w:t>
                  </w:r>
                </w:p>
              </w:sdtContent>
            </w:sdt>
          </w:sdtContent>
        </w:sdt>
        <w:sdt>
          <w:sdtPr>
            <w:alias w:val="pabaiga"/>
            <w:tag w:val="part_028ae00bf6c949c3b4cb742c41d62133"/>
            <w:lock w:val="sdtLocked"/>
            <w:richText/>
          </w:sdtPr>
          <w:sdtContent>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f37f0afaa11e5b12fbb7dc920ee2c">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2015-12-14,
paskelbta TAR 2015-12-31, i. k. 2015-21256            </w:t>
          </w:r>
        </w:p>
        <w:p/>
      </w:sdtContent>
    </w:sdt>
    <w:sdt>
      <w:sdtPr>
        <w:alias w:val="1 pr."/>
        <w:tag w:val="part_1237d8eaf7944337b17b16dde5dcdbb4"/>
        <w:lock w:val="sdtLocked"/>
        <w:richText/>
      </w:sdtPr>
      <w:sdtContent>
        <w:p>
          <w:pPr>
            <w:ind w:left="5954"/>
            <w:jc w:val="both"/>
          </w:pPr>
          <w:r>
            <w:br w:type="page"/>
          </w:r>
        </w:p>
        <w:p>
          <w:pPr>
            <w:ind w:left="5954"/>
            <w:jc w:val="both"/>
            <w:rPr>
              <w:szCs w:val="24"/>
            </w:rPr>
          </w:pPr>
          <w:r>
            <w:rPr>
              <w:szCs w:val="24"/>
            </w:rPr>
            <w:t xml:space="preserve">Lietuvos higienos normos </w:t>
          </w:r>
        </w:p>
        <w:p>
          <w:pPr>
            <w:ind w:left="5954"/>
            <w:jc w:val="both"/>
            <w:rPr>
              <w:szCs w:val="24"/>
            </w:rPr>
          </w:pPr>
          <w:r>
            <w:rPr>
              <w:szCs w:val="24"/>
            </w:rPr>
            <w:t>HN 60:2015 „Pavojingųjų cheminių medžiagų ribinės vertės dirvožemyje“</w:t>
          </w:r>
        </w:p>
        <w:p>
          <w:pPr>
            <w:tabs>
              <w:tab w:val="left" w:pos="1304"/>
              <w:tab w:val="left" w:pos="1457"/>
              <w:tab w:val="left" w:pos="1604"/>
              <w:tab w:val="left" w:pos="1757"/>
            </w:tabs>
            <w:ind w:left="5953"/>
            <w:rPr>
              <w:szCs w:val="24"/>
            </w:rPr>
          </w:pPr>
          <w:sdt>
            <w:sdtPr>
              <w:alias w:val="Numeris"/>
              <w:tag w:val="nr_1237d8eaf7944337b17b16dde5dcdbb4"/>
              <w:lock w:val="sdtLocked"/>
              <w:richText/>
            </w:sdtPr>
            <w:sdtContent>
              <w:r>
                <w:rPr>
                  <w:szCs w:val="24"/>
                </w:rPr>
                <w:t>1</w:t>
              </w:r>
            </w:sdtContent>
          </w:sdt>
          <w:r>
            <w:rPr>
              <w:szCs w:val="24"/>
            </w:rPr>
            <w:t xml:space="preserve"> priedas</w:t>
          </w:r>
        </w:p>
        <w:p>
          <w:pPr>
            <w:tabs>
              <w:tab w:val="left" w:pos="1304"/>
              <w:tab w:val="left" w:pos="1457"/>
              <w:tab w:val="left" w:pos="1604"/>
              <w:tab w:val="left" w:pos="1757"/>
            </w:tabs>
            <w:ind w:left="5953"/>
            <w:rPr>
              <w:b/>
              <w:strike/>
              <w:szCs w:val="24"/>
            </w:rPr>
          </w:pPr>
        </w:p>
        <w:p>
          <w:pPr>
            <w:tabs>
              <w:tab w:val="left" w:pos="1304"/>
              <w:tab w:val="left" w:pos="1457"/>
              <w:tab w:val="left" w:pos="1604"/>
              <w:tab w:val="left" w:pos="1757"/>
            </w:tabs>
            <w:ind w:firstLine="284"/>
            <w:jc w:val="center"/>
            <w:rPr>
              <w:b/>
              <w:szCs w:val="24"/>
            </w:rPr>
          </w:pPr>
          <w:sdt>
            <w:sdtPr>
              <w:alias w:val="Pavadinimas"/>
              <w:tag w:val="title_1237d8eaf7944337b17b16dde5dcdbb4"/>
              <w:lock w:val="sdtLocked"/>
              <w:richText/>
            </w:sdtPr>
            <w:sdtContent>
              <w:r>
                <w:rPr>
                  <w:b/>
                  <w:szCs w:val="24"/>
                </w:rPr>
                <w:t>PATIKSLINTOS RIBINĖS VERTĖS (RVp) POLICIKLINIAMS AROMATINIAMS ANGLIAVANDENILIAMS NUSTATYTI NAUDOJAMI KOEFICIENTAI</w:t>
              </w:r>
            </w:sdtContent>
          </w:sdt>
        </w:p>
        <w:p>
          <w:pPr>
            <w:tabs>
              <w:tab w:val="left" w:pos="1304"/>
              <w:tab w:val="left" w:pos="1457"/>
              <w:tab w:val="left" w:pos="1604"/>
              <w:tab w:val="left" w:pos="1757"/>
            </w:tabs>
            <w:ind w:firstLine="284"/>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4199"/>
            <w:gridCol w:w="2419"/>
            <w:gridCol w:w="2419"/>
          </w:tblGrid>
          <w:tr>
            <w:tc>
              <w:tcPr>
                <w:tcW w:w="817" w:type="dxa"/>
                <w:vMerge w:val="restart"/>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jc w:val="center"/>
                  <w:rPr>
                    <w:b/>
                    <w:szCs w:val="24"/>
                  </w:rPr>
                </w:pPr>
                <w:r>
                  <w:rPr>
                    <w:b/>
                    <w:szCs w:val="24"/>
                  </w:rPr>
                  <w:t>Eil. nr.</w:t>
                </w:r>
              </w:p>
            </w:tc>
            <w:tc>
              <w:tcPr>
                <w:tcW w:w="4199" w:type="dxa"/>
                <w:vMerge w:val="restart"/>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b/>
                    <w:szCs w:val="24"/>
                  </w:rPr>
                </w:pPr>
                <w:r>
                  <w:rPr>
                    <w:b/>
                    <w:szCs w:val="24"/>
                  </w:rPr>
                  <w:t>Organinė cheminė medžiaga</w:t>
                </w:r>
              </w:p>
            </w:tc>
            <w:tc>
              <w:tcPr>
                <w:tcW w:w="4838" w:type="dxa"/>
                <w:gridSpan w:val="2"/>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b/>
                    <w:szCs w:val="24"/>
                  </w:rPr>
                </w:pPr>
                <w:r>
                  <w:rPr>
                    <w:b/>
                    <w:szCs w:val="24"/>
                  </w:rPr>
                  <w:t>Koeficientas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
                    <w:szCs w:val="24"/>
                  </w:rPr>
                </w:pPr>
              </w:p>
            </w:tc>
            <w:tc>
              <w:tcPr>
                <w:tcW w:w="241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b/>
                    <w:szCs w:val="24"/>
                  </w:rPr>
                </w:pPr>
                <w:r>
                  <w:rPr>
                    <w:b/>
                    <w:szCs w:val="24"/>
                  </w:rPr>
                  <w:t>A</w:t>
                </w:r>
              </w:p>
            </w:tc>
            <w:tc>
              <w:tcPr>
                <w:tcW w:w="241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b/>
                    <w:szCs w:val="24"/>
                  </w:rPr>
                </w:pPr>
                <w:r>
                  <w:rPr>
                    <w:b/>
                    <w:szCs w:val="24"/>
                  </w:rPr>
                  <w:t>B</w:t>
                </w:r>
              </w:p>
            </w:tc>
          </w:tr>
          <w:tr>
            <w:tc>
              <w:tcPr>
                <w:tcW w:w="817"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1.</w:t>
                </w:r>
              </w:p>
            </w:tc>
            <w:tc>
              <w:tcPr>
                <w:tcW w:w="4199"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jc w:val="both"/>
                  <w:rPr>
                    <w:szCs w:val="24"/>
                  </w:rPr>
                </w:pPr>
                <w:r>
                  <w:rPr>
                    <w:szCs w:val="24"/>
                  </w:rPr>
                  <w:t>Antracenas</w:t>
                </w:r>
              </w:p>
            </w:tc>
            <w:tc>
              <w:tcPr>
                <w:tcW w:w="241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1,0</w:t>
                </w:r>
              </w:p>
            </w:tc>
            <w:tc>
              <w:tcPr>
                <w:tcW w:w="241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0,0</w:t>
                </w:r>
              </w:p>
            </w:tc>
          </w:tr>
          <w:tr>
            <w:tc>
              <w:tcPr>
                <w:tcW w:w="817"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2.</w:t>
                </w:r>
              </w:p>
            </w:tc>
            <w:tc>
              <w:tcPr>
                <w:tcW w:w="4199"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jc w:val="both"/>
                  <w:rPr>
                    <w:szCs w:val="24"/>
                  </w:rPr>
                </w:pPr>
                <w:r>
                  <w:rPr>
                    <w:szCs w:val="24"/>
                  </w:rPr>
                  <w:t>Benzo(a)pirenas</w:t>
                </w:r>
              </w:p>
            </w:tc>
            <w:tc>
              <w:tcPr>
                <w:tcW w:w="241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1,0</w:t>
                </w:r>
              </w:p>
            </w:tc>
            <w:tc>
              <w:tcPr>
                <w:tcW w:w="241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0,0</w:t>
                </w:r>
              </w:p>
            </w:tc>
          </w:tr>
          <w:tr>
            <w:tc>
              <w:tcPr>
                <w:tcW w:w="817"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3.</w:t>
                </w:r>
              </w:p>
            </w:tc>
            <w:tc>
              <w:tcPr>
                <w:tcW w:w="4199"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jc w:val="both"/>
                  <w:rPr>
                    <w:szCs w:val="24"/>
                  </w:rPr>
                </w:pPr>
                <w:r>
                  <w:rPr>
                    <w:szCs w:val="24"/>
                  </w:rPr>
                  <w:t>Chrizenas</w:t>
                </w:r>
              </w:p>
            </w:tc>
            <w:tc>
              <w:tcPr>
                <w:tcW w:w="241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1,0</w:t>
                </w:r>
              </w:p>
            </w:tc>
            <w:tc>
              <w:tcPr>
                <w:tcW w:w="241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0,0</w:t>
                </w:r>
              </w:p>
            </w:tc>
          </w:tr>
          <w:tr>
            <w:tc>
              <w:tcPr>
                <w:tcW w:w="817"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4.</w:t>
                </w:r>
              </w:p>
            </w:tc>
            <w:tc>
              <w:tcPr>
                <w:tcW w:w="4199"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jc w:val="both"/>
                  <w:rPr>
                    <w:szCs w:val="24"/>
                  </w:rPr>
                </w:pPr>
                <w:r>
                  <w:rPr>
                    <w:szCs w:val="24"/>
                  </w:rPr>
                  <w:t>Fenantrenas</w:t>
                </w:r>
              </w:p>
            </w:tc>
            <w:tc>
              <w:tcPr>
                <w:tcW w:w="241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0,26</w:t>
                </w:r>
              </w:p>
            </w:tc>
            <w:tc>
              <w:tcPr>
                <w:tcW w:w="241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0,37</w:t>
                </w:r>
              </w:p>
            </w:tc>
          </w:tr>
          <w:tr>
            <w:tc>
              <w:tcPr>
                <w:tcW w:w="817"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5.</w:t>
                </w:r>
              </w:p>
            </w:tc>
            <w:tc>
              <w:tcPr>
                <w:tcW w:w="4199"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jc w:val="both"/>
                  <w:rPr>
                    <w:szCs w:val="24"/>
                  </w:rPr>
                </w:pPr>
                <w:r>
                  <w:rPr>
                    <w:szCs w:val="24"/>
                  </w:rPr>
                  <w:t>Naftalenas</w:t>
                </w:r>
              </w:p>
            </w:tc>
            <w:tc>
              <w:tcPr>
                <w:tcW w:w="241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0,64</w:t>
                </w:r>
              </w:p>
            </w:tc>
            <w:tc>
              <w:tcPr>
                <w:tcW w:w="241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0,18</w:t>
                </w:r>
              </w:p>
            </w:tc>
          </w:tr>
          <w:tr>
            <w:tc>
              <w:tcPr>
                <w:tcW w:w="817"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6.</w:t>
                </w:r>
              </w:p>
            </w:tc>
            <w:tc>
              <w:tcPr>
                <w:tcW w:w="4199"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jc w:val="both"/>
                  <w:rPr>
                    <w:szCs w:val="24"/>
                  </w:rPr>
                </w:pPr>
                <w:r>
                  <w:rPr>
                    <w:szCs w:val="24"/>
                  </w:rPr>
                  <w:t>Pirenas</w:t>
                </w:r>
              </w:p>
            </w:tc>
            <w:tc>
              <w:tcPr>
                <w:tcW w:w="241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0,44</w:t>
                </w:r>
              </w:p>
            </w:tc>
            <w:tc>
              <w:tcPr>
                <w:tcW w:w="241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0,28</w:t>
                </w:r>
              </w:p>
            </w:tc>
          </w:tr>
        </w:tbl>
        <w:p>
          <w:pPr>
            <w:ind w:firstLine="720"/>
            <w:jc w:val="center"/>
            <w:rPr>
              <w:szCs w:val="24"/>
            </w:rPr>
          </w:pPr>
        </w:p>
        <w:p>
          <w:pPr>
            <w:jc w:val="center"/>
            <w:rPr>
              <w:color w:val="000000"/>
            </w:rPr>
          </w:pPr>
          <w:r>
            <w:rPr>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f37f0afaa11e5b12fbb7dc920ee2c">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2015-12-14,
paskelbta TAR 2015-12-31, i. k. 2015-21256            </w:t>
          </w:r>
        </w:p>
        <w:p/>
      </w:sdtContent>
    </w:sdt>
    <w:sdt>
      <w:sdtPr>
        <w:alias w:val="2 pr."/>
        <w:tag w:val="part_607da6ee3c34460c8adc9587e5718ed7"/>
        <w:lock w:val="sdtLocked"/>
        <w:richText/>
      </w:sdtPr>
      <w:sdtContent>
        <w:p>
          <w:pPr>
            <w:tabs>
              <w:tab w:val="left" w:pos="1304"/>
              <w:tab w:val="left" w:pos="1457"/>
              <w:tab w:val="left" w:pos="1604"/>
              <w:tab w:val="left" w:pos="1757"/>
            </w:tabs>
            <w:ind w:left="5954"/>
            <w:jc w:val="both"/>
          </w:pPr>
          <w:r>
            <w:br w:type="page"/>
          </w:r>
        </w:p>
        <w:p>
          <w:pPr>
            <w:tabs>
              <w:tab w:val="left" w:pos="1304"/>
              <w:tab w:val="left" w:pos="1457"/>
              <w:tab w:val="left" w:pos="1604"/>
              <w:tab w:val="left" w:pos="1757"/>
            </w:tabs>
            <w:ind w:left="5954"/>
            <w:jc w:val="both"/>
            <w:rPr>
              <w:szCs w:val="24"/>
            </w:rPr>
          </w:pPr>
          <w:r>
            <w:rPr>
              <w:szCs w:val="24"/>
            </w:rPr>
            <w:t xml:space="preserve">Lietuvos higienos normos </w:t>
          </w:r>
        </w:p>
        <w:p>
          <w:pPr>
            <w:tabs>
              <w:tab w:val="left" w:pos="1304"/>
              <w:tab w:val="left" w:pos="1457"/>
              <w:tab w:val="left" w:pos="1604"/>
              <w:tab w:val="left" w:pos="1757"/>
            </w:tabs>
            <w:ind w:left="5954"/>
            <w:jc w:val="both"/>
            <w:rPr>
              <w:szCs w:val="24"/>
            </w:rPr>
          </w:pPr>
          <w:r>
            <w:rPr>
              <w:szCs w:val="24"/>
            </w:rPr>
            <w:t>HN 60:2015 „Pavojingųjų cheminių medžiagų ribinės vertės dirvožemyje“</w:t>
          </w:r>
        </w:p>
        <w:p>
          <w:pPr>
            <w:tabs>
              <w:tab w:val="left" w:pos="1304"/>
              <w:tab w:val="left" w:pos="1457"/>
              <w:tab w:val="left" w:pos="1604"/>
              <w:tab w:val="left" w:pos="1757"/>
            </w:tabs>
            <w:ind w:left="5953"/>
            <w:rPr>
              <w:szCs w:val="24"/>
            </w:rPr>
          </w:pPr>
          <w:sdt>
            <w:sdtPr>
              <w:alias w:val="Numeris"/>
              <w:tag w:val="nr_607da6ee3c34460c8adc9587e5718ed7"/>
              <w:lock w:val="sdtLocked"/>
              <w:richText/>
            </w:sdtPr>
            <w:sdtContent>
              <w:r>
                <w:rPr>
                  <w:szCs w:val="24"/>
                </w:rPr>
                <w:t>2</w:t>
              </w:r>
            </w:sdtContent>
          </w:sdt>
          <w:r>
            <w:rPr>
              <w:szCs w:val="24"/>
            </w:rPr>
            <w:t xml:space="preserve"> priedas</w:t>
          </w:r>
        </w:p>
        <w:p>
          <w:pPr>
            <w:tabs>
              <w:tab w:val="left" w:pos="1304"/>
              <w:tab w:val="left" w:pos="1457"/>
              <w:tab w:val="left" w:pos="1604"/>
              <w:tab w:val="left" w:pos="1757"/>
            </w:tabs>
            <w:rPr>
              <w:strike/>
              <w:szCs w:val="24"/>
            </w:rPr>
          </w:pPr>
        </w:p>
        <w:p>
          <w:pPr>
            <w:tabs>
              <w:tab w:val="left" w:pos="1304"/>
              <w:tab w:val="left" w:pos="1457"/>
              <w:tab w:val="left" w:pos="1604"/>
              <w:tab w:val="left" w:pos="1757"/>
            </w:tabs>
            <w:rPr>
              <w:strike/>
              <w:szCs w:val="24"/>
            </w:rPr>
          </w:pPr>
        </w:p>
        <w:sdt>
          <w:sdtPr>
            <w:alias w:val="Pavadinimas"/>
            <w:tag w:val="title_607da6ee3c34460c8adc9587e5718ed7"/>
            <w:lock w:val="sdtLocked"/>
            <w:richText/>
          </w:sdtPr>
          <w:sdtContent>
            <w:p>
              <w:pPr>
                <w:tabs>
                  <w:tab w:val="left" w:pos="1304"/>
                  <w:tab w:val="left" w:pos="1457"/>
                  <w:tab w:val="left" w:pos="1604"/>
                  <w:tab w:val="left" w:pos="1757"/>
                </w:tabs>
                <w:ind w:firstLine="284"/>
                <w:jc w:val="center"/>
                <w:rPr>
                  <w:b/>
                  <w:szCs w:val="24"/>
                </w:rPr>
              </w:pPr>
              <w:r>
                <w:rPr>
                  <w:b/>
                  <w:szCs w:val="24"/>
                </w:rPr>
                <w:t xml:space="preserve">PATIKSLINTOS RIBINĖS VERTĖS (RVp) SUNKIESIEMS METALAMS </w:t>
              </w:r>
            </w:p>
            <w:p>
              <w:pPr>
                <w:tabs>
                  <w:tab w:val="left" w:pos="1304"/>
                  <w:tab w:val="left" w:pos="1457"/>
                  <w:tab w:val="left" w:pos="1604"/>
                  <w:tab w:val="left" w:pos="1757"/>
                </w:tabs>
                <w:ind w:firstLine="284"/>
                <w:jc w:val="center"/>
                <w:rPr>
                  <w:b/>
                  <w:szCs w:val="24"/>
                </w:rPr>
              </w:pPr>
              <w:r>
                <w:rPr>
                  <w:b/>
                  <w:szCs w:val="24"/>
                </w:rPr>
                <w:t>NUSTATYTI NAUDOJAMI KOEFICIENTAI</w:t>
              </w:r>
            </w:p>
          </w:sdtContent>
        </w:sdt>
        <w:p>
          <w:pPr>
            <w:tabs>
              <w:tab w:val="left" w:pos="1304"/>
              <w:tab w:val="left" w:pos="1457"/>
              <w:tab w:val="left" w:pos="1604"/>
              <w:tab w:val="left" w:pos="1757"/>
            </w:tabs>
            <w:ind w:firstLine="284"/>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2982"/>
            <w:gridCol w:w="1886"/>
            <w:gridCol w:w="1994"/>
            <w:gridCol w:w="2033"/>
          </w:tblGrid>
          <w:tr>
            <w:tc>
              <w:tcPr>
                <w:tcW w:w="959"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jc w:val="center"/>
                  <w:rPr>
                    <w:b/>
                    <w:szCs w:val="24"/>
                  </w:rPr>
                </w:pPr>
                <w:r>
                  <w:rPr>
                    <w:b/>
                    <w:szCs w:val="24"/>
                  </w:rPr>
                  <w:t>Eil. nr.</w:t>
                </w:r>
              </w:p>
            </w:tc>
            <w:tc>
              <w:tcPr>
                <w:tcW w:w="2982"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jc w:val="center"/>
                  <w:rPr>
                    <w:b/>
                    <w:szCs w:val="24"/>
                  </w:rPr>
                </w:pPr>
                <w:r>
                  <w:rPr>
                    <w:b/>
                    <w:szCs w:val="24"/>
                  </w:rPr>
                  <w:t>Sunkusis metalas</w:t>
                </w:r>
              </w:p>
            </w:tc>
            <w:tc>
              <w:tcPr>
                <w:tcW w:w="1886"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b/>
                    <w:szCs w:val="24"/>
                  </w:rPr>
                </w:pPr>
                <w:r>
                  <w:rPr>
                    <w:b/>
                    <w:szCs w:val="24"/>
                  </w:rPr>
                  <w:t>A</w:t>
                </w:r>
              </w:p>
            </w:tc>
            <w:tc>
              <w:tcPr>
                <w:tcW w:w="1994"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b/>
                    <w:szCs w:val="24"/>
                  </w:rPr>
                </w:pPr>
                <w:r>
                  <w:rPr>
                    <w:b/>
                    <w:szCs w:val="24"/>
                  </w:rPr>
                  <w:t>B</w:t>
                </w:r>
              </w:p>
            </w:tc>
            <w:tc>
              <w:tcPr>
                <w:tcW w:w="2033"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b/>
                    <w:szCs w:val="24"/>
                  </w:rPr>
                </w:pPr>
                <w:r>
                  <w:rPr>
                    <w:b/>
                    <w:szCs w:val="24"/>
                  </w:rPr>
                  <w:t>C</w:t>
                </w:r>
              </w:p>
            </w:tc>
          </w:tr>
          <w:tr>
            <w:tc>
              <w:tcPr>
                <w:tcW w:w="95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1.</w:t>
                </w:r>
              </w:p>
            </w:tc>
            <w:tc>
              <w:tcPr>
                <w:tcW w:w="2982"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rPr>
                    <w:szCs w:val="24"/>
                  </w:rPr>
                </w:pPr>
                <w:r>
                  <w:rPr>
                    <w:szCs w:val="24"/>
                  </w:rPr>
                  <w:t>Alavas</w:t>
                </w:r>
              </w:p>
            </w:tc>
            <w:tc>
              <w:tcPr>
                <w:tcW w:w="1886"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4,0</w:t>
                </w:r>
              </w:p>
            </w:tc>
            <w:tc>
              <w:tcPr>
                <w:tcW w:w="1994"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0,6</w:t>
                </w:r>
              </w:p>
            </w:tc>
            <w:tc>
              <w:tcPr>
                <w:tcW w:w="2033"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0,0</w:t>
                </w:r>
              </w:p>
            </w:tc>
          </w:tr>
          <w:tr>
            <w:tc>
              <w:tcPr>
                <w:tcW w:w="95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2.</w:t>
                </w:r>
              </w:p>
            </w:tc>
            <w:tc>
              <w:tcPr>
                <w:tcW w:w="2982"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rPr>
                    <w:szCs w:val="24"/>
                  </w:rPr>
                </w:pPr>
                <w:r>
                  <w:rPr>
                    <w:szCs w:val="24"/>
                  </w:rPr>
                  <w:t>Arsenas</w:t>
                </w:r>
              </w:p>
            </w:tc>
            <w:tc>
              <w:tcPr>
                <w:tcW w:w="1886"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15</w:t>
                </w:r>
              </w:p>
            </w:tc>
            <w:tc>
              <w:tcPr>
                <w:tcW w:w="1994"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0,4</w:t>
                </w:r>
              </w:p>
            </w:tc>
            <w:tc>
              <w:tcPr>
                <w:tcW w:w="2033"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0,4</w:t>
                </w:r>
              </w:p>
            </w:tc>
          </w:tr>
          <w:tr>
            <w:tc>
              <w:tcPr>
                <w:tcW w:w="95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3.</w:t>
                </w:r>
              </w:p>
            </w:tc>
            <w:tc>
              <w:tcPr>
                <w:tcW w:w="2982"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rPr>
                    <w:szCs w:val="24"/>
                  </w:rPr>
                </w:pPr>
                <w:r>
                  <w:rPr>
                    <w:szCs w:val="24"/>
                  </w:rPr>
                  <w:t>Baris</w:t>
                </w:r>
              </w:p>
            </w:tc>
            <w:tc>
              <w:tcPr>
                <w:tcW w:w="1886"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30</w:t>
                </w:r>
              </w:p>
            </w:tc>
            <w:tc>
              <w:tcPr>
                <w:tcW w:w="1994"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5,0</w:t>
                </w:r>
              </w:p>
            </w:tc>
            <w:tc>
              <w:tcPr>
                <w:tcW w:w="2033"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0,0</w:t>
                </w:r>
              </w:p>
            </w:tc>
          </w:tr>
          <w:tr>
            <w:tc>
              <w:tcPr>
                <w:tcW w:w="95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4.</w:t>
                </w:r>
              </w:p>
            </w:tc>
            <w:tc>
              <w:tcPr>
                <w:tcW w:w="2982"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rPr>
                    <w:szCs w:val="24"/>
                  </w:rPr>
                </w:pPr>
                <w:r>
                  <w:rPr>
                    <w:szCs w:val="24"/>
                  </w:rPr>
                  <w:t>Chromas</w:t>
                </w:r>
              </w:p>
            </w:tc>
            <w:tc>
              <w:tcPr>
                <w:tcW w:w="1886"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50</w:t>
                </w:r>
              </w:p>
            </w:tc>
            <w:tc>
              <w:tcPr>
                <w:tcW w:w="1994"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2,0</w:t>
                </w:r>
              </w:p>
            </w:tc>
            <w:tc>
              <w:tcPr>
                <w:tcW w:w="2033" w:type="dxa"/>
                <w:tcBorders>
                  <w:top w:val="single" w:sz="4" w:space="0" w:color="auto"/>
                  <w:left w:val="single" w:sz="4" w:space="0" w:color="auto"/>
                  <w:bottom w:val="single" w:sz="4" w:space="0" w:color="auto"/>
                  <w:right w:val="single" w:sz="4" w:space="0" w:color="auto"/>
                </w:tcBorders>
                <w:vAlign w:val="center"/>
                <w:hideMark/>
              </w:tcPr>
              <w:p>
                <w:pPr>
                  <w:tabs>
                    <w:tab w:val="left" w:pos="401"/>
                    <w:tab w:val="left" w:pos="480"/>
                    <w:tab w:val="left" w:pos="1304"/>
                    <w:tab w:val="left" w:pos="1457"/>
                    <w:tab w:val="left" w:pos="1604"/>
                    <w:tab w:val="left" w:pos="1757"/>
                  </w:tabs>
                  <w:spacing w:line="276" w:lineRule="auto"/>
                  <w:jc w:val="center"/>
                  <w:rPr>
                    <w:szCs w:val="24"/>
                  </w:rPr>
                </w:pPr>
                <w:r>
                  <w:rPr>
                    <w:szCs w:val="24"/>
                  </w:rPr>
                  <w:t>0,0</w:t>
                </w:r>
              </w:p>
            </w:tc>
          </w:tr>
          <w:tr>
            <w:tc>
              <w:tcPr>
                <w:tcW w:w="95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5.</w:t>
                </w:r>
              </w:p>
            </w:tc>
            <w:tc>
              <w:tcPr>
                <w:tcW w:w="2982"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rPr>
                    <w:szCs w:val="24"/>
                  </w:rPr>
                </w:pPr>
                <w:r>
                  <w:rPr>
                    <w:szCs w:val="24"/>
                  </w:rPr>
                  <w:t>Cinkas</w:t>
                </w:r>
              </w:p>
            </w:tc>
            <w:tc>
              <w:tcPr>
                <w:tcW w:w="1886"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50</w:t>
                </w:r>
              </w:p>
            </w:tc>
            <w:tc>
              <w:tcPr>
                <w:tcW w:w="1994"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3,0</w:t>
                </w:r>
              </w:p>
            </w:tc>
            <w:tc>
              <w:tcPr>
                <w:tcW w:w="2033"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1,5</w:t>
                </w:r>
              </w:p>
            </w:tc>
          </w:tr>
          <w:tr>
            <w:tc>
              <w:tcPr>
                <w:tcW w:w="95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6.</w:t>
                </w:r>
              </w:p>
            </w:tc>
            <w:tc>
              <w:tcPr>
                <w:tcW w:w="2982"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rPr>
                    <w:szCs w:val="24"/>
                  </w:rPr>
                </w:pPr>
                <w:r>
                  <w:rPr>
                    <w:szCs w:val="24"/>
                  </w:rPr>
                  <w:t>Gyvsidabris</w:t>
                </w:r>
              </w:p>
            </w:tc>
            <w:tc>
              <w:tcPr>
                <w:tcW w:w="1886"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0,2</w:t>
                </w:r>
              </w:p>
            </w:tc>
            <w:tc>
              <w:tcPr>
                <w:tcW w:w="1994"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0,0034</w:t>
                </w:r>
              </w:p>
            </w:tc>
            <w:tc>
              <w:tcPr>
                <w:tcW w:w="2033"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0,0017</w:t>
                </w:r>
              </w:p>
            </w:tc>
          </w:tr>
          <w:tr>
            <w:tc>
              <w:tcPr>
                <w:tcW w:w="95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7.</w:t>
                </w:r>
              </w:p>
            </w:tc>
            <w:tc>
              <w:tcPr>
                <w:tcW w:w="2982"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rPr>
                    <w:szCs w:val="24"/>
                  </w:rPr>
                </w:pPr>
                <w:r>
                  <w:rPr>
                    <w:szCs w:val="24"/>
                  </w:rPr>
                  <w:t>Kadmis</w:t>
                </w:r>
              </w:p>
            </w:tc>
            <w:tc>
              <w:tcPr>
                <w:tcW w:w="1886"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0,4</w:t>
                </w:r>
              </w:p>
            </w:tc>
            <w:tc>
              <w:tcPr>
                <w:tcW w:w="1994"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0,007</w:t>
                </w:r>
              </w:p>
            </w:tc>
            <w:tc>
              <w:tcPr>
                <w:tcW w:w="2033"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0,021</w:t>
                </w:r>
              </w:p>
            </w:tc>
          </w:tr>
          <w:tr>
            <w:tc>
              <w:tcPr>
                <w:tcW w:w="95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8.</w:t>
                </w:r>
              </w:p>
            </w:tc>
            <w:tc>
              <w:tcPr>
                <w:tcW w:w="2982"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rPr>
                    <w:szCs w:val="24"/>
                  </w:rPr>
                </w:pPr>
                <w:r>
                  <w:rPr>
                    <w:szCs w:val="24"/>
                  </w:rPr>
                  <w:t>Kobaltas</w:t>
                </w:r>
              </w:p>
            </w:tc>
            <w:tc>
              <w:tcPr>
                <w:tcW w:w="1886"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2,0</w:t>
                </w:r>
              </w:p>
            </w:tc>
            <w:tc>
              <w:tcPr>
                <w:tcW w:w="1994"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0,28</w:t>
                </w:r>
              </w:p>
            </w:tc>
            <w:tc>
              <w:tcPr>
                <w:tcW w:w="2033"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0,0</w:t>
                </w:r>
              </w:p>
            </w:tc>
          </w:tr>
          <w:tr>
            <w:tc>
              <w:tcPr>
                <w:tcW w:w="95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9.</w:t>
                </w:r>
              </w:p>
            </w:tc>
            <w:tc>
              <w:tcPr>
                <w:tcW w:w="2982"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rPr>
                    <w:szCs w:val="24"/>
                  </w:rPr>
                </w:pPr>
                <w:r>
                  <w:rPr>
                    <w:szCs w:val="24"/>
                  </w:rPr>
                  <w:t>Nikelis</w:t>
                </w:r>
              </w:p>
            </w:tc>
            <w:tc>
              <w:tcPr>
                <w:tcW w:w="1886"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10</w:t>
                </w:r>
              </w:p>
            </w:tc>
            <w:tc>
              <w:tcPr>
                <w:tcW w:w="1994"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1,1</w:t>
                </w:r>
              </w:p>
            </w:tc>
            <w:tc>
              <w:tcPr>
                <w:tcW w:w="2033"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0,0</w:t>
                </w:r>
              </w:p>
            </w:tc>
          </w:tr>
          <w:tr>
            <w:tc>
              <w:tcPr>
                <w:tcW w:w="95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10.</w:t>
                </w:r>
              </w:p>
            </w:tc>
            <w:tc>
              <w:tcPr>
                <w:tcW w:w="2982"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rPr>
                    <w:szCs w:val="24"/>
                  </w:rPr>
                </w:pPr>
                <w:r>
                  <w:rPr>
                    <w:szCs w:val="24"/>
                  </w:rPr>
                  <w:t>Švinas</w:t>
                </w:r>
              </w:p>
            </w:tc>
            <w:tc>
              <w:tcPr>
                <w:tcW w:w="1886"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50</w:t>
                </w:r>
              </w:p>
            </w:tc>
            <w:tc>
              <w:tcPr>
                <w:tcW w:w="1994"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1,0</w:t>
                </w:r>
              </w:p>
            </w:tc>
            <w:tc>
              <w:tcPr>
                <w:tcW w:w="2033"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1,0</w:t>
                </w:r>
              </w:p>
            </w:tc>
          </w:tr>
          <w:tr>
            <w:tc>
              <w:tcPr>
                <w:tcW w:w="95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11.</w:t>
                </w:r>
              </w:p>
            </w:tc>
            <w:tc>
              <w:tcPr>
                <w:tcW w:w="2982"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rPr>
                    <w:szCs w:val="24"/>
                  </w:rPr>
                </w:pPr>
                <w:r>
                  <w:rPr>
                    <w:szCs w:val="24"/>
                  </w:rPr>
                  <w:t>Vanadis</w:t>
                </w:r>
              </w:p>
            </w:tc>
            <w:tc>
              <w:tcPr>
                <w:tcW w:w="1886"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12</w:t>
                </w:r>
              </w:p>
            </w:tc>
            <w:tc>
              <w:tcPr>
                <w:tcW w:w="1994"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1,2</w:t>
                </w:r>
              </w:p>
            </w:tc>
            <w:tc>
              <w:tcPr>
                <w:tcW w:w="2033"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0,0</w:t>
                </w:r>
              </w:p>
            </w:tc>
          </w:tr>
          <w:tr>
            <w:tc>
              <w:tcPr>
                <w:tcW w:w="959"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12.</w:t>
                </w:r>
              </w:p>
            </w:tc>
            <w:tc>
              <w:tcPr>
                <w:tcW w:w="2982" w:type="dxa"/>
                <w:tcBorders>
                  <w:top w:val="single" w:sz="4" w:space="0" w:color="auto"/>
                  <w:left w:val="single" w:sz="4" w:space="0" w:color="auto"/>
                  <w:bottom w:val="single" w:sz="4" w:space="0" w:color="auto"/>
                  <w:right w:val="single" w:sz="4" w:space="0" w:color="auto"/>
                </w:tcBorders>
                <w:hideMark/>
              </w:tcPr>
              <w:p>
                <w:pPr>
                  <w:tabs>
                    <w:tab w:val="left" w:pos="1304"/>
                    <w:tab w:val="left" w:pos="1457"/>
                    <w:tab w:val="left" w:pos="1604"/>
                    <w:tab w:val="left" w:pos="1757"/>
                  </w:tabs>
                  <w:spacing w:line="276" w:lineRule="auto"/>
                  <w:rPr>
                    <w:szCs w:val="24"/>
                  </w:rPr>
                </w:pPr>
                <w:r>
                  <w:rPr>
                    <w:szCs w:val="24"/>
                  </w:rPr>
                  <w:t>Varis</w:t>
                </w:r>
              </w:p>
            </w:tc>
            <w:tc>
              <w:tcPr>
                <w:tcW w:w="1886"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15</w:t>
                </w:r>
              </w:p>
            </w:tc>
            <w:tc>
              <w:tcPr>
                <w:tcW w:w="1994"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0,6</w:t>
                </w:r>
              </w:p>
            </w:tc>
            <w:tc>
              <w:tcPr>
                <w:tcW w:w="2033" w:type="dxa"/>
                <w:tcBorders>
                  <w:top w:val="single" w:sz="4" w:space="0" w:color="auto"/>
                  <w:left w:val="single" w:sz="4" w:space="0" w:color="auto"/>
                  <w:bottom w:val="single" w:sz="4" w:space="0" w:color="auto"/>
                  <w:right w:val="single" w:sz="4" w:space="0" w:color="auto"/>
                </w:tcBorders>
                <w:vAlign w:val="center"/>
                <w:hideMark/>
              </w:tcPr>
              <w:p>
                <w:pPr>
                  <w:tabs>
                    <w:tab w:val="left" w:pos="1304"/>
                    <w:tab w:val="left" w:pos="1457"/>
                    <w:tab w:val="left" w:pos="1604"/>
                    <w:tab w:val="left" w:pos="1757"/>
                  </w:tabs>
                  <w:spacing w:line="276" w:lineRule="auto"/>
                  <w:jc w:val="center"/>
                  <w:rPr>
                    <w:szCs w:val="24"/>
                  </w:rPr>
                </w:pPr>
                <w:r>
                  <w:rPr>
                    <w:szCs w:val="24"/>
                  </w:rPr>
                  <w:t>0,6</w:t>
                </w:r>
              </w:p>
            </w:tc>
          </w:tr>
        </w:tbl>
        <w:p>
          <w:pPr>
            <w:tabs>
              <w:tab w:val="left" w:pos="1304"/>
              <w:tab w:val="left" w:pos="1457"/>
              <w:tab w:val="left" w:pos="1604"/>
              <w:tab w:val="left" w:pos="1757"/>
            </w:tabs>
            <w:rPr>
              <w:strike/>
              <w:szCs w:val="24"/>
            </w:rPr>
          </w:pPr>
        </w:p>
        <w:p>
          <w:pPr>
            <w:jc w:val="center"/>
            <w:rPr>
              <w:color w:val="000000"/>
            </w:rPr>
          </w:pPr>
          <w:r>
            <w:rPr>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f37f0afaa11e5b12fbb7dc920ee2c">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2015-12-14,
paskelbta TAR 2015-12-31, i. k. 2015-21256            </w:t>
          </w:r>
        </w:p>
        <w:p/>
      </w:sdtContent>
    </w:sdt>
    <w:sdt>
      <w:sdtPr>
        <w:alias w:val="5 pr."/>
        <w:tag w:val="part_bdd46552187f4599be0ded748ae1c888"/>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3f37f0afaa11e5b12fbb7dc920ee2c">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2015-12-14,
paskelbta TAR 2015-12-31, i. k. 2015-21256                </w:t>
          </w:r>
        </w:p>
        <w:p>
          <w:pPr>
            <w:jc w:val="both"/>
            <w:rPr>
              <w:rFonts w:ascii="Times New Roman" w:hAnsi="Times New Roman"/>
            </w:rPr>
          </w:pPr>
          <w:r>
            <w:rPr>
              <w:rFonts w:ascii="Times New Roman" w:hAnsi="Times New Roman"/>
              <w:sz w:val="20"/>
            </w:rPr>
            <w:t>Dėl Lietuvos Respublikos sveikatos apsaugos ministro 2004 m. kovo 8 d. įsakymo Nr. V-114 „Dėl Lietuvos higienos normos HN 60:2004 „Pavojingų cheminių medžiagų didžiausios leidžiamos koncentracijos dirvožemyje"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1C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10E23D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89061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hyperlink" TargetMode="External" Target="https://www.e-tar.lt/portal/lt/legalAct/TAR.0539E2FEB29E"/>
  <Relationship Id="rId12" Type="http://schemas.openxmlformats.org/officeDocument/2006/relationships/hyperlink" TargetMode="External" Target="https://www.e-tar.lt/portal/lt/legalAct/TAR.13E108ED3981"/>
  <Relationship Id="rId13" Type="http://schemas.openxmlformats.org/officeDocument/2006/relationships/hyperlink" TargetMode="External" Target="https://www.e-tar.lt/portal/lt/legalAct/TAR.19594D985C82"/>
  <Relationship Id="rId14" Type="http://schemas.openxmlformats.org/officeDocument/2006/relationships/hyperlink" TargetMode="External" Target="https://www.e-tar.lt/portal/lt/legalAct/TAR.3536A8337E8A"/>
  <Relationship Id="rId15" Type="http://schemas.openxmlformats.org/officeDocument/2006/relationships/hyperlink" TargetMode="External" Target="https://www.e-tar.lt/portal/lt/legalAct/TAR.4D5E88FF9E5A"/>
  <Relationship Id="rId16" Type="http://schemas.openxmlformats.org/officeDocument/2006/relationships/hyperlink" TargetMode="External" Target="https://www.e-tar.lt/portal/lt/legalAct/TAR.5C63BB64A956"/>
  <Relationship Id="rId17" Type="http://schemas.openxmlformats.org/officeDocument/2006/relationships/hyperlink" TargetMode="External" Target="https://www.e-tar.lt/portal/lt/legalAct/TAR.7ED447C0D254"/>
  <Relationship Id="rId18" Type="http://schemas.openxmlformats.org/officeDocument/2006/relationships/hyperlink" TargetMode="External" Target="https://www.e-tar.lt/portal/lt/legalAct/TAR.8D38517814F1"/>
  <Relationship Id="rId19" Type="http://schemas.openxmlformats.org/officeDocument/2006/relationships/hyperlink" TargetMode="External" Target="https://www.e-tar.lt/portal/lt/legalAct/TAR.AF427DCB5C50"/>
  <Relationship Id="rId2" Type="http://schemas.openxmlformats.org/officeDocument/2006/relationships/header" Target="header2.xml"/>
  <Relationship Id="rId20" Type="http://schemas.openxmlformats.org/officeDocument/2006/relationships/hyperlink" TargetMode="External" Target="https://www.e-tar.lt/portal/lt/legalAct/TAR.B3CC2C0B9BD2"/>
  <Relationship Id="rId21" Type="http://schemas.openxmlformats.org/officeDocument/2006/relationships/hyperlink" TargetMode="External" Target="https://www.e-tar.lt/portal/lt/legalAct/TAR.BBDACDD3FD39"/>
  <Relationship Id="rId22" Type="http://schemas.openxmlformats.org/officeDocument/2006/relationships/hyperlink" TargetMode="External" Target="https://www.e-tar.lt/portal/lt/legalAct/TAR.CB941ADCC055"/>
  <Relationship Id="rId23" Type="http://schemas.openxmlformats.org/officeDocument/2006/relationships/hyperlink" TargetMode="External" Target="https://www.e-tar.lt/portal/lt/legalAct/TAR.CC10C5274343"/>
  <Relationship Id="rId24" Type="http://schemas.openxmlformats.org/officeDocument/2006/relationships/hyperlink" TargetMode="External" Target="https://www.e-tar.lt/portal/lt/legalAct/TAR.CFCCBFE67D05"/>
  <Relationship Id="rId25" Type="http://schemas.openxmlformats.org/officeDocument/2006/relationships/hyperlink" TargetMode="External" Target="https://www.e-tar.lt/portal/lt/legalAct/TAR.E2780B68DE62"/>
  <Relationship Id="rId26" Type="http://schemas.openxmlformats.org/officeDocument/2006/relationships/hyperlink" TargetMode="External" Target="https://www.e-tar.lt/portal/lt/legalAct/TAR.E2B2957B9182"/>
  <Relationship Id="rId27" Type="http://schemas.openxmlformats.org/officeDocument/2006/relationships/hyperlink" TargetMode="External" Target="https://www.e-tar.lt/portal/lt/legalAct/TAR.E964CE7A637A"/>
  <Relationship Id="rId28" Type="http://schemas.openxmlformats.org/officeDocument/2006/relationships/hyperlink" TargetMode="External" Target="https://www.e-tar.lt/portal/lt/legalAct/TAR.FC99661E0C1C"/>
  <Relationship Id="rId29" Type="http://schemas.openxmlformats.org/officeDocument/2006/relationships/hyperlink" TargetMode="External" Target="https://www.e-tar.lt/portal/lt/legalAct/TAR.FCE17C6B07F7"/>
  <Relationship Id="rId3" Type="http://schemas.openxmlformats.org/officeDocument/2006/relationships/footer" Target="footer1.xml"/>
  <Relationship Id="rId30" Type="http://schemas.openxmlformats.org/officeDocument/2006/relationships/image" Target="media/image1.wmf"/>
  <Relationship Id="rId31" Type="http://schemas.openxmlformats.org/officeDocument/2006/relationships/image" Target="media/image2.emf"/>
  <Relationship Id="rId32" Type="http://schemas.openxmlformats.org/officeDocument/2006/relationships/image" Target="media/image3.emf"/>
  <Relationship Id="rId33" Type="http://schemas.openxmlformats.org/officeDocument/2006/relationships/image" Target="media/image4.emf"/>
  <Relationship Id="rId34" Type="http://schemas.openxmlformats.org/officeDocument/2006/relationships/settings" Target="settings.xml"/>
  <Relationship Id="rId35" Type="http://schemas.openxmlformats.org/officeDocument/2006/relationships/styles" Target="styles.xml"/>
  <Relationship Id="rId36" Type="http://schemas.microsoft.com/office/2007/relationships/stylesWithEffects" Target="stylesWithEffects.xml"/>
  <Relationship Id="rId37" Type="http://schemas.openxmlformats.org/officeDocument/2006/relationships/theme" Target="theme/theme1.xml"/>
  <Relationship Id="rId38" Type="http://schemas.openxmlformats.org/officeDocument/2006/relationships/webSettings" Target="webSettings.xml"/>
  <Relationship Id="rId39" Type="http://schemas.openxmlformats.org/officeDocument/2006/relationships/image" Target="media/image5.wmf"/>
  <Relationship Id="rId4" Type="http://schemas.openxmlformats.org/officeDocument/2006/relationships/footer" Target="footer2.xml"/>
  <Relationship Id="rId40" Type="http://schemas.openxmlformats.org/officeDocument/2006/relationships/oleObject" Target="embeddings/oleObject1.bin"/>
  <Relationship Id="rId41" Type="http://schemas.openxmlformats.org/officeDocument/2006/relationships/image" Target="media/image6.wmf"/>
  <Relationship Id="rId42" Type="http://schemas.openxmlformats.org/officeDocument/2006/relationships/oleObject" Target="embeddings/oleObject2.bin"/>
  <Relationship Id="rId43" Type="http://schemas.openxmlformats.org/officeDocument/2006/relationships/image" Target="media/image7.wmf"/>
  <Relationship Id="rId44" Type="http://schemas.openxmlformats.org/officeDocument/2006/relationships/oleObject" Target="embeddings/oleObject3.bin"/>
  <Relationship Id="rId45" Type="http://schemas.openxmlformats.org/officeDocument/2006/relationships/image" Target="media/image8.wmf"/>
  <Relationship Id="rId46" Type="http://schemas.openxmlformats.org/officeDocument/2006/relationships/oleObject" Target="embeddings/oleObject4.bin"/>
  <Relationship Id="rId47" Type="http://schemas.openxmlformats.org/officeDocument/2006/relationships/image" Target="media/image8.wmf"/>
  <Relationship Id="rId48" Type="http://schemas.openxmlformats.org/officeDocument/2006/relationships/oleObject" Target="embeddings/oleObject5.bin"/>
  <Relationship Id="rId49" Type="http://schemas.openxmlformats.org/officeDocument/2006/relationships/image" Target="media/image9.wmf"/>
  <Relationship Id="rId5" Type="http://schemas.openxmlformats.org/officeDocument/2006/relationships/header" Target="header3.xml"/>
  <Relationship Id="rId50" Type="http://schemas.openxmlformats.org/officeDocument/2006/relationships/oleObject" Target="embeddings/oleObject6.bin"/>
  <Relationship Id="rId51"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853b92655c4fbbb961126fd6d257c9" PartId="d0f2602925bf4ba0a569583b855ff53e">
    <Part Type="preambule" DocPartId="585709f08e7b4a78b06443c2a0e9ade5" PartId="e7a854375b324ec6ac9e2f1821ee8ec8"/>
    <Part Type="punktas" Nr="1" Abbr="1 p." DocPartId="b2d3fb80491c48d6a15f0339a763e9cf" PartId="9564043d68c44b6d8a234dc968409c42"/>
    <Part Type="punktas" Nr="2" Abbr="2 p." DocPartId="4a04a9d7e8be4877aaa26e2e1c494480" PartId="190c80fc8d374844911e903b0bd4ca3b"/>
    <Part Type="signatura" DocPartId="93ff45f4cdf74a59be624c83487c46f1" PartId="4c672f5d2360419eb3f9438c9615b662"/>
  </Part>
  <Part Type="patvirtinta" Title="LIETUVOS HIGIENOS NORMA HN 60:2015 PAVOJINGŲJŲ CHEMINIŲ MEDŽIAGŲ RIBINĖS VERTĖS DIRVOŽEMYJE" DocPartId="48d160d903e34236ae9a9e1b1219600f" PartId="be01ab0b2cb14b93a7c0b156d43e9b1a">
    <Part Type="skyrius" Nr="1" Title="BENDROSIOS NUOSTATOS" DocPartId="cdaf7ad790794532a69063fc657bfc2b" PartId="167a556354f14f29b25652c8977b8bd1">
      <Part Type="punktas" Nr="1" Abbr="1 p." DocPartId="4d3166ec6c5348928538e04a06759dce" PartId="bbfae8c81378434f85b933d1858ebd9a"/>
      <Part Type="punktas" Nr="2" Abbr="2 p." DocPartId="af212cbbd65c4516a2b12c0f837f5030" PartId="7b1ac1e62f9942b7840355d24db500ed"/>
      <Part Type="punktas" Nr="3" Abbr="3 p." DocPartId="59e6445c8b134c6babad51fb13064dee" PartId="4cf929c3e73940e188705f55586bdd7d"/>
    </Part>
    <Part Type="skyrius" Nr="2" Title="NUORODOS" DocPartId="17e037f748e54cd8a7dad7f90acc85fa" PartId="cf833c45faf54bc0858f36b58417e213">
      <Part Type="punktas" Nr="4" Abbr="4 p." DocPartId="b54adee6080143b2b4e769f87d4e795b" PartId="46c9a06c23f34be78ca25fd77e9038f0">
        <Part Type="punktas" Nr="4.1" Abbr="4.1 p." DocPartId="34e12416a4584fbbaf8924a02b884212" PartId="4b6e71ed87924151af4bf6207cec3094"/>
        <Part Type="punktas" Nr="4.2" Abbr="4.2 p." DocPartId="98c85555481e48e78e5adb64c7150f77" PartId="663e81969f57412a8ea005f2f86a4d6d"/>
        <Part Type="punktas" Nr="4.3" Abbr="4.3 p." DocPartId="79b647c56f1c42eaa96cea1ba3ea847e" PartId="1942957eb2ff4ff6b02f93e411ac0d52"/>
        <Part Type="punktas" Nr="4.4" Abbr="4.4 p." DocPartId="109afff75cbb4d49a8c9500f7722cbf0" PartId="39d3e5c26b3d477cb5c2d9a29657c0c8"/>
        <Part Type="punktas" Nr="4.5" Abbr="4.5 p." DocPartId="07a3e4f02ccb4e1ca21625c54fd4fa1d" PartId="7b7adfb473ae43aaab43f94ff6210034"/>
        <Part Type="punktas" Nr="4.6" Abbr="4.6 p." DocPartId="02ccb9fed0b24ff48f4973327f7f1f1c" PartId="e537fcbf09b64a2a806d03db559c76a7"/>
        <Part Type="punktas" Nr="4.7" Abbr="4.7 p." DocPartId="e48808ec968c40c0bad5c34b975256f4" PartId="e4aedc3cb47c4870b8d87e4045c42c60"/>
        <Part Type="punktas" Nr="4.8" Abbr="4.8 p." DocPartId="33e0244c5f8148a2a90c77a0a0f99b72" PartId="27368366994f4eb1b92423f24e96d31b"/>
        <Part Type="punktas" Nr="4.9" Abbr="4.9 p." DocPartId="a1709063da194f03a091f5472a6c4a26" PartId="e197ec00f8974ef8970d29f25ece5c49"/>
      </Part>
    </Part>
    <Part Type="skyrius" Nr="3" Title="SĄVOKOS IR JŲ APIBRĖŽTYS" DocPartId="e00b321a3dd5492381fa55ab9f6a3d37" PartId="4cf0484f1cc243c1bc59e3b0af7439bf">
      <Part Type="punktas" Nr="5" Abbr="5 p." DocPartId="d0c5285e988449f2a6b336315c751e42" PartId="e8a2dd895d58454bb0800cb38577bd86">
        <Part Type="punktas" Nr="5.1" Abbr="5.1 p." DocPartId="2cb21af89f9c4fe2b4bcfa3f3ded0613" PartId="e60ebea3984a4bdeb9627b50d97a987f"/>
        <Part Type="punktas" Nr="5.2" Abbr="5.2 p." DocPartId="10feeaa8b2d143ab879b988f2bbaeb7b" PartId="4fef1a0fc1fa49f49fef31a7fe662254"/>
        <Part Type="punktas" Nr="5.3" Abbr="5.3 p." DocPartId="7708f15e0bbc4b75aa7a0b5ec020925d" PartId="5bed9b4bd1d9401daf97d7b09f57627e"/>
        <Part Type="punktas" Nr="5.4" Abbr="5.4 p." DocPartId="6c7e158628db4efaa5218a45fd47ff34" PartId="21a553a03d64497a813603d1cc376c9b"/>
        <Part Type="punktas" Nr="5.5" Abbr="5.5 p." DocPartId="4d83f23120b34581afacd13f9d8823eb" PartId="833b027038a74197afe59cf58e4d747d"/>
      </Part>
    </Part>
    <Part Type="skyrius" Nr="4" Title="PAVOJINGŲJŲ CHEMINIŲ MEDŽIAGŲ RIBINĖS VERTĖS DIRVOŽEMYJE" DocPartId="24243652a2e94f6cabbc7b4b1bdf416d" PartId="175184a9df7b4591827e4d3c179b50fc">
      <Part Type="punktas" Nr="6" Abbr="6 p." DocPartId="53e81b934726469c8739421f7ff3b70f" PartId="ec4f6d1b2ed4495c8d17f2ff459c560e"/>
    </Part>
    <Part Type="skyrius" Nr="5" Title="DIRVOŽEMIO UŽTERŠTUMO NUSTATYMO METODIKA" DocPartId="6593bc1e912647aea3c862a0dc0b06d1" PartId="c2ddc2ae72c94caea343667af08db7aa">
      <Part Type="punktas" Nr="7" Abbr="7 p." DocPartId="f99b1bee6c784d61b84b02d7d11de3a0" PartId="d0f02f187fa845c18a90d5a38c36ba39"/>
      <Part Type="punktas" Nr="8" Abbr="8 p." DocPartId="eb322e70ac424ebf9c36fbdab6d1842d" PartId="f2b989d8952f4b5cbb28ecb3c821a554"/>
      <Part Type="punktas" Nr="9" Abbr="9 p." DocPartId="566d532af8af41f8813d58d2b9b4386c" PartId="543248c0032946e28f3f275cb2658834"/>
      <Part Type="punktas" Nr="10" Abbr="10 p." DocPartId="74c5ef51cf314bff8e562d4eb960c4c4" PartId="9ec1c49d58b84ab29f782ce69337fe1e"/>
      <Part Type="punktas" Nr="11" Abbr="11 p." DocPartId="6bb14a9596eb45b48c120fba7b2e20a0" PartId="44ed7e7a7b7f4ac08d7bb606c6ea07de"/>
      <Part Type="punktas" Nr="12" Abbr="12 p." DocPartId="563ac36d337a45f698c56a03917a1e26" PartId="e2e7fca3b4954f798edca3896face423"/>
      <Part Type="punktas" Nr="13" Abbr="13 p." DocPartId="ca6f4bcc8bc24896bf4be95326765c49" PartId="d14a9b4247b34f729808f60cff4e5133"/>
      <Part Type="punktas" Nr="14" Abbr="14 p." DocPartId="d7bcbf983e334a6d869403507a8edb15" PartId="fe13f19a3f5f40d2a07d846335b26daf"/>
      <Part Type="punktas" Nr="15" Abbr="15 p." DocPartId="6138d79d9701454f982c035bef4246d1" PartId="2e579a9d95d94e99a73cae184660f0d3"/>
      <Part Type="punktas" Nr="16" Abbr="16 p." DocPartId="7d5bc017eb254e99a32d48ac5fadf347" PartId="97b275aaa0f34ca2929a80c06ac459e8"/>
      <Part Type="punktas" Nr="17" Abbr="17 p." DocPartId="00592e4ab49244b29f70ef067f2cbe86" PartId="69c8e9b1fd454dd1b3ea3056c5891313"/>
    </Part>
    <Part Type="pabaiga" Nr="" Title="" DocPartId="2f365df77bdd435b93b781a748480cef" PartId="028ae00bf6c949c3b4cb742c41d62133"/>
  </Part>
  <Part Type="priedas" Nr="1" Abbr="1 pr." Title="PATIKSLINTOS RIBINĖS VERTĖS (RVp) POLICIKLINIAMS AROMATINIAMS ANGLIAVANDENILIAMS NUSTATYTI NAUDOJAMI KOEFICIENTAI" DocPartId="837b994832b840f192c722087ab19e90" PartId="1237d8eaf7944337b17b16dde5dcdbb4"/>
  <Part Type="priedas" Nr="2" Abbr="2 pr." Title="PATIKSLINTOS RIBINĖS VERTĖS (RVp) SUNKIESIEMS METALAMS NUSTATYTI NAUDOJAMI KOEFICIENTAI" DocPartId="cdfaf8e77a224255acc1ba2dd5461dc7" PartId="607da6ee3c34460c8adc9587e5718ed7"/>
  <Part Type="priedas" Nr="5" Abbr="5 pr." Title="DOKUMENTŲ, PANAUDOTŲ RENGIANT HIGIENOS NORMĄ HN 60:2004, SĄRAŠAS" DocPartId="c476a98ce0cd47f19492e50da967ef5a" PartId="bdd46552187f4599be0ded748ae1c888"/>
</Parts>
</file>

<file path=customXml/itemProps1.xml><?xml version="1.0" encoding="utf-8"?>
<ds:datastoreItem xmlns:ds="http://schemas.openxmlformats.org/officeDocument/2006/customXml" ds:itemID="{F1B0250A-3F97-419D-8FDC-38EA3CFFDA0E}">
  <ds:schemaRefs>
    <ds:schemaRef ds:uri="http://lrs.lt/TAIS/DocParts"/>
  </ds:schemaRefs>
</ds:datastoreItem>
</file>

<file path=docProps/app.xml><?xml version="1.0" encoding="utf-8"?>
<Properties xmlns="http://schemas.openxmlformats.org/officeDocument/2006/extended-properties">
  <Template>Normal.dotm</Template>
  <TotalTime>3</TotalTime>
  <Pages>19</Pages>
  <Words>22891</Words>
  <Characters>13048</Characters>
  <Application>Microsoft Office Word</Application>
  <DocSecurity>0</DocSecurity>
  <Lines>108</Lines>
  <Paragraphs>71</Paragraphs>
  <ScaleCrop>false</ScaleCrop>
  <Company/>
  <LinksUpToDate>false</LinksUpToDate>
  <CharactersWithSpaces>35868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2015-10-08T02:51:00Z</dcterms:created>
  <dc:creator>User</dc:creator>
  <lastModifiedBy>PETRAUSKAITĖ Girmantė</lastModifiedBy>
  <dcterms:modified xsi:type="dcterms:W3CDTF">2016-01-11T10:30:00Z</dcterms:modified>
  <revision>4</revision>
</coreProperties>
</file>