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9acdf762882460ebe60aafb4fd93262"/>
        <w:lock w:val="sdtLocked"/>
        <w:richText/>
      </w:sdtPr>
      <w:sdtContent>
        <w:p>
          <w:pPr>
            <w:jc w:val="both"/>
            <w:rPr>
              <w:rFonts w:ascii="Times New Roman" w:hAnsi="Times New Roman"/>
            </w:rPr>
          </w:pPr>
          <w:r>
            <w:rPr>
              <w:rFonts w:ascii="Times New Roman" w:hAnsi="Times New Roman"/>
              <w:b/>
              <w:i/>
            </w:rPr>
            <w:t>Suvestinė redakcija nuo 2013-04-11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DCF1693CD2FF">
            <w:r w:rsidRPr="00532B9F">
              <w:rPr>
                <w:rFonts w:ascii="Times New Roman" w:eastAsia="MS Mincho" w:hAnsi="Times New Roman"/>
                <w:sz w:val="20"/>
                <w:i/>
                <w:iCs/>
                <w:color w:val="0000FF" w:themeColor="hyperlink"/>
                <w:u w:val="single"/>
              </w:rPr>
              <w:t>27-867</w:t>
            </w:r>
          </w:fldSimple>
          <w:r>
            <w:rPr>
              <w:rFonts w:ascii="Times New Roman" w:eastAsia="MS Mincho" w:hAnsi="Times New Roman"/>
              <w:sz w:val="20"/>
              <w:i/>
              <w:iCs/>
            </w:rPr>
            <w:t>, i. k. 10410LKNUTA0N-2(91)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4568AF0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color w:val="000000"/>
            </w:rPr>
            <w:t>VALSTYBINĖ LIETUVIŲ KALBOS KOMISIJA</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ĮMONIŲ, ĮSTAIGŲ IR ORGANIZACIJŲ SIMBOLINIŲ PAVADINIMŲ DARYMO TAISYKLIŲ PATVIRTINIMO</w:t>
          </w:r>
        </w:p>
        <w:p>
          <w:pPr>
            <w:jc w:val="center"/>
            <w:rPr>
              <w:color w:val="000000"/>
            </w:rPr>
          </w:pPr>
        </w:p>
        <w:p>
          <w:pPr>
            <w:jc w:val="center"/>
            <w:rPr>
              <w:color w:val="000000"/>
            </w:rPr>
          </w:pPr>
          <w:r>
            <w:rPr>
              <w:color w:val="000000"/>
            </w:rPr>
            <w:t>2004 m. vasario 2 d. Nr. N-2(91)</w:t>
          </w:r>
        </w:p>
        <w:p>
          <w:pPr>
            <w:jc w:val="center"/>
            <w:rPr>
              <w:color w:val="000000"/>
            </w:rPr>
          </w:pPr>
          <w:r>
            <w:rPr>
              <w:color w:val="000000"/>
            </w:rPr>
            <w:t>Vilnius</w:t>
          </w:r>
        </w:p>
        <w:p>
          <w:pPr>
            <w:ind w:firstLine="709"/>
            <w:jc w:val="both"/>
            <w:rPr>
              <w:color w:val="000000"/>
            </w:rPr>
          </w:pPr>
        </w:p>
        <w:sdt>
          <w:sdtPr>
            <w:alias w:val="preambule"/>
            <w:tag w:val="part_8ab780c513c6476ca8bda7be61c36fdc"/>
            <w:lock w:val="sdtLocked"/>
            <w:richText/>
          </w:sdtPr>
          <w:sdtContent>
            <w:p>
              <w:pPr>
                <w:ind w:firstLine="709"/>
                <w:jc w:val="both"/>
                <w:rPr>
                  <w:color w:val="000000"/>
                </w:rPr>
              </w:pPr>
              <w:r>
                <w:rPr>
                  <w:color w:val="000000"/>
                  <w:szCs w:val="22"/>
                </w:rPr>
                <w:t xml:space="preserve">Vadovaudamasi Lietuvos Respublikos valstybinės kalbos įstatymo (Žin., 1995, Nr. </w:t>
              </w:r>
              <w:hyperlink r:id="rId17" w:tgtFrame="_blank" w:history="1">
                <w:r>
                  <w:rPr>
                    <w:color w:val="0000FF" w:themeColor="hyperlink"/>
                    <w:szCs w:val="22"/>
                    <w:u w:val="single"/>
                  </w:rPr>
                  <w:t>15-344</w:t>
                </w:r>
              </w:hyperlink>
              <w:r>
                <w:rPr>
                  <w:color w:val="000000"/>
                  <w:szCs w:val="22"/>
                </w:rPr>
                <w:t xml:space="preserve">; 2002, Nr. </w:t>
              </w:r>
              <w:hyperlink r:id="rId18" w:tgtFrame="_blank" w:history="1">
                <w:r>
                  <w:rPr>
                    <w:color w:val="0000FF" w:themeColor="hyperlink"/>
                    <w:szCs w:val="22"/>
                    <w:u w:val="single"/>
                  </w:rPr>
                  <w:t>68-2760</w:t>
                </w:r>
              </w:hyperlink>
              <w:r>
                <w:rPr>
                  <w:color w:val="000000"/>
                  <w:szCs w:val="22"/>
                </w:rPr>
                <w:t xml:space="preserve">) 16 straipsniu, Valstybinė lietuvių kalbos komisija </w:t>
              </w:r>
              <w:r>
                <w:rPr>
                  <w:color w:val="000000"/>
                  <w:spacing w:val="60"/>
                  <w:szCs w:val="22"/>
                </w:rPr>
                <w:t>nutari</w:t>
              </w:r>
              <w:r>
                <w:rPr>
                  <w:color w:val="000000"/>
                  <w:szCs w:val="22"/>
                </w:rPr>
                <w:t>a:</w:t>
              </w:r>
            </w:p>
          </w:sdtContent>
        </w:sdt>
        <w:sdt>
          <w:sdtPr>
            <w:alias w:val="1 p."/>
            <w:tag w:val="part_a6f5fb34894d4cc0ab10734859bd9716"/>
            <w:lock w:val="sdtLocked"/>
            <w:richText/>
          </w:sdtPr>
          <w:sdtContent>
            <w:p>
              <w:pPr>
                <w:ind w:firstLine="709"/>
                <w:jc w:val="both"/>
                <w:rPr>
                  <w:color w:val="000000"/>
                </w:rPr>
              </w:pPr>
              <w:sdt>
                <w:sdtPr>
                  <w:alias w:val="Numeris"/>
                  <w:tag w:val="nr_a6f5fb34894d4cc0ab10734859bd9716"/>
                  <w:lock w:val="sdtLocked"/>
                  <w:richText/>
                </w:sdtPr>
                <w:sdtContent>
                  <w:r>
                    <w:rPr>
                      <w:color w:val="000000"/>
                      <w:szCs w:val="22"/>
                    </w:rPr>
                    <w:t>1</w:t>
                  </w:r>
                </w:sdtContent>
              </w:sdt>
              <w:r>
                <w:rPr>
                  <w:color w:val="000000"/>
                  <w:szCs w:val="22"/>
                </w:rPr>
                <w:t>. Patvirtinti Įmonių, įstaigų ir organizacijų simbolinių pavadinimų darymo taisykles (pridedama).</w:t>
              </w:r>
            </w:p>
          </w:sdtContent>
        </w:sdt>
        <w:sdt>
          <w:sdtPr>
            <w:alias w:val="2 p."/>
            <w:tag w:val="part_c97548093c5348da9cf69bc51c9c38ff"/>
            <w:lock w:val="sdtLocked"/>
            <w:richText/>
          </w:sdtPr>
          <w:sdtContent>
            <w:p>
              <w:pPr>
                <w:ind w:firstLine="709"/>
                <w:jc w:val="both"/>
                <w:rPr>
                  <w:color w:val="000000"/>
                </w:rPr>
              </w:pPr>
              <w:sdt>
                <w:sdtPr>
                  <w:alias w:val="Numeris"/>
                  <w:tag w:val="nr_c97548093c5348da9cf69bc51c9c38ff"/>
                  <w:lock w:val="sdtLocked"/>
                  <w:richText/>
                </w:sdtPr>
                <w:sdtContent>
                  <w:r>
                    <w:rPr>
                      <w:color w:val="000000"/>
                      <w:szCs w:val="22"/>
                    </w:rPr>
                    <w:t>2</w:t>
                  </w:r>
                </w:sdtContent>
              </w:sdt>
              <w:r>
                <w:rPr>
                  <w:color w:val="000000"/>
                  <w:szCs w:val="22"/>
                </w:rPr>
                <w:t>. Pripažinti netekusiais galios:</w:t>
              </w:r>
            </w:p>
            <w:sdt>
              <w:sdtPr>
                <w:alias w:val="2.1 p."/>
                <w:tag w:val="part_b345feb3fc5b4379ba8b71fe95d31011"/>
                <w:lock w:val="sdtLocked"/>
                <w:richText/>
              </w:sdtPr>
              <w:sdtContent>
                <w:p>
                  <w:pPr>
                    <w:ind w:firstLine="709"/>
                    <w:jc w:val="both"/>
                    <w:rPr>
                      <w:color w:val="000000"/>
                    </w:rPr>
                  </w:pPr>
                  <w:sdt>
                    <w:sdtPr>
                      <w:alias w:val="Numeris"/>
                      <w:tag w:val="nr_b345feb3fc5b4379ba8b71fe95d31011"/>
                      <w:lock w:val="sdtLocked"/>
                      <w:richText/>
                    </w:sdtPr>
                    <w:sdtContent>
                      <w:r>
                        <w:rPr>
                          <w:color w:val="000000"/>
                          <w:szCs w:val="22"/>
                        </w:rPr>
                        <w:t>2.1</w:t>
                      </w:r>
                    </w:sdtContent>
                  </w:sdt>
                  <w:r>
                    <w:rPr>
                      <w:color w:val="000000"/>
                      <w:szCs w:val="22"/>
                    </w:rPr>
                    <w:t xml:space="preserve">. Valstybinės lietuvių kalbos komisijos prie Lietuvos Respublikos Seimo 1997 m. lapkričio 13 d. nutarimą Nr. 64 „Dėl Valstybinės lietuvių kalbos komisijos prie Lietuvos Respublikos Aukščiausiosios Tarybos Prezidiumo 1992 m. balandžio 30 d. nutarimo Nr. 35 „Dėl firmų vardų“ pakeitimo“ (Žin., 1997, Nr. </w:t>
                  </w:r>
                  <w:hyperlink r:id="rId19" w:tgtFrame="_blank" w:history="1">
                    <w:r>
                      <w:rPr>
                        <w:color w:val="0000FF" w:themeColor="hyperlink"/>
                        <w:szCs w:val="22"/>
                        <w:u w:val="single"/>
                      </w:rPr>
                      <w:t>107-2711</w:t>
                    </w:r>
                  </w:hyperlink>
                  <w:r>
                    <w:rPr>
                      <w:color w:val="000000"/>
                      <w:szCs w:val="22"/>
                    </w:rPr>
                    <w:t>).</w:t>
                  </w:r>
                </w:p>
              </w:sdtContent>
            </w:sdt>
            <w:sdt>
              <w:sdtPr>
                <w:alias w:val="2.2 p."/>
                <w:tag w:val="part_da4d6816a5754a458f3627ae51a37c8d"/>
                <w:lock w:val="sdtLocked"/>
                <w:richText/>
              </w:sdtPr>
              <w:sdtContent>
                <w:p>
                  <w:pPr>
                    <w:ind w:firstLine="709"/>
                    <w:jc w:val="both"/>
                    <w:rPr>
                      <w:color w:val="000000"/>
                    </w:rPr>
                  </w:pPr>
                  <w:sdt>
                    <w:sdtPr>
                      <w:alias w:val="Numeris"/>
                      <w:tag w:val="nr_da4d6816a5754a458f3627ae51a37c8d"/>
                      <w:lock w:val="sdtLocked"/>
                      <w:richText/>
                    </w:sdtPr>
                    <w:sdtContent>
                      <w:r>
                        <w:rPr>
                          <w:color w:val="000000"/>
                          <w:szCs w:val="22"/>
                        </w:rPr>
                        <w:t>2.2</w:t>
                      </w:r>
                    </w:sdtContent>
                  </w:sdt>
                  <w:r>
                    <w:rPr>
                      <w:color w:val="000000"/>
                      <w:szCs w:val="22"/>
                    </w:rPr>
                    <w:t xml:space="preserve">. Valstybinės lietuvių kalbos komisijos 2002 m. birželio 27 d. nutarimą Nr. 3(83) „Dėl Valstybinės lietuvių kalbos komisijos prie Lietuvos Respublikos Seimo 1992 m. balandžio 30 d. nutarimo Nr. 35 „Dėl firmų vardų“ pakeitimo“ (Žin., 2002, Nr. </w:t>
                  </w:r>
                  <w:hyperlink r:id="rId20" w:tgtFrame="_blank" w:history="1">
                    <w:r>
                      <w:rPr>
                        <w:color w:val="0000FF" w:themeColor="hyperlink"/>
                        <w:szCs w:val="22"/>
                        <w:u w:val="single"/>
                      </w:rPr>
                      <w:t>70-2955</w:t>
                    </w:r>
                  </w:hyperlink>
                  <w:r>
                    <w:rPr>
                      <w:color w:val="000000"/>
                      <w:szCs w:val="22"/>
                    </w:rPr>
                    <w:t>).</w:t>
                  </w:r>
                </w:p>
              </w:sdtContent>
            </w:sdt>
            <w:sdt>
              <w:sdtPr>
                <w:alias w:val="2.3 p."/>
                <w:tag w:val="part_c3dfa6416cb44aa3aed1b611b8bf2fad"/>
                <w:lock w:val="sdtLocked"/>
                <w:richText/>
              </w:sdtPr>
              <w:sdtContent>
                <w:p>
                  <w:pPr>
                    <w:ind w:firstLine="709"/>
                    <w:jc w:val="both"/>
                    <w:rPr>
                      <w:color w:val="000000"/>
                    </w:rPr>
                  </w:pPr>
                  <w:sdt>
                    <w:sdtPr>
                      <w:alias w:val="Numeris"/>
                      <w:tag w:val="nr_c3dfa6416cb44aa3aed1b611b8bf2fad"/>
                      <w:lock w:val="sdtLocked"/>
                      <w:richText/>
                    </w:sdtPr>
                    <w:sdtContent>
                      <w:r>
                        <w:rPr>
                          <w:color w:val="000000"/>
                          <w:szCs w:val="22"/>
                        </w:rPr>
                        <w:t>2.3</w:t>
                      </w:r>
                    </w:sdtContent>
                  </w:sdt>
                  <w:r>
                    <w:rPr>
                      <w:color w:val="000000"/>
                      <w:szCs w:val="22"/>
                    </w:rPr>
                    <w:t xml:space="preserve">. Valstybinės lietuvių kalbos komisijos prie Lietuvos Respublikos Seimo 1995 m. gegužės 25 d. nutarimą Nr. 50 „Dėl pavadinimų gimininių žodžių vartojimo ir rašymo“ (Žin., 1995, Nr. </w:t>
                  </w:r>
                  <w:hyperlink r:id="rId21" w:tgtFrame="_blank" w:history="1">
                    <w:r>
                      <w:rPr>
                        <w:color w:val="0000FF" w:themeColor="hyperlink"/>
                        <w:szCs w:val="22"/>
                        <w:u w:val="single"/>
                      </w:rPr>
                      <w:t>49-1225</w:t>
                    </w:r>
                  </w:hyperlink>
                  <w:r>
                    <w:rPr>
                      <w:color w:val="000000"/>
                      <w:szCs w:val="22"/>
                    </w:rPr>
                    <w:t>).</w:t>
                  </w:r>
                </w:p>
              </w:sdtContent>
            </w:sdt>
            <w:sdt>
              <w:sdtPr>
                <w:alias w:val="2.4 p."/>
                <w:tag w:val="part_3c278c0bfcbf4538be39c4ceb7dfd214"/>
                <w:lock w:val="sdtLocked"/>
                <w:richText/>
              </w:sdtPr>
              <w:sdtContent>
                <w:p>
                  <w:pPr>
                    <w:ind w:firstLine="709"/>
                    <w:jc w:val="both"/>
                    <w:rPr>
                      <w:color w:val="000000"/>
                    </w:rPr>
                  </w:pPr>
                  <w:sdt>
                    <w:sdtPr>
                      <w:alias w:val="Numeris"/>
                      <w:tag w:val="nr_3c278c0bfcbf4538be39c4ceb7dfd214"/>
                      <w:lock w:val="sdtLocked"/>
                      <w:richText/>
                    </w:sdtPr>
                    <w:sdtContent>
                      <w:r>
                        <w:rPr>
                          <w:color w:val="000000"/>
                          <w:szCs w:val="22"/>
                        </w:rPr>
                        <w:t>2.4</w:t>
                      </w:r>
                    </w:sdtContent>
                  </w:sdt>
                  <w:r>
                    <w:rPr>
                      <w:color w:val="000000"/>
                      <w:szCs w:val="22"/>
                    </w:rPr>
                    <w:t xml:space="preserve">. Valstybinės lietuvių kalbos komisijos prie Lietuvos Respublikos Seimo 1997 m. lapkričio 13 d. nutarimą Nr. 65 „Dėl Valstybinės lietuvių kalbos komisijos prie Lietuvos Respublikos Seimo 1995 m. gegužės 25 d. nutarimo Nr. 50 „Dėl pavadinimų gimininių žodžių vartojimo ir rašymo“ pakeitimo“ (Žin., 1997, Nr. </w:t>
                  </w:r>
                  <w:hyperlink r:id="rId22" w:tgtFrame="_blank" w:history="1">
                    <w:r>
                      <w:rPr>
                        <w:color w:val="0000FF" w:themeColor="hyperlink"/>
                        <w:szCs w:val="22"/>
                        <w:u w:val="single"/>
                      </w:rPr>
                      <w:t>107-2712</w:t>
                    </w:r>
                  </w:hyperlink>
                  <w:r>
                    <w:rPr>
                      <w:color w:val="000000"/>
                      <w:szCs w:val="22"/>
                    </w:rPr>
                    <w:t>).</w:t>
                  </w:r>
                </w:p>
              </w:sdtContent>
            </w:sdt>
          </w:sdtContent>
        </w:sdt>
        <w:sdt>
          <w:sdtPr>
            <w:alias w:val="signatura"/>
            <w:tag w:val="part_1b53d4612423455db6a5487f59a2f2e7"/>
            <w:lock w:val="sdtLocked"/>
            <w:richText/>
          </w:sdtPr>
          <w:sdtContent>
            <w:p>
              <w:pPr>
                <w:tabs>
                  <w:tab w:val="right" w:pos="9639"/>
                </w:tabs>
              </w:pPr>
            </w:p>
            <w:p>
              <w:pPr>
                <w:tabs>
                  <w:tab w:val="right" w:pos="9639"/>
                </w:tabs>
                <w:rPr>
                  <w:color w:val="000000"/>
                  <w:szCs w:val="22"/>
                </w:rPr>
              </w:pPr>
              <w:r>
                <w:rPr>
                  <w:caps/>
                </w:rPr>
                <w:t>KOMISIJOS PIRMININKĖ</w:t>
                <w:tab/>
                <w:t>IRENA SMETONIENĖ</w:t>
              </w:r>
            </w:p>
          </w:sdtContent>
        </w:sdt>
      </w:sdtContent>
    </w:sdt>
    <w:sdt>
      <w:sdtPr>
        <w:alias w:val="patvirtinta"/>
        <w:tag w:val="part_11e72b6a4fbe4d72a6932ed7bb7d47af"/>
        <w:lock w:val="sdtLocked"/>
        <w:richText/>
      </w:sdtPr>
      <w:sdtContent>
        <w:p>
          <w:pPr>
            <w:ind w:left="5103"/>
            <w:rPr>
              <w:color w:val="000000"/>
            </w:rPr>
          </w:pPr>
          <w:r>
            <w:rPr>
              <w:color w:val="000000"/>
              <w:szCs w:val="22"/>
            </w:rPr>
            <w:br w:type="page"/>
            <w:t>PATVIRTINTA</w:t>
          </w:r>
        </w:p>
        <w:p>
          <w:pPr>
            <w:ind w:left="5103"/>
            <w:rPr>
              <w:color w:val="000000"/>
            </w:rPr>
          </w:pPr>
          <w:r>
            <w:rPr>
              <w:color w:val="000000"/>
              <w:szCs w:val="22"/>
            </w:rPr>
            <w:t>Valstybinės lietuvių kalbos komisijos</w:t>
          </w:r>
        </w:p>
        <w:p>
          <w:pPr>
            <w:ind w:left="5103"/>
            <w:rPr>
              <w:color w:val="000000"/>
            </w:rPr>
          </w:pPr>
          <w:r>
            <w:rPr>
              <w:color w:val="000000"/>
              <w:szCs w:val="22"/>
            </w:rPr>
            <w:t>2004 m. vasario 2 d. nutarimu Nr. N-2(91)</w:t>
          </w:r>
        </w:p>
        <w:p>
          <w:pPr>
            <w:ind w:firstLine="709"/>
            <w:jc w:val="both"/>
            <w:rPr>
              <w:color w:val="000000"/>
            </w:rPr>
          </w:pPr>
        </w:p>
        <w:p>
          <w:pPr>
            <w:jc w:val="center"/>
            <w:rPr>
              <w:b/>
              <w:bCs/>
              <w:caps/>
              <w:color w:val="000000"/>
            </w:rPr>
          </w:pPr>
          <w:sdt>
            <w:sdtPr>
              <w:alias w:val="Pavadinimas"/>
              <w:tag w:val="title_11e72b6a4fbe4d72a6932ed7bb7d47af"/>
              <w:lock w:val="sdtLocked"/>
              <w:richText/>
            </w:sdtPr>
            <w:sdtContent>
              <w:r>
                <w:rPr>
                  <w:b/>
                  <w:bCs/>
                  <w:caps/>
                  <w:color w:val="000000"/>
                  <w:szCs w:val="22"/>
                </w:rPr>
                <w:t>ĮMONIŲ, ĮSTAIGŲ IR ORGANIZACIJŲ SIMBOLINIŲ PAVADINIMŲ DARYMO TAISYKLĖS</w:t>
              </w:r>
            </w:sdtContent>
          </w:sdt>
        </w:p>
        <w:p>
          <w:pPr>
            <w:jc w:val="center"/>
            <w:rPr>
              <w:b/>
              <w:bCs/>
              <w:caps/>
              <w:color w:val="000000"/>
            </w:rPr>
          </w:pPr>
        </w:p>
        <w:sdt>
          <w:sdtPr>
            <w:alias w:val="skyrius"/>
            <w:tag w:val="part_8290a687633149d8952722ac655a5db9"/>
            <w:lock w:val="sdtLocked"/>
            <w:richText/>
          </w:sdtPr>
          <w:sdtContent>
            <w:p>
              <w:pPr>
                <w:jc w:val="center"/>
                <w:rPr>
                  <w:b/>
                  <w:bCs/>
                  <w:caps/>
                  <w:color w:val="000000"/>
                </w:rPr>
              </w:pPr>
              <w:sdt>
                <w:sdtPr>
                  <w:alias w:val="Numeris"/>
                  <w:tag w:val="nr_8290a687633149d8952722ac655a5db9"/>
                  <w:lock w:val="sdtLocked"/>
                  <w:richText/>
                </w:sdtPr>
                <w:sdtContent>
                  <w:r>
                    <w:rPr>
                      <w:b/>
                      <w:bCs/>
                      <w:caps/>
                      <w:color w:val="000000"/>
                      <w:szCs w:val="22"/>
                    </w:rPr>
                    <w:t>I</w:t>
                  </w:r>
                </w:sdtContent>
              </w:sdt>
              <w:r>
                <w:rPr>
                  <w:b/>
                  <w:bCs/>
                  <w:caps/>
                  <w:color w:val="000000"/>
                  <w:szCs w:val="22"/>
                </w:rPr>
                <w:t xml:space="preserve">. </w:t>
              </w:r>
              <w:sdt>
                <w:sdtPr>
                  <w:alias w:val="Pavadinimas"/>
                  <w:tag w:val="title_8290a687633149d8952722ac655a5db9"/>
                  <w:lock w:val="sdtLocked"/>
                  <w:richText/>
                </w:sdtPr>
                <w:sdtContent>
                  <w:r>
                    <w:rPr>
                      <w:b/>
                      <w:bCs/>
                      <w:caps/>
                      <w:color w:val="000000"/>
                      <w:szCs w:val="22"/>
                    </w:rPr>
                    <w:t>BENDROSIOS NUOSTATOS</w:t>
                  </w:r>
                </w:sdtContent>
              </w:sdt>
            </w:p>
            <w:p>
              <w:pPr>
                <w:ind w:firstLine="709"/>
                <w:jc w:val="both"/>
                <w:rPr>
                  <w:color w:val="000000"/>
                </w:rPr>
              </w:pPr>
            </w:p>
            <w:sdt>
              <w:sdtPr>
                <w:alias w:val="1 p."/>
                <w:tag w:val="part_3e7f2d861cd74c518021eea9d39f863f"/>
                <w:lock w:val="sdtLocked"/>
                <w:richText/>
              </w:sdtPr>
              <w:sdtContent>
                <w:p>
                  <w:pPr>
                    <w:ind w:firstLine="709"/>
                    <w:jc w:val="both"/>
                    <w:rPr>
                      <w:color w:val="000000"/>
                    </w:rPr>
                  </w:pPr>
                  <w:sdt>
                    <w:sdtPr>
                      <w:alias w:val="Numeris"/>
                      <w:tag w:val="nr_3e7f2d861cd74c518021eea9d39f863f"/>
                      <w:lock w:val="sdtLocked"/>
                      <w:richText/>
                    </w:sdtPr>
                    <w:sdtContent>
                      <w:r>
                        <w:rPr>
                          <w:color w:val="000000"/>
                          <w:szCs w:val="22"/>
                        </w:rPr>
                        <w:t>1</w:t>
                      </w:r>
                    </w:sdtContent>
                  </w:sdt>
                  <w:r>
                    <w:rPr>
                      <w:color w:val="000000"/>
                      <w:szCs w:val="22"/>
                    </w:rPr>
                    <w:t>. Šios taisyklės reglamentuoja Lietuvos Respublikoje steigiamų įmonių, įstaigų ir organizacijų bei jų filialų simbolinių pavadinimų darymą ir rašymą.</w:t>
                  </w:r>
                </w:p>
              </w:sdtContent>
            </w:sdt>
            <w:sdt>
              <w:sdtPr>
                <w:alias w:val="2 p."/>
                <w:tag w:val="part_5eb13a21a5dd47359df0080778ae2503"/>
                <w:lock w:val="sdtLocked"/>
                <w:richText/>
              </w:sdtPr>
              <w:sdtContent>
                <w:p>
                  <w:pPr>
                    <w:ind w:firstLine="709"/>
                    <w:jc w:val="both"/>
                    <w:rPr>
                      <w:color w:val="000000"/>
                    </w:rPr>
                  </w:pPr>
                  <w:sdt>
                    <w:sdtPr>
                      <w:alias w:val="Numeris"/>
                      <w:tag w:val="nr_5eb13a21a5dd47359df0080778ae2503"/>
                      <w:lock w:val="sdtLocked"/>
                      <w:richText/>
                    </w:sdtPr>
                    <w:sdtContent>
                      <w:r>
                        <w:rPr>
                          <w:color w:val="000000"/>
                          <w:szCs w:val="22"/>
                        </w:rPr>
                        <w:t>2</w:t>
                      </w:r>
                    </w:sdtContent>
                  </w:sdt>
                  <w:r>
                    <w:rPr>
                      <w:color w:val="000000"/>
                      <w:szCs w:val="22"/>
                    </w:rPr>
                    <w:t>. Simboliniai pavadinimai daromi iš žodžių ar žodžių junginių, vartojamų perkeltine reikšme.</w:t>
                  </w:r>
                </w:p>
              </w:sdtContent>
            </w:sdt>
            <w:sdt>
              <w:sdtPr>
                <w:alias w:val="3 p."/>
                <w:tag w:val="part_b9105d574e0d47c69a678a89907dc84a"/>
                <w:lock w:val="sdtLocked"/>
                <w:richText/>
              </w:sdtPr>
              <w:sdtContent>
                <w:p>
                  <w:pPr>
                    <w:ind w:firstLine="709"/>
                    <w:jc w:val="both"/>
                    <w:rPr>
                      <w:color w:val="000000"/>
                    </w:rPr>
                  </w:pPr>
                  <w:sdt>
                    <w:sdtPr>
                      <w:alias w:val="Numeris"/>
                      <w:tag w:val="nr_b9105d574e0d47c69a678a89907dc84a"/>
                      <w:lock w:val="sdtLocked"/>
                      <w:richText/>
                    </w:sdtPr>
                    <w:sdtContent>
                      <w:r>
                        <w:rPr>
                          <w:color w:val="000000"/>
                          <w:szCs w:val="22"/>
                        </w:rPr>
                        <w:t>3</w:t>
                      </w:r>
                    </w:sdtContent>
                  </w:sdt>
                  <w:r>
                    <w:rPr>
                      <w:color w:val="000000"/>
                      <w:szCs w:val="22"/>
                    </w:rPr>
                    <w:t>. Įmonių, įstaigų ir organizacijų pavadinimams, daromiems iš žodžių ar žodžių junginių, turinčių tiesioginę reikšmę, taikomi kitais teisės aktais nustatyti darymo ir rašymo reikalavimai.</w:t>
                  </w:r>
                </w:p>
                <w:p>
                  <w:pPr>
                    <w:ind w:firstLine="709"/>
                    <w:jc w:val="both"/>
                    <w:rPr>
                      <w:color w:val="000000"/>
                    </w:rPr>
                  </w:pPr>
                </w:p>
              </w:sdtContent>
            </w:sdt>
          </w:sdtContent>
        </w:sdt>
        <w:sdt>
          <w:sdtPr>
            <w:alias w:val="skyrius"/>
            <w:tag w:val="part_bbdd6033c5054b1d8e8e9bd1675da336"/>
            <w:lock w:val="sdtLocked"/>
            <w:richText/>
          </w:sdtPr>
          <w:sdtContent>
            <w:p>
              <w:pPr>
                <w:jc w:val="center"/>
                <w:rPr>
                  <w:b/>
                  <w:bCs/>
                  <w:caps/>
                  <w:color w:val="000000"/>
                </w:rPr>
              </w:pPr>
              <w:sdt>
                <w:sdtPr>
                  <w:alias w:val="Numeris"/>
                  <w:tag w:val="nr_bbdd6033c5054b1d8e8e9bd1675da336"/>
                  <w:lock w:val="sdtLocked"/>
                  <w:richText/>
                </w:sdtPr>
                <w:sdtContent>
                  <w:r>
                    <w:rPr>
                      <w:b/>
                      <w:bCs/>
                      <w:caps/>
                      <w:color w:val="000000"/>
                      <w:szCs w:val="22"/>
                    </w:rPr>
                    <w:t>II</w:t>
                  </w:r>
                </w:sdtContent>
              </w:sdt>
              <w:r>
                <w:rPr>
                  <w:b/>
                  <w:bCs/>
                  <w:caps/>
                  <w:color w:val="000000"/>
                  <w:szCs w:val="22"/>
                </w:rPr>
                <w:t xml:space="preserve">. </w:t>
              </w:r>
              <w:sdt>
                <w:sdtPr>
                  <w:alias w:val="Pavadinimas"/>
                  <w:tag w:val="title_bbdd6033c5054b1d8e8e9bd1675da336"/>
                  <w:lock w:val="sdtLocked"/>
                  <w:richText/>
                </w:sdtPr>
                <w:sdtContent>
                  <w:r>
                    <w:rPr>
                      <w:b/>
                      <w:bCs/>
                      <w:caps/>
                      <w:color w:val="000000"/>
                      <w:szCs w:val="22"/>
                    </w:rPr>
                    <w:t>TEIKTINI SIMBOLINIAI PAVADINIMAI</w:t>
                  </w:r>
                </w:sdtContent>
              </w:sdt>
            </w:p>
            <w:p>
              <w:pPr>
                <w:ind w:firstLine="709"/>
                <w:jc w:val="both"/>
                <w:rPr>
                  <w:color w:val="000000"/>
                </w:rPr>
              </w:pPr>
            </w:p>
            <w:sdt>
              <w:sdtPr>
                <w:alias w:val="4 p."/>
                <w:tag w:val="part_ba9088001a3048ab94910ae9a4c97568"/>
                <w:lock w:val="sdtLocked"/>
                <w:richText/>
              </w:sdtPr>
              <w:sdtContent>
                <w:p>
                  <w:pPr>
                    <w:ind w:firstLine="709"/>
                    <w:jc w:val="both"/>
                    <w:rPr>
                      <w:color w:val="000000"/>
                    </w:rPr>
                  </w:pPr>
                  <w:sdt>
                    <w:sdtPr>
                      <w:alias w:val="Numeris"/>
                      <w:tag w:val="nr_ba9088001a3048ab94910ae9a4c97568"/>
                      <w:lock w:val="sdtLocked"/>
                      <w:richText/>
                    </w:sdtPr>
                    <w:sdtContent>
                      <w:r>
                        <w:rPr>
                          <w:color w:val="000000"/>
                          <w:szCs w:val="22"/>
                        </w:rPr>
                        <w:t>4</w:t>
                      </w:r>
                    </w:sdtContent>
                  </w:sdt>
                  <w:r>
                    <w:rPr>
                      <w:color w:val="000000"/>
                      <w:szCs w:val="22"/>
                    </w:rPr>
                    <w:t>. Simboliniais pavadinimais gali eiti bendrinėje lietuvių kalboje vartojami žodžiai ir tam tikri žodžių junginiai.</w:t>
                  </w:r>
                </w:p>
                <w:sdt>
                  <w:sdtPr>
                    <w:alias w:val="4.1 p."/>
                    <w:tag w:val="part_70afbfe0451d4d8f870808c463279cde"/>
                    <w:lock w:val="sdtLocked"/>
                    <w:richText/>
                  </w:sdtPr>
                  <w:sdtContent>
                    <w:p>
                      <w:pPr>
                        <w:ind w:firstLine="709"/>
                        <w:jc w:val="both"/>
                        <w:rPr>
                          <w:color w:val="000000"/>
                        </w:rPr>
                      </w:pPr>
                      <w:sdt>
                        <w:sdtPr>
                          <w:alias w:val="Numeris"/>
                          <w:tag w:val="nr_70afbfe0451d4d8f870808c463279cde"/>
                          <w:lock w:val="sdtLocked"/>
                          <w:richText/>
                        </w:sdtPr>
                        <w:sdtContent>
                          <w:r>
                            <w:rPr>
                              <w:color w:val="000000"/>
                              <w:szCs w:val="22"/>
                            </w:rPr>
                            <w:t>4.1</w:t>
                          </w:r>
                        </w:sdtContent>
                      </w:sdt>
                      <w:r>
                        <w:rPr>
                          <w:color w:val="000000"/>
                          <w:szCs w:val="22"/>
                        </w:rPr>
                        <w:t xml:space="preserve">. Vienažodžiai simboliniai pavadinimai gali būti daromi iš upių ar ežerų vardų, žmonių ir mitologinių vardų, augalų, gyvūnų, gamtos reiškinių pavadinimų ar kitokių daiktavardžių, pvz.: </w:t>
                      </w:r>
                      <w:r>
                        <w:rPr>
                          <w:i/>
                          <w:iCs/>
                          <w:color w:val="000000"/>
                          <w:szCs w:val="22"/>
                        </w:rPr>
                        <w:t xml:space="preserve">„Šešupė“, </w:t>
                      </w:r>
                      <w:r>
                        <w:rPr>
                          <w:color w:val="000000"/>
                          <w:szCs w:val="22"/>
                        </w:rPr>
                        <w:t>„</w:t>
                      </w:r>
                      <w:r>
                        <w:rPr>
                          <w:i/>
                          <w:iCs/>
                          <w:color w:val="000000"/>
                          <w:szCs w:val="22"/>
                        </w:rPr>
                        <w:t>Nijolė“, „Žemyna</w:t>
                      </w:r>
                      <w:r>
                        <w:rPr>
                          <w:color w:val="000000"/>
                          <w:szCs w:val="22"/>
                        </w:rPr>
                        <w:t xml:space="preserve">“, </w:t>
                      </w:r>
                      <w:r>
                        <w:rPr>
                          <w:i/>
                          <w:iCs/>
                          <w:color w:val="000000"/>
                          <w:szCs w:val="22"/>
                        </w:rPr>
                        <w:t>„Vėjopatis“, „Sedula“</w:t>
                      </w:r>
                      <w:r>
                        <w:rPr>
                          <w:color w:val="000000"/>
                          <w:szCs w:val="22"/>
                        </w:rPr>
                        <w:t xml:space="preserve">, </w:t>
                      </w:r>
                      <w:r>
                        <w:rPr>
                          <w:i/>
                          <w:iCs/>
                          <w:color w:val="000000"/>
                          <w:szCs w:val="22"/>
                        </w:rPr>
                        <w:t>„Stumbras“</w:t>
                      </w:r>
                      <w:r>
                        <w:rPr>
                          <w:color w:val="000000"/>
                          <w:szCs w:val="22"/>
                        </w:rPr>
                        <w:t xml:space="preserve">, </w:t>
                      </w:r>
                      <w:r>
                        <w:rPr>
                          <w:i/>
                          <w:iCs/>
                          <w:color w:val="000000"/>
                          <w:szCs w:val="22"/>
                        </w:rPr>
                        <w:t>„Nektaras“</w:t>
                      </w:r>
                      <w:r>
                        <w:rPr>
                          <w:color w:val="000000"/>
                          <w:szCs w:val="22"/>
                        </w:rPr>
                        <w:t xml:space="preserve">, </w:t>
                      </w:r>
                      <w:r>
                        <w:rPr>
                          <w:i/>
                          <w:iCs/>
                          <w:color w:val="000000"/>
                          <w:szCs w:val="22"/>
                        </w:rPr>
                        <w:t>„Aušra“</w:t>
                      </w:r>
                      <w:r>
                        <w:rPr>
                          <w:color w:val="000000"/>
                          <w:szCs w:val="22"/>
                        </w:rPr>
                        <w:t xml:space="preserve">, </w:t>
                      </w:r>
                      <w:r>
                        <w:rPr>
                          <w:i/>
                          <w:iCs/>
                          <w:color w:val="000000"/>
                          <w:szCs w:val="22"/>
                        </w:rPr>
                        <w:t>„Vasara“</w:t>
                      </w:r>
                      <w:r>
                        <w:rPr>
                          <w:color w:val="000000"/>
                          <w:szCs w:val="22"/>
                        </w:rPr>
                        <w:t xml:space="preserve">, </w:t>
                      </w:r>
                      <w:r>
                        <w:rPr>
                          <w:i/>
                          <w:iCs/>
                          <w:color w:val="000000"/>
                          <w:szCs w:val="22"/>
                        </w:rPr>
                        <w:t>„Kaitra“, „Forumas“, „Elektronas“, „Kometa“, „Klumpė“.</w:t>
                      </w:r>
                    </w:p>
                  </w:sdtContent>
                </w:sdt>
                <w:sdt>
                  <w:sdtPr>
                    <w:alias w:val="4.2 p."/>
                    <w:tag w:val="part_a897f7aaa422485b8ea00853d7eb0aca"/>
                    <w:lock w:val="sdtLocked"/>
                    <w:richText/>
                  </w:sdtPr>
                  <w:sdtContent>
                    <w:p>
                      <w:pPr>
                        <w:ind w:firstLine="709"/>
                        <w:jc w:val="both"/>
                        <w:rPr>
                          <w:color w:val="000000"/>
                        </w:rPr>
                      </w:pPr>
                      <w:sdt>
                        <w:sdtPr>
                          <w:alias w:val="Numeris"/>
                          <w:tag w:val="nr_a897f7aaa422485b8ea00853d7eb0aca"/>
                          <w:lock w:val="sdtLocked"/>
                          <w:richText/>
                        </w:sdtPr>
                        <w:sdtContent>
                          <w:r>
                            <w:rPr>
                              <w:color w:val="000000"/>
                              <w:szCs w:val="22"/>
                            </w:rPr>
                            <w:t>4.2</w:t>
                          </w:r>
                        </w:sdtContent>
                      </w:sdt>
                      <w:r>
                        <w:rPr>
                          <w:color w:val="000000"/>
                          <w:szCs w:val="22"/>
                        </w:rPr>
                        <w:t xml:space="preserve">. Simboliniai pavadinimai gali būti daromi iš daiktavardžių su pažyminiais – daiktavardžiais, būdvardžiais (paprastai įvardžiuotinės formos), skaitvardžiais, pvz.: </w:t>
                      </w:r>
                      <w:r>
                        <w:rPr>
                          <w:i/>
                          <w:iCs/>
                          <w:color w:val="000000"/>
                          <w:szCs w:val="22"/>
                        </w:rPr>
                        <w:t>„Lietuvos spauda“</w:t>
                      </w:r>
                      <w:r>
                        <w:rPr>
                          <w:color w:val="000000"/>
                          <w:szCs w:val="22"/>
                        </w:rPr>
                        <w:t xml:space="preserve">, </w:t>
                      </w:r>
                      <w:r>
                        <w:rPr>
                          <w:i/>
                          <w:iCs/>
                          <w:color w:val="000000"/>
                          <w:szCs w:val="22"/>
                        </w:rPr>
                        <w:t>„Nemuno baldai“, „Rokiškio pienas“, „Ūkininkų viltis“</w:t>
                      </w:r>
                      <w:r>
                        <w:rPr>
                          <w:color w:val="000000"/>
                          <w:szCs w:val="22"/>
                        </w:rPr>
                        <w:t>,</w:t>
                      </w:r>
                      <w:r>
                        <w:rPr>
                          <w:i/>
                          <w:iCs/>
                          <w:color w:val="000000"/>
                          <w:szCs w:val="22"/>
                        </w:rPr>
                        <w:t xml:space="preserve"> „Vilniaus prekyba“, „Turto investicijos“, „Baltoji lelija“, „Pirmoji kregždutė“, „Trys riešutėliai“</w:t>
                      </w:r>
                      <w:r>
                        <w:rPr>
                          <w:color w:val="000000"/>
                          <w:szCs w:val="22"/>
                        </w:rPr>
                        <w:t xml:space="preserve">. Pažyminiu einantys kiekiniai skaitvardžiai gali būti rašomi skaitmenimis, pvz.: </w:t>
                      </w:r>
                      <w:r>
                        <w:rPr>
                          <w:i/>
                          <w:iCs/>
                          <w:color w:val="000000"/>
                          <w:szCs w:val="22"/>
                        </w:rPr>
                        <w:t>„7 meno dienos“, „33 laipteliai“.</w:t>
                      </w:r>
                    </w:p>
                  </w:sdtContent>
                </w:sdt>
                <w:sdt>
                  <w:sdtPr>
                    <w:alias w:val="4.3 p."/>
                    <w:tag w:val="part_a2ae176f8043433999ec0995c3170ab4"/>
                    <w:lock w:val="sdtLocked"/>
                    <w:richText/>
                  </w:sdtPr>
                  <w:sdtContent>
                    <w:p>
                      <w:pPr>
                        <w:ind w:firstLine="709"/>
                        <w:jc w:val="both"/>
                        <w:rPr>
                          <w:color w:val="000000"/>
                        </w:rPr>
                      </w:pPr>
                      <w:sdt>
                        <w:sdtPr>
                          <w:alias w:val="Numeris"/>
                          <w:tag w:val="nr_a2ae176f8043433999ec0995c3170ab4"/>
                          <w:lock w:val="sdtLocked"/>
                          <w:richText/>
                        </w:sdtPr>
                        <w:sdtContent>
                          <w:r>
                            <w:rPr>
                              <w:color w:val="000000"/>
                              <w:szCs w:val="22"/>
                            </w:rPr>
                            <w:t>4.3</w:t>
                          </w:r>
                        </w:sdtContent>
                      </w:sdt>
                      <w:r>
                        <w:rPr>
                          <w:color w:val="000000"/>
                          <w:szCs w:val="22"/>
                        </w:rPr>
                        <w:t xml:space="preserve">. Simbolinius pavadinimus galima daryti iš nelinksniuojamų lietuvių kalbos žodžių, įvairių žodžių formų, daiktavardžių su prielinksniais ir kitokių prasmingų konstrukcijų, pvz.: </w:t>
                      </w:r>
                      <w:r>
                        <w:rPr>
                          <w:i/>
                          <w:iCs/>
                          <w:color w:val="000000"/>
                          <w:szCs w:val="22"/>
                        </w:rPr>
                        <w:t>„Iki“, „Ačiū“, „Užsuk“,</w:t>
                      </w:r>
                      <w:r>
                        <w:rPr>
                          <w:color w:val="000000"/>
                          <w:szCs w:val="22"/>
                        </w:rPr>
                        <w:t xml:space="preserve"> </w:t>
                      </w:r>
                      <w:r>
                        <w:rPr>
                          <w:i/>
                          <w:iCs/>
                          <w:color w:val="000000"/>
                          <w:szCs w:val="22"/>
                        </w:rPr>
                        <w:t>„Dviese“, „Šalia kelio“, „Prie universiteto“, „Tik tau“.</w:t>
                      </w:r>
                    </w:p>
                  </w:sdtContent>
                </w:sdt>
              </w:sdtContent>
            </w:sdt>
            <w:sdt>
              <w:sdtPr>
                <w:alias w:val="5 p."/>
                <w:tag w:val="part_8298e5a6e63c4a3eb35ba6b8a6b253bc"/>
                <w:lock w:val="sdtLocked"/>
                <w:richText/>
              </w:sdtPr>
              <w:sdtContent>
                <w:p>
                  <w:pPr>
                    <w:ind w:firstLine="709"/>
                    <w:jc w:val="both"/>
                    <w:rPr>
                      <w:color w:val="000000"/>
                    </w:rPr>
                  </w:pPr>
                  <w:sdt>
                    <w:sdtPr>
                      <w:alias w:val="Numeris"/>
                      <w:tag w:val="nr_8298e5a6e63c4a3eb35ba6b8a6b253bc"/>
                      <w:lock w:val="sdtLocked"/>
                      <w:richText/>
                    </w:sdtPr>
                    <w:sdtContent>
                      <w:r>
                        <w:rPr>
                          <w:color w:val="000000"/>
                          <w:szCs w:val="22"/>
                        </w:rPr>
                        <w:t>5</w:t>
                      </w:r>
                    </w:sdtContent>
                  </w:sdt>
                  <w:r>
                    <w:rPr>
                      <w:color w:val="000000"/>
                      <w:szCs w:val="22"/>
                    </w:rPr>
                    <w:t>. Galimi dirbtiniai simboliniai pavadinimai, gramatine sandara panašūs į lietuvių kalbos žodžius.</w:t>
                  </w:r>
                </w:p>
                <w:sdt>
                  <w:sdtPr>
                    <w:alias w:val="5.1 p."/>
                    <w:tag w:val="part_310b82e5d3b2425eadd212115f31d09b"/>
                    <w:lock w:val="sdtLocked"/>
                    <w:richText/>
                  </w:sdtPr>
                  <w:sdtContent>
                    <w:p>
                      <w:pPr>
                        <w:ind w:firstLine="709"/>
                        <w:jc w:val="both"/>
                        <w:rPr>
                          <w:color w:val="000000"/>
                        </w:rPr>
                      </w:pPr>
                      <w:sdt>
                        <w:sdtPr>
                          <w:alias w:val="Numeris"/>
                          <w:tag w:val="nr_310b82e5d3b2425eadd212115f31d09b"/>
                          <w:lock w:val="sdtLocked"/>
                          <w:richText/>
                        </w:sdtPr>
                        <w:sdtContent>
                          <w:r>
                            <w:rPr>
                              <w:color w:val="000000"/>
                              <w:szCs w:val="22"/>
                            </w:rPr>
                            <w:t>5.1</w:t>
                          </w:r>
                        </w:sdtContent>
                      </w:sdt>
                      <w:r>
                        <w:rPr>
                          <w:color w:val="000000"/>
                          <w:szCs w:val="22"/>
                        </w:rPr>
                        <w:t xml:space="preserve">. Dirbtiniai simboliniai pavadinimai gali būti daromi iš bendrinėje lietuvių kalboje vartojamų žodžių su įvairiomis priesagomis ar galūnėmis, pvz.: </w:t>
                      </w:r>
                      <w:r>
                        <w:rPr>
                          <w:i/>
                          <w:iCs/>
                          <w:color w:val="000000"/>
                          <w:szCs w:val="22"/>
                        </w:rPr>
                        <w:t>„Aukštuva“, „Rieduva“</w:t>
                      </w:r>
                      <w:r>
                        <w:rPr>
                          <w:color w:val="000000"/>
                          <w:szCs w:val="22"/>
                        </w:rPr>
                        <w:t xml:space="preserve">, </w:t>
                      </w:r>
                      <w:r>
                        <w:rPr>
                          <w:i/>
                          <w:iCs/>
                          <w:color w:val="000000"/>
                          <w:szCs w:val="22"/>
                        </w:rPr>
                        <w:t>„Grindukas“, „Alaušė“.</w:t>
                      </w:r>
                    </w:p>
                  </w:sdtContent>
                </w:sdt>
                <w:sdt>
                  <w:sdtPr>
                    <w:alias w:val="5.2 p."/>
                    <w:tag w:val="part_abf2b67f64344ce4a4dcea8f4eec14cc"/>
                    <w:lock w:val="sdtLocked"/>
                    <w:richText/>
                  </w:sdtPr>
                  <w:sdtContent>
                    <w:p>
                      <w:pPr>
                        <w:ind w:firstLine="709"/>
                        <w:jc w:val="both"/>
                        <w:rPr>
                          <w:color w:val="000000"/>
                        </w:rPr>
                      </w:pPr>
                      <w:sdt>
                        <w:sdtPr>
                          <w:alias w:val="Numeris"/>
                          <w:tag w:val="nr_abf2b67f64344ce4a4dcea8f4eec14cc"/>
                          <w:lock w:val="sdtLocked"/>
                          <w:richText/>
                        </w:sdtPr>
                        <w:sdtContent>
                          <w:r>
                            <w:rPr>
                              <w:color w:val="000000"/>
                              <w:szCs w:val="22"/>
                            </w:rPr>
                            <w:t>5.2</w:t>
                          </w:r>
                        </w:sdtContent>
                      </w:sdt>
                      <w:r>
                        <w:rPr>
                          <w:color w:val="000000"/>
                          <w:szCs w:val="22"/>
                        </w:rPr>
                        <w:t xml:space="preserve">. Galimi iš sutrumpinimų ar kitaip dirbtinai sudaryti ir lietuviškomis raidėmis rašomi simboliniai pavadinimai, kurių pabaiga atitinka lietuvišką galūnę, pvz.: </w:t>
                      </w:r>
                      <w:r>
                        <w:rPr>
                          <w:i/>
                          <w:iCs/>
                          <w:color w:val="000000"/>
                          <w:szCs w:val="22"/>
                        </w:rPr>
                        <w:t>„Eksma“</w:t>
                      </w:r>
                      <w:r>
                        <w:rPr>
                          <w:color w:val="000000"/>
                          <w:szCs w:val="22"/>
                        </w:rPr>
                        <w:t xml:space="preserve">, </w:t>
                      </w:r>
                      <w:r>
                        <w:rPr>
                          <w:i/>
                          <w:iCs/>
                          <w:color w:val="000000"/>
                          <w:szCs w:val="22"/>
                        </w:rPr>
                        <w:t>„Sodra“</w:t>
                      </w:r>
                      <w:r>
                        <w:rPr>
                          <w:color w:val="000000"/>
                          <w:szCs w:val="22"/>
                        </w:rPr>
                        <w:t xml:space="preserve">, </w:t>
                      </w:r>
                      <w:r>
                        <w:rPr>
                          <w:i/>
                          <w:iCs/>
                          <w:color w:val="000000"/>
                          <w:szCs w:val="22"/>
                        </w:rPr>
                        <w:t>„Teksa“,</w:t>
                      </w:r>
                      <w:r>
                        <w:rPr>
                          <w:color w:val="000000"/>
                          <w:szCs w:val="22"/>
                        </w:rPr>
                        <w:t xml:space="preserve"> </w:t>
                      </w:r>
                      <w:r>
                        <w:rPr>
                          <w:i/>
                          <w:iCs/>
                          <w:color w:val="000000"/>
                          <w:szCs w:val="22"/>
                        </w:rPr>
                        <w:t>„Sekoma“, „Alfeksas“, „Elmatronas“,</w:t>
                      </w:r>
                      <w:r>
                        <w:rPr>
                          <w:color w:val="000000"/>
                          <w:szCs w:val="22"/>
                        </w:rPr>
                        <w:t xml:space="preserve"> </w:t>
                      </w:r>
                      <w:r>
                        <w:rPr>
                          <w:i/>
                          <w:iCs/>
                          <w:color w:val="000000"/>
                          <w:szCs w:val="22"/>
                        </w:rPr>
                        <w:t>„Gantas“, „Ulgis“, „Manselis“.</w:t>
                      </w:r>
                    </w:p>
                  </w:sdtContent>
                </w:sdt>
                <w:sdt>
                  <w:sdtPr>
                    <w:alias w:val="5.3 p."/>
                    <w:tag w:val="part_1761f72360f1403bae78aca020c83189"/>
                    <w:lock w:val="sdtLocked"/>
                    <w:richText/>
                  </w:sdtPr>
                  <w:sdtContent>
                    <w:p>
                      <w:pPr>
                        <w:ind w:firstLine="709"/>
                        <w:jc w:val="both"/>
                        <w:rPr>
                          <w:color w:val="000000"/>
                        </w:rPr>
                      </w:pPr>
                      <w:sdt>
                        <w:sdtPr>
                          <w:alias w:val="Numeris"/>
                          <w:tag w:val="nr_1761f72360f1403bae78aca020c83189"/>
                          <w:lock w:val="sdtLocked"/>
                          <w:richText/>
                        </w:sdtPr>
                        <w:sdtContent>
                          <w:r>
                            <w:rPr>
                              <w:color w:val="000000"/>
                              <w:szCs w:val="22"/>
                            </w:rPr>
                            <w:t>5.3</w:t>
                          </w:r>
                        </w:sdtContent>
                      </w:sdt>
                      <w:r>
                        <w:rPr>
                          <w:color w:val="000000"/>
                          <w:szCs w:val="22"/>
                        </w:rPr>
                        <w:t xml:space="preserve">. Galimi pavadinimai, sudaryti iš dirbtinio žodžio su jam priklausomais gramatiškai susijusiais dėmenimis, pvz.: </w:t>
                      </w:r>
                      <w:r>
                        <w:rPr>
                          <w:i/>
                          <w:iCs/>
                          <w:color w:val="000000"/>
                          <w:szCs w:val="22"/>
                        </w:rPr>
                        <w:t>„Viralitos gyvybės draudimas“, „Ganto statyba“, „Manselio langai“, „Naujoji rieduva“.</w:t>
                      </w:r>
                    </w:p>
                  </w:sdtContent>
                </w:sdt>
              </w:sdtContent>
            </w:sdt>
            <w:sdt>
              <w:sdtPr>
                <w:alias w:val="6 p."/>
                <w:tag w:val="part_ed98fc89d5924627bffb5e572e2d0b1a"/>
                <w:lock w:val="sdtLocked"/>
                <w:richText/>
              </w:sdtPr>
              <w:sdtContent>
                <w:p>
                  <w:pPr>
                    <w:ind w:firstLine="709"/>
                    <w:jc w:val="both"/>
                    <w:rPr>
                      <w:color w:val="000000"/>
                    </w:rPr>
                  </w:pPr>
                  <w:sdt>
                    <w:sdtPr>
                      <w:alias w:val="Numeris"/>
                      <w:tag w:val="nr_ed98fc89d5924627bffb5e572e2d0b1a"/>
                      <w:lock w:val="sdtLocked"/>
                      <w:richText/>
                    </w:sdtPr>
                    <w:sdtContent>
                      <w:r>
                        <w:rPr>
                          <w:color w:val="000000"/>
                          <w:szCs w:val="22"/>
                        </w:rPr>
                        <w:t>6</w:t>
                      </w:r>
                    </w:sdtContent>
                  </w:sdt>
                  <w:r>
                    <w:rPr>
                      <w:color w:val="000000"/>
                      <w:szCs w:val="22"/>
                    </w:rPr>
                    <w:t xml:space="preserve">. Simboliniais pavadinimais gali eiti antikinių (senovės graikų ir lotynų) kalbų žodžiai, ypač jei įmonės, įstaigos, organizacijos veikla yra kultūrinio ar humanitarinio pobūdžio, pvz.: </w:t>
                  </w:r>
                  <w:r>
                    <w:rPr>
                      <w:i/>
                      <w:iCs/>
                      <w:color w:val="000000"/>
                      <w:szCs w:val="22"/>
                    </w:rPr>
                    <w:t>„Alfa“, „Libra“, „Lingua“, „Littera“, „Caritas“.</w:t>
                  </w:r>
                </w:p>
              </w:sdtContent>
            </w:sdt>
            <w:sdt>
              <w:sdtPr>
                <w:alias w:val="7 p."/>
                <w:tag w:val="part_58f96b6597214ba0a5208751b1e6e553"/>
                <w:lock w:val="sdtLocked"/>
                <w:richText/>
              </w:sdtPr>
              <w:sdtContent>
                <w:p>
                  <w:pPr>
                    <w:ind w:firstLine="709"/>
                    <w:jc w:val="both"/>
                    <w:rPr>
                      <w:color w:val="000000"/>
                    </w:rPr>
                  </w:pPr>
                  <w:sdt>
                    <w:sdtPr>
                      <w:alias w:val="Numeris"/>
                      <w:tag w:val="nr_58f96b6597214ba0a5208751b1e6e553"/>
                      <w:lock w:val="sdtLocked"/>
                      <w:richText/>
                    </w:sdtPr>
                    <w:sdtContent>
                      <w:r>
                        <w:rPr>
                          <w:color w:val="000000"/>
                          <w:szCs w:val="22"/>
                        </w:rPr>
                        <w:t>7</w:t>
                      </w:r>
                    </w:sdtContent>
                  </w:sdt>
                  <w:r>
                    <w:rPr>
                      <w:color w:val="000000"/>
                      <w:szCs w:val="22"/>
                    </w:rPr>
                    <w:t xml:space="preserve">. Iš susijungusių įmonių, įstaigų ar organizacijų simbolinių pavadinimų gali būti sudarytas jungtinis simbolinis pavadinimas, pvz.: </w:t>
                  </w:r>
                  <w:r>
                    <w:rPr>
                      <w:i/>
                      <w:iCs/>
                      <w:color w:val="000000"/>
                      <w:szCs w:val="22"/>
                    </w:rPr>
                    <w:t>„Pavasaris-Gelma“, „Santara-Šviesa“, „Tachema-Rida“.</w:t>
                  </w:r>
                </w:p>
              </w:sdtContent>
            </w:sdt>
            <w:sdt>
              <w:sdtPr>
                <w:alias w:val="8 p."/>
                <w:tag w:val="part_03658b2d6ecc4fa08cdac153fccc2d0e"/>
                <w:lock w:val="sdtLocked"/>
                <w:richText/>
              </w:sdtPr>
              <w:sdtContent>
                <w:p>
                  <w:pPr>
                    <w:ind w:firstLine="709"/>
                    <w:jc w:val="both"/>
                    <w:rPr>
                      <w:color w:val="000000"/>
                    </w:rPr>
                  </w:pPr>
                  <w:sdt>
                    <w:sdtPr>
                      <w:alias w:val="Numeris"/>
                      <w:tag w:val="nr_03658b2d6ecc4fa08cdac153fccc2d0e"/>
                      <w:lock w:val="sdtLocked"/>
                      <w:richText/>
                    </w:sdtPr>
                    <w:sdtContent>
                      <w:r>
                        <w:rPr>
                          <w:color w:val="000000"/>
                          <w:szCs w:val="22"/>
                        </w:rPr>
                        <w:t>8</w:t>
                      </w:r>
                    </w:sdtContent>
                  </w:sdt>
                  <w:r>
                    <w:rPr>
                      <w:color w:val="000000"/>
                      <w:szCs w:val="22"/>
                    </w:rPr>
                    <w:t xml:space="preserve">. Simboliniai pavadinimai rašomi su kabutėmis ir pradedami didžiąja raide. Daugiažodžių pavadinimų didžiąja raide rašomas tik pirmasis žodis (ir į pavadinimą įeinantys tikriniai daiktavardžiai), pvz.: </w:t>
                  </w:r>
                  <w:r>
                    <w:rPr>
                      <w:i/>
                      <w:iCs/>
                      <w:color w:val="000000"/>
                      <w:szCs w:val="22"/>
                    </w:rPr>
                    <w:t>„Naujoji rūta“, „Sėkmingos investicijos raktas“, „Pas Juozapą“.</w:t>
                  </w:r>
                </w:p>
                <w:p>
                  <w:pPr>
                    <w:ind w:firstLine="709"/>
                    <w:jc w:val="both"/>
                    <w:rPr>
                      <w:color w:val="000000"/>
                    </w:rPr>
                  </w:pPr>
                  <w:r>
                    <w:rPr>
                      <w:color w:val="000000"/>
                      <w:szCs w:val="22"/>
                    </w:rPr>
                    <w:t>Pastaba.</w:t>
                  </w:r>
                  <w:r>
                    <w:rPr>
                      <w:b/>
                      <w:bCs/>
                      <w:color w:val="000000"/>
                      <w:szCs w:val="22"/>
                    </w:rPr>
                    <w:t xml:space="preserve"> </w:t>
                  </w:r>
                  <w:r>
                    <w:rPr>
                      <w:color w:val="000000"/>
                      <w:szCs w:val="22"/>
                    </w:rPr>
                    <w:t xml:space="preserve">Prieš simbolinį pavadinimą einantis žodis ar žodžių junginys, žymintis įmonės, įstaigos ar organizacijos teisinę formą arba rūšinį pavadinimą, sakinio viduje rašomas mažosiomis raidėmis, pvz.: </w:t>
                  </w:r>
                  <w:r>
                    <w:rPr>
                      <w:i/>
                      <w:iCs/>
                      <w:color w:val="000000"/>
                      <w:szCs w:val="22"/>
                    </w:rPr>
                    <w:t xml:space="preserve">akcinė bendrovė „Ragutis“, viešoji įstaiga „Užupio takas“, uždaroji akcinė bendrovė leidykla „Muzika“. </w:t>
                  </w:r>
                  <w:r>
                    <w:rPr>
                      <w:color w:val="000000"/>
                      <w:szCs w:val="22"/>
                    </w:rPr>
                    <w:t xml:space="preserve">Teisinę formą galima nurodyti santrumpa, pvz.: </w:t>
                  </w:r>
                  <w:r>
                    <w:rPr>
                      <w:i/>
                      <w:iCs/>
                      <w:color w:val="000000"/>
                      <w:szCs w:val="22"/>
                    </w:rPr>
                    <w:t xml:space="preserve">AB „Ragutis“, VšĮ „Užupio takas“. </w:t>
                  </w:r>
                  <w:r>
                    <w:rPr>
                      <w:color w:val="000000"/>
                      <w:szCs w:val="22"/>
                    </w:rPr>
                    <w:t xml:space="preserve">Teisinė forma ar jos santrumpa gali būti rašoma ir po simbolinio pavadinimo, pvz.: </w:t>
                  </w:r>
                  <w:r>
                    <w:rPr>
                      <w:i/>
                      <w:iCs/>
                      <w:color w:val="000000"/>
                      <w:szCs w:val="22"/>
                    </w:rPr>
                    <w:t>„Ragutis“, akcinė bendrovė</w:t>
                  </w:r>
                  <w:r>
                    <w:rPr>
                      <w:color w:val="000000"/>
                      <w:szCs w:val="22"/>
                    </w:rPr>
                    <w:t xml:space="preserve"> arba </w:t>
                  </w:r>
                  <w:r>
                    <w:rPr>
                      <w:i/>
                      <w:iCs/>
                      <w:color w:val="000000"/>
                      <w:szCs w:val="22"/>
                    </w:rPr>
                    <w:t>„Ragutis“, AB.</w:t>
                  </w:r>
                </w:p>
                <w:p>
                  <w:pPr>
                    <w:ind w:firstLine="709"/>
                    <w:jc w:val="both"/>
                    <w:rPr>
                      <w:color w:val="000000"/>
                    </w:rPr>
                  </w:pPr>
                </w:p>
              </w:sdtContent>
            </w:sdt>
          </w:sdtContent>
        </w:sdt>
        <w:sdt>
          <w:sdtPr>
            <w:alias w:val="skyrius"/>
            <w:tag w:val="part_f6f5657c3daf4286afb48c12a799df31"/>
            <w:lock w:val="sdtLocked"/>
            <w:richText/>
          </w:sdtPr>
          <w:sdtContent>
            <w:p>
              <w:pPr>
                <w:jc w:val="center"/>
                <w:rPr>
                  <w:b/>
                  <w:bCs/>
                  <w:caps/>
                  <w:color w:val="000000"/>
                </w:rPr>
              </w:pPr>
              <w:sdt>
                <w:sdtPr>
                  <w:alias w:val="Numeris"/>
                  <w:tag w:val="nr_f6f5657c3daf4286afb48c12a799df31"/>
                  <w:lock w:val="sdtLocked"/>
                  <w:richText/>
                </w:sdtPr>
                <w:sdtContent>
                  <w:r>
                    <w:rPr>
                      <w:b/>
                      <w:bCs/>
                      <w:caps/>
                      <w:color w:val="000000"/>
                      <w:szCs w:val="22"/>
                    </w:rPr>
                    <w:t>III</w:t>
                  </w:r>
                </w:sdtContent>
              </w:sdt>
              <w:r>
                <w:rPr>
                  <w:b/>
                  <w:bCs/>
                  <w:caps/>
                  <w:color w:val="000000"/>
                  <w:szCs w:val="22"/>
                </w:rPr>
                <w:t xml:space="preserve">. </w:t>
              </w:r>
              <w:sdt>
                <w:sdtPr>
                  <w:alias w:val="Pavadinimas"/>
                  <w:tag w:val="title_f6f5657c3daf4286afb48c12a799df31"/>
                  <w:lock w:val="sdtLocked"/>
                  <w:richText/>
                </w:sdtPr>
                <w:sdtContent>
                  <w:r>
                    <w:rPr>
                      <w:b/>
                      <w:bCs/>
                      <w:caps/>
                      <w:color w:val="000000"/>
                      <w:szCs w:val="22"/>
                    </w:rPr>
                    <w:t>NETEIKTINI SIMBOLINIAI PAVADINIMAI</w:t>
                  </w:r>
                </w:sdtContent>
              </w:sdt>
            </w:p>
            <w:p>
              <w:pPr>
                <w:ind w:firstLine="709"/>
                <w:jc w:val="both"/>
                <w:rPr>
                  <w:color w:val="000000"/>
                </w:rPr>
              </w:pPr>
            </w:p>
            <w:sdt>
              <w:sdtPr>
                <w:alias w:val="9 p."/>
                <w:tag w:val="part_33d3d8c1a9d94f549ef3efeeb749fa7f"/>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2013-04-11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D1D1D8D420">
                    <w:r w:rsidRPr="00532B9F">
                      <w:rPr>
                        <w:rFonts w:ascii="Times New Roman" w:eastAsia="MS Mincho" w:hAnsi="Times New Roman"/>
                        <w:sz w:val="20"/>
                        <w:i/>
                        <w:iCs/>
                        <w:color w:val="0000FF" w:themeColor="hyperlink"/>
                        <w:u w:val="single"/>
                      </w:rPr>
                      <w:t>N-2(138)</w:t>
                    </w:r>
                  </w:fldSimple>
                  <w:r>
                    <w:rPr>
                      <w:rFonts w:ascii="Times New Roman" w:eastAsia="MS Mincho" w:hAnsi="Times New Roman"/>
                      <w:sz w:val="20"/>
                      <w:i/>
                      <w:iCs/>
                    </w:rPr>
                    <w:t>,
2013-04-04,
Žin. 2013,
Nr.
37-1836 (2013-04-10), i. k. 11310LKNUTAN-2(138)        </w:t>
                  </w:r>
                </w:p>
                <w:p/>
              </w:sdtContent>
            </w:sdt>
            <w:sdt>
              <w:sdtPr>
                <w:alias w:val="10 p."/>
                <w:tag w:val="part_25382739865240c791116adf6a779af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2013-04-11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D1D1D8D420">
                    <w:r w:rsidRPr="00532B9F">
                      <w:rPr>
                        <w:rFonts w:ascii="Times New Roman" w:eastAsia="MS Mincho" w:hAnsi="Times New Roman"/>
                        <w:sz w:val="20"/>
                        <w:i/>
                        <w:iCs/>
                        <w:color w:val="0000FF" w:themeColor="hyperlink"/>
                        <w:u w:val="single"/>
                      </w:rPr>
                      <w:t>N-2(138)</w:t>
                    </w:r>
                  </w:fldSimple>
                  <w:r>
                    <w:rPr>
                      <w:rFonts w:ascii="Times New Roman" w:eastAsia="MS Mincho" w:hAnsi="Times New Roman"/>
                      <w:sz w:val="20"/>
                      <w:i/>
                      <w:iCs/>
                    </w:rPr>
                    <w:t>,
2013-04-04,
Žin. 2013,
Nr.
37-1836 (2013-04-10), i. k. 11310LKNUTAN-2(138)        </w:t>
                  </w:r>
                </w:p>
                <w:p/>
              </w:sdtContent>
            </w:sdt>
            <w:sdt>
              <w:sdtPr>
                <w:alias w:val="9 p."/>
                <w:tag w:val="part_b856bb7098f740d581e161a50440aa03"/>
                <w:lock w:val="sdtLocked"/>
                <w:richText/>
              </w:sdtPr>
              <w:sdtContent>
                <w:p>
                  <w:pPr>
                    <w:ind w:firstLine="709"/>
                    <w:jc w:val="both"/>
                    <w:rPr>
                      <w:color w:val="000000"/>
                    </w:rPr>
                  </w:pPr>
                  <w:sdt>
                    <w:sdtPr>
                      <w:alias w:val="Numeris"/>
                      <w:tag w:val="nr_b856bb7098f740d581e161a50440aa03"/>
                      <w:lock w:val="sdtLocked"/>
                      <w:richText/>
                    </w:sdtPr>
                    <w:sdtContent>
                      <w:r>
                        <w:rPr>
                          <w:color w:val="000000"/>
                          <w:szCs w:val="22"/>
                        </w:rPr>
                        <w:t>9</w:t>
                      </w:r>
                    </w:sdtContent>
                  </w:sdt>
                  <w:r>
                    <w:rPr>
                      <w:color w:val="000000"/>
                      <w:szCs w:val="22"/>
                    </w:rPr>
                    <w:t>. Simboliniai pavadinimai negali būti sudaryti iš nenorminių žodžių (arba su jais) ar nenorminės darybos būdu.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D1D1D8D420">
                    <w:r w:rsidRPr="00532B9F">
                      <w:rPr>
                        <w:rFonts w:ascii="Times New Roman" w:eastAsia="MS Mincho" w:hAnsi="Times New Roman"/>
                        <w:sz w:val="20"/>
                        <w:i/>
                        <w:iCs/>
                        <w:color w:val="0000FF" w:themeColor="hyperlink"/>
                        <w:u w:val="single"/>
                      </w:rPr>
                      <w:t>N-2(138)</w:t>
                    </w:r>
                  </w:fldSimple>
                  <w:r>
                    <w:rPr>
                      <w:rFonts w:ascii="Times New Roman" w:eastAsia="MS Mincho" w:hAnsi="Times New Roman"/>
                      <w:sz w:val="20"/>
                      <w:i/>
                      <w:iCs/>
                    </w:rPr>
                    <w:t>,
2013-04-04,
Žin., 2013, Nr.
37-1836 (2013-04-10), i. k. 11310LKNUTAN-2(138)        </w:t>
                  </w:r>
                </w:p>
                <w:p/>
                <w:sdt>
                  <w:sdtPr>
                    <w:alias w:val="9.1 p."/>
                    <w:tag w:val="part_286af503aea84018aa19229c8c990502"/>
                    <w:lock w:val="sdtLocked"/>
                    <w:richText/>
                  </w:sdtPr>
                  <w:sdtContent>
                    <w:p>
                      <w:pPr>
                        <w:ind w:firstLine="709"/>
                        <w:jc w:val="both"/>
                        <w:rPr>
                          <w:color w:val="000000"/>
                        </w:rPr>
                      </w:pPr>
                      <w:sdt>
                        <w:sdtPr>
                          <w:alias w:val="Numeris"/>
                          <w:tag w:val="nr_286af503aea84018aa19229c8c990502"/>
                          <w:lock w:val="sdtLocked"/>
                          <w:richText/>
                        </w:sdtPr>
                        <w:sdtContent>
                          <w:r>
                            <w:rPr>
                              <w:color w:val="000000"/>
                              <w:szCs w:val="22"/>
                            </w:rPr>
                            <w:t>9.1</w:t>
                          </w:r>
                        </w:sdtContent>
                      </w:sdt>
                      <w:r>
                        <w:rPr>
                          <w:color w:val="000000"/>
                          <w:szCs w:val="22"/>
                        </w:rPr>
                        <w:t xml:space="preserve">. Simboliniai pavadinimai nedaromi iš lietuvių kalbos klaidomis laikomų svetimybių (barbarizmų) ar hibridų, kitų nenorminių žodžių, pvz.: </w:t>
                      </w:r>
                      <w:r>
                        <w:rPr>
                          <w:i/>
                          <w:iCs/>
                          <w:color w:val="000000"/>
                          <w:szCs w:val="22"/>
                        </w:rPr>
                        <w:t>„Bantas“, „Cementovkė“, „Čipsas“, „Gerbūvis“, „Rinkė“.</w:t>
                      </w:r>
                    </w:p>
                  </w:sdtContent>
                </w:sdt>
                <w:sdt>
                  <w:sdtPr>
                    <w:alias w:val="9.2 p."/>
                    <w:tag w:val="part_febffcb508dc46138a3c822770103b71"/>
                    <w:lock w:val="sdtLocked"/>
                    <w:richText/>
                  </w:sdtPr>
                  <w:sdtContent>
                    <w:p>
                      <w:pPr>
                        <w:ind w:firstLine="709"/>
                        <w:jc w:val="both"/>
                        <w:rPr>
                          <w:color w:val="000000"/>
                        </w:rPr>
                      </w:pPr>
                      <w:sdt>
                        <w:sdtPr>
                          <w:alias w:val="Numeris"/>
                          <w:tag w:val="nr_febffcb508dc46138a3c822770103b71"/>
                          <w:lock w:val="sdtLocked"/>
                          <w:richText/>
                        </w:sdtPr>
                        <w:sdtContent>
                          <w:r>
                            <w:rPr>
                              <w:color w:val="000000"/>
                              <w:szCs w:val="22"/>
                            </w:rPr>
                            <w:t>9.2</w:t>
                          </w:r>
                        </w:sdtContent>
                      </w:sdt>
                      <w:r>
                        <w:rPr>
                          <w:color w:val="000000"/>
                          <w:szCs w:val="22"/>
                        </w:rPr>
                        <w:t xml:space="preserve">. Neteiktini lietuvių kalbos žodžių darybos taisyklėms prieštaraujantys sudurtiniai simboliniai pavadinimai, pvz.: </w:t>
                      </w:r>
                      <w:r>
                        <w:rPr>
                          <w:i/>
                          <w:iCs/>
                          <w:color w:val="000000"/>
                          <w:szCs w:val="22"/>
                        </w:rPr>
                        <w:t>„Lietūkprekyba“, „Pienocentras“, „Metaloprekyba“.</w:t>
                      </w:r>
                    </w:p>
                  </w:sdtContent>
                </w:sdt>
                <w:sdt>
                  <w:sdtPr>
                    <w:alias w:val="9.3 p."/>
                    <w:tag w:val="part_57f0718df3a946b48954ab8bf8ec2416"/>
                    <w:lock w:val="sdtLocked"/>
                    <w:richText/>
                  </w:sdtPr>
                  <w:sdtContent>
                    <w:p>
                      <w:pPr>
                        <w:ind w:firstLine="709"/>
                        <w:jc w:val="both"/>
                        <w:rPr>
                          <w:color w:val="000000"/>
                        </w:rPr>
                      </w:pPr>
                      <w:sdt>
                        <w:sdtPr>
                          <w:alias w:val="Numeris"/>
                          <w:tag w:val="nr_57f0718df3a946b48954ab8bf8ec2416"/>
                          <w:lock w:val="sdtLocked"/>
                          <w:richText/>
                        </w:sdtPr>
                        <w:sdtContent>
                          <w:r>
                            <w:rPr>
                              <w:color w:val="000000"/>
                              <w:szCs w:val="22"/>
                            </w:rPr>
                            <w:t>9.3</w:t>
                          </w:r>
                        </w:sdtContent>
                      </w:sdt>
                      <w:r>
                        <w:rPr>
                          <w:color w:val="000000"/>
                          <w:szCs w:val="22"/>
                        </w:rPr>
                        <w:t xml:space="preserve">. Neteiktini simboliniai pavadinimai iš begalūnių dirbtinių žodžių, pvz.: </w:t>
                      </w:r>
                      <w:r>
                        <w:rPr>
                          <w:i/>
                          <w:iCs/>
                          <w:color w:val="000000"/>
                          <w:szCs w:val="22"/>
                        </w:rPr>
                        <w:t>„Teko“, „Kage“, „Mansel“, „Galarg“, „Grigen“, „Intaks“.</w:t>
                      </w:r>
                    </w:p>
                  </w:sdtContent>
                </w:sdt>
                <w:sdt>
                  <w:sdtPr>
                    <w:alias w:val="9.4 p."/>
                    <w:tag w:val="part_b08867e40efc4fc391f518d88417a6e1"/>
                    <w:lock w:val="sdtLocked"/>
                    <w:richText/>
                  </w:sdtPr>
                  <w:sdtContent>
                    <w:p>
                      <w:pPr>
                        <w:ind w:firstLine="709"/>
                        <w:jc w:val="both"/>
                        <w:rPr>
                          <w:color w:val="000000"/>
                        </w:rPr>
                      </w:pPr>
                      <w:sdt>
                        <w:sdtPr>
                          <w:alias w:val="Numeris"/>
                          <w:tag w:val="nr_b08867e40efc4fc391f518d88417a6e1"/>
                          <w:lock w:val="sdtLocked"/>
                          <w:richText/>
                        </w:sdtPr>
                        <w:sdtContent>
                          <w:r>
                            <w:rPr>
                              <w:color w:val="000000"/>
                              <w:szCs w:val="22"/>
                            </w:rPr>
                            <w:t>9.4</w:t>
                          </w:r>
                        </w:sdtContent>
                      </w:sdt>
                      <w:r>
                        <w:rPr>
                          <w:color w:val="000000"/>
                          <w:szCs w:val="22"/>
                        </w:rPr>
                        <w:t xml:space="preserve">. Neteiktini simboliniai pavadinimai, kuriuos sudarantys žodžiai nesusieti gramatiškai (linksniu, gimine, skaičiumi), pvz.: </w:t>
                      </w:r>
                      <w:r>
                        <w:rPr>
                          <w:i/>
                          <w:iCs/>
                          <w:color w:val="000000"/>
                          <w:szCs w:val="22"/>
                        </w:rPr>
                        <w:t>„Ranga investicijos“, „Arnika draudimas“</w:t>
                      </w:r>
                      <w:r>
                        <w:rPr>
                          <w:color w:val="000000"/>
                          <w:szCs w:val="22"/>
                        </w:rPr>
                        <w:t>.</w:t>
                      </w:r>
                    </w:p>
                  </w:sdtContent>
                </w:sdt>
                <w:sdt>
                  <w:sdtPr>
                    <w:alias w:val="9.5 p."/>
                    <w:tag w:val="part_1bb41d71286d4c3789212bf1442778ca"/>
                    <w:lock w:val="sdtLocked"/>
                    <w:richText/>
                  </w:sdtPr>
                  <w:sdtContent>
                    <w:p>
                      <w:pPr>
                        <w:ind w:firstLine="709"/>
                        <w:jc w:val="both"/>
                        <w:rPr>
                          <w:color w:val="000000"/>
                        </w:rPr>
                      </w:pPr>
                      <w:sdt>
                        <w:sdtPr>
                          <w:alias w:val="Numeris"/>
                          <w:tag w:val="nr_1bb41d71286d4c3789212bf1442778ca"/>
                          <w:lock w:val="sdtLocked"/>
                          <w:richText/>
                        </w:sdtPr>
                        <w:sdtContent>
                          <w:r>
                            <w:rPr>
                              <w:color w:val="000000"/>
                              <w:szCs w:val="22"/>
                            </w:rPr>
                            <w:t>9.5</w:t>
                          </w:r>
                        </w:sdtContent>
                      </w:sdt>
                      <w:r>
                        <w:rPr>
                          <w:color w:val="000000"/>
                          <w:szCs w:val="22"/>
                        </w:rPr>
                        <w:t xml:space="preserve">. Neteiktini simboliniai pavadinimai su rašybos klaidomis, pvz.: </w:t>
                      </w:r>
                      <w:r>
                        <w:rPr>
                          <w:i/>
                          <w:iCs/>
                          <w:color w:val="000000"/>
                          <w:szCs w:val="22"/>
                        </w:rPr>
                        <w:t>„Varijantas“, „Bilijardo oazė“, „SeKoMa“, „MeBeTa“, „ATiLa“.</w:t>
                      </w:r>
                    </w:p>
                  </w:sdtContent>
                </w:sdt>
              </w:sdtContent>
            </w:sdt>
            <w:sdt>
              <w:sdtPr>
                <w:alias w:val="10 p."/>
                <w:tag w:val="part_2a7f96807cac4c79a149438d079dd92e"/>
                <w:lock w:val="sdtLocked"/>
                <w:richText/>
              </w:sdtPr>
              <w:sdtContent>
                <w:p>
                  <w:pPr>
                    <w:ind w:firstLine="709"/>
                    <w:jc w:val="both"/>
                    <w:rPr>
                      <w:color w:val="000000"/>
                    </w:rPr>
                  </w:pPr>
                  <w:sdt>
                    <w:sdtPr>
                      <w:alias w:val="Numeris"/>
                      <w:tag w:val="nr_2a7f96807cac4c79a149438d079dd92e"/>
                      <w:lock w:val="sdtLocked"/>
                      <w:richText/>
                    </w:sdtPr>
                    <w:sdtContent>
                      <w:r>
                        <w:rPr>
                          <w:color w:val="000000"/>
                          <w:szCs w:val="22"/>
                        </w:rPr>
                        <w:t>10</w:t>
                      </w:r>
                    </w:sdtContent>
                  </w:sdt>
                  <w:r>
                    <w:rPr>
                      <w:color w:val="000000"/>
                      <w:szCs w:val="22"/>
                    </w:rPr>
                    <w:t xml:space="preserve">. Simboliniais pavadinimais nelaikytini tokie pavadinimai, kurių pagrindinis žodis yra įmonės, įstaigos ar organizacijos rūšinis pavadinimas, pvz.: </w:t>
                  </w:r>
                  <w:r>
                    <w:rPr>
                      <w:i/>
                      <w:iCs/>
                      <w:color w:val="000000"/>
                      <w:szCs w:val="22"/>
                    </w:rPr>
                    <w:t xml:space="preserve">„Joniškio pieninė“, „Klaipėdos vaikų ligoninė“, „Žirmūnų vaistinė“, „Architektų dirbtuvės“, „Kompiuterijos centras“, „Klaipėdos kelionių agentūra“. </w:t>
                  </w:r>
                  <w:r>
                    <w:rPr>
                      <w:color w:val="000000"/>
                      <w:szCs w:val="22"/>
                    </w:rPr>
                    <w:t>Tokie pavadinimai yra tiesioginės reikšmės ir rašytini be kabučių.</w:t>
                  </w:r>
                </w:p>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D1D1D8D420">
                    <w:r w:rsidRPr="00532B9F">
                      <w:rPr>
                        <w:rFonts w:ascii="Times New Roman" w:eastAsia="MS Mincho" w:hAnsi="Times New Roman"/>
                        <w:sz w:val="20"/>
                        <w:i/>
                        <w:iCs/>
                        <w:color w:val="0000FF" w:themeColor="hyperlink"/>
                        <w:u w:val="single"/>
                      </w:rPr>
                      <w:t>N-2(138)</w:t>
                    </w:r>
                  </w:fldSimple>
                  <w:r>
                    <w:rPr>
                      <w:rFonts w:ascii="Times New Roman" w:eastAsia="MS Mincho" w:hAnsi="Times New Roman"/>
                      <w:sz w:val="20"/>
                      <w:i/>
                      <w:iCs/>
                    </w:rPr>
                    <w:t>,
2013-04-04,
Žin., 2013, Nr.
37-1836 (2013-04-10), i. k. 11310LKNUTAN-2(138)        </w:t>
                  </w:r>
                </w:p>
                <w:p/>
              </w:sdtContent>
            </w:sdt>
            <w:sdt>
              <w:sdtPr>
                <w:alias w:val=""/>
                <w:tag w:val="part_c225d25430a74d7fa6166f1fc9895586"/>
                <w:lock w:val="sdtLocked"/>
                <w:richText/>
              </w:sdtPr>
              <w:sdtContent>
                <w:p>
                  <w:pPr>
                    <w:jc w:val="center"/>
                  </w:pPr>
                  <w:r>
                    <w:t>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lietuvių kalbos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CD1D1D8D420">
            <w:r w:rsidRPr="00532B9F">
              <w:rPr>
                <w:rFonts w:ascii="Times New Roman" w:eastAsia="MS Mincho" w:hAnsi="Times New Roman"/>
                <w:sz w:val="20"/>
                <w:iCs/>
                <w:color w:val="0000FF" w:themeColor="hyperlink"/>
                <w:u w:val="single"/>
              </w:rPr>
              <w:t>N-2(138)</w:t>
            </w:r>
          </w:fldSimple>
          <w:r>
            <w:rPr>
              <w:rFonts w:ascii="Times New Roman" w:eastAsia="MS Mincho" w:hAnsi="Times New Roman"/>
              <w:sz w:val="20"/>
              <w:iCs/>
            </w:rPr>
            <w:t>,
2013-04-04,
Žin., 2013, Nr.
37-1836 (2013-04-10), i. k. 11310LKNUTAN-2(138)                </w:t>
          </w:r>
        </w:p>
        <w:p>
          <w:pPr>
            <w:jc w:val="both"/>
            <w:rPr>
              <w:rFonts w:ascii="Times New Roman" w:hAnsi="Times New Roman"/>
            </w:rPr>
          </w:pPr>
          <w:r>
            <w:rPr>
              <w:rFonts w:ascii="Times New Roman" w:hAnsi="Times New Roman"/>
              <w:sz w:val="20"/>
            </w:rPr>
            <w:t>Dėl Valstybinės lietuvių kalbos komisijos 2004 m. vasario 2 d. nutarimo Nr. N-2 (91) "Dėl įmonių, įstaigų ir organizacijų simbolinių pavadinimų darymo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119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8814B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0B0253BB424C"/>
  <Relationship Id="rId18" Type="http://schemas.openxmlformats.org/officeDocument/2006/relationships/hyperlink" TargetMode="External" Target="https://www.e-tar.lt/portal/lt/legalAct/TAR.075ACFAE7916"/>
  <Relationship Id="rId19" Type="http://schemas.openxmlformats.org/officeDocument/2006/relationships/hyperlink" TargetMode="External" Target="https://www.e-tar.lt/portal/lt/legalAct/TAR.BCFBB7D6A91C"/>
  <Relationship Id="rId2" Type="http://schemas.openxmlformats.org/officeDocument/2006/relationships/header" Target="header2.xml"/>
  <Relationship Id="rId20" Type="http://schemas.openxmlformats.org/officeDocument/2006/relationships/hyperlink" TargetMode="External" Target="https://www.e-tar.lt/portal/lt/legalAct/TAR.7F4C61D78A4D"/>
  <Relationship Id="rId21" Type="http://schemas.openxmlformats.org/officeDocument/2006/relationships/hyperlink" TargetMode="External" Target="https://www.e-tar.lt/portal/lt/legalAct/TAR.63285758597D"/>
  <Relationship Id="rId22" Type="http://schemas.openxmlformats.org/officeDocument/2006/relationships/hyperlink" TargetMode="External" Target="https://www.e-tar.lt/portal/lt/legalAct/TAR.55D8813F7A92"/>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f76411d0154be2953b85c78df5fa11" PartId="49acdf762882460ebe60aafb4fd93262">
    <Part Type="preambule" DocPartId="c19e810213954d8fadad547ce62bd2a2" PartId="8ab780c513c6476ca8bda7be61c36fdc"/>
    <Part Type="punktas" Nr="1" Abbr="1 p." DocPartId="dcd347a0f898418abcbb2a9fab81f7c9" PartId="a6f5fb34894d4cc0ab10734859bd9716"/>
    <Part Type="punktas" Nr="2" Abbr="2 p." DocPartId="ef5ea9b20f3843a5ad0da8d2b65fd394" PartId="c97548093c5348da9cf69bc51c9c38ff">
      <Part Type="punktas" Nr="2.1" Abbr="2.1 p." DocPartId="abf1be483ef54b638f72956e3651bde5" PartId="b345feb3fc5b4379ba8b71fe95d31011"/>
      <Part Type="punktas" Nr="2.2" Abbr="2.2 p." DocPartId="6d6cbf3d08704ed8b708cb11b4d554a0" PartId="da4d6816a5754a458f3627ae51a37c8d"/>
      <Part Type="punktas" Nr="2.3" Abbr="2.3 p." DocPartId="c47dd68e0d2d4fb5bbc5970737308f37" PartId="c3dfa6416cb44aa3aed1b611b8bf2fad"/>
      <Part Type="punktas" Nr="2.4" Abbr="2.4 p." DocPartId="85855c75d57c4d32a12dd41aef5bb3c4" PartId="3c278c0bfcbf4538be39c4ceb7dfd214"/>
    </Part>
    <Part Type="signatura" DocPartId="06f99fadf2fa4d1faad615c4b2d5a340" PartId="1b53d4612423455db6a5487f59a2f2e7"/>
  </Part>
  <Part Type="patvirtinta" Title="ĮMONIŲ, ĮSTAIGŲ IR ORGANIZACIJŲ SIMBOLINIŲ PAVADINIMŲ DARYMO TAISYKLĖS" DocPartId="649a9a02491547969ab4aa7d8507b664" PartId="11e72b6a4fbe4d72a6932ed7bb7d47af">
    <Part Type="skyrius" Nr="1" Title="BENDROSIOS NUOSTATOS" DocPartId="5ad35a83b7da4bff99949879ee7097ff" PartId="8290a687633149d8952722ac655a5db9">
      <Part Type="punktas" Nr="1" Abbr="1 p." DocPartId="1d84d113db3f49928ecab4b3781006db" PartId="3e7f2d861cd74c518021eea9d39f863f"/>
      <Part Type="punktas" Nr="2" Abbr="2 p." DocPartId="cb64a68ee33a4d53bac9684dfb967ea8" PartId="5eb13a21a5dd47359df0080778ae2503"/>
      <Part Type="punktas" Nr="3" Abbr="3 p." DocPartId="c03b992fd5cd4c42a638217cdf15a75c" PartId="b9105d574e0d47c69a678a89907dc84a"/>
    </Part>
    <Part Type="skyrius" Nr="2" Title="TEIKTINI SIMBOLINIAI PAVADINIMAI" DocPartId="800f212f796a449badcc8d574f5becc0" PartId="bbdd6033c5054b1d8e8e9bd1675da336">
      <Part Type="punktas" Nr="4" Abbr="4 p." DocPartId="f27001d63b8b4e73926bcc3d487196ca" PartId="ba9088001a3048ab94910ae9a4c97568">
        <Part Type="punktas" Nr="4.1" Abbr="4.1 p." DocPartId="279882018b60433b9b90b4f107f023d0" PartId="70afbfe0451d4d8f870808c463279cde"/>
        <Part Type="punktas" Nr="4.2" Abbr="4.2 p." DocPartId="0d87765f0b904e7fa657717840195165" PartId="a897f7aaa422485b8ea00853d7eb0aca"/>
        <Part Type="punktas" Nr="4.3" Abbr="4.3 p." DocPartId="a4f0f6a451bd46dfa3d9b99b888ba838" PartId="a2ae176f8043433999ec0995c3170ab4"/>
      </Part>
      <Part Type="punktas" Nr="5" Abbr="5 p." DocPartId="a2dd6b61cd4a4182a98c58d4c9dc1a2e" PartId="8298e5a6e63c4a3eb35ba6b8a6b253bc">
        <Part Type="punktas" Nr="5.1" Abbr="5.1 p." DocPartId="c3a482ad3687467997545825f1d3e9b6" PartId="310b82e5d3b2425eadd212115f31d09b"/>
        <Part Type="punktas" Nr="5.2" Abbr="5.2 p." DocPartId="ccd199fe00e44dae85c8dbfc27fe2525" PartId="abf2b67f64344ce4a4dcea8f4eec14cc"/>
        <Part Type="punktas" Nr="5.3" Abbr="5.3 p." DocPartId="48f899b2bcda41de8f5b9d2dfb408342" PartId="1761f72360f1403bae78aca020c83189"/>
      </Part>
      <Part Type="punktas" Nr="6" Abbr="6 p." DocPartId="46de459d5f584065bcf4ee5d48297a4f" PartId="ed98fc89d5924627bffb5e572e2d0b1a"/>
      <Part Type="punktas" Nr="7" Abbr="7 p." DocPartId="6e4997e4e9a2495cb1cd4216b8d2d836" PartId="58f96b6597214ba0a5208751b1e6e553"/>
      <Part Type="punktas" Nr="8" Abbr="8 p." DocPartId="036a0b4efd954182979d9da6cbc1fe50" PartId="03658b2d6ecc4fa08cdac153fccc2d0e"/>
    </Part>
    <Part Type="skyrius" Nr="3" Title="NETEIKTINI SIMBOLINIAI PAVADINIMAI" DocPartId="ff5c7fe723e44fafada31ddcf5a814e8" PartId="f6f5657c3daf4286afb48c12a799df31">
      <Part Type="punktas" Nr="9" Abbr="9 p." DocPartId="45d7bd14e21e416fbe587bd88aec1d2d" PartId="33d3d8c1a9d94f549ef3efeeb749fa7f"/>
      <Part Type="punktas" Nr="10" Abbr="10 p." DocPartId="0dbb6eb8b7054e2cac7da2e7108c0c06" PartId="25382739865240c791116adf6a779af1"/>
      <Part Type="punktas" Nr="9" Abbr="9 p." DocPartId="6c66d796ebc3409d8e3e6c6946e65e12" PartId="b856bb7098f740d581e161a50440aa03">
        <Part Type="punktas" Nr="9.1" Abbr="9.1 p." DocPartId="0fca179583724d87bc8ce4b8904c3a2a" PartId="286af503aea84018aa19229c8c990502"/>
        <Part Type="punktas" Nr="9.2" Abbr="9.2 p." DocPartId="a14699951a334c058d8bf99998323519" PartId="febffcb508dc46138a3c822770103b71"/>
        <Part Type="punktas" Nr="9.3" Abbr="9.3 p." DocPartId="273730d53d704095ba695ca9638d9f14" PartId="57f0718df3a946b48954ab8bf8ec2416"/>
        <Part Type="punktas" Nr="9.4" Abbr="9.4 p." DocPartId="4cbd6135650b458ea1295d15e104ef65" PartId="b08867e40efc4fc391f518d88417a6e1"/>
        <Part Type="punktas" Nr="9.5" Abbr="9.5 p." DocPartId="8f5920965ee5478e847bbd5385c41f36" PartId="1bb41d71286d4c3789212bf1442778ca"/>
      </Part>
      <Part Type="punktas" Nr="10" Abbr="10 p." DocPartId="2c47307049174093bb9ad4a23ea250c0" PartId="2a7f96807cac4c79a149438d079dd92e"/>
      <Part Type="pabaiga" Nr="" Abbr="" Title="" DocPartId="47642fed1d4b4d5cb644456968cc9a86" PartId="c225d25430a74d7fa6166f1fc9895586"/>
    </Part>
  </Part>
</Parts>
</file>

<file path=customXml/itemProps1.xml><?xml version="1.0" encoding="utf-8"?>
<ds:datastoreItem xmlns:ds="http://schemas.openxmlformats.org/officeDocument/2006/customXml" ds:itemID="{802B66D8-5C12-4BA2-B67A-DEE508A9A752}">
  <ds:schemaRefs>
    <ds:schemaRef ds:uri="http://lrs.lt/TAIS/DocParts"/>
  </ds:schemaRefs>
</ds:datastoreItem>
</file>

<file path=docProps/app.xml><?xml version="1.0" encoding="utf-8"?>
<Properties xmlns="http://schemas.openxmlformats.org/officeDocument/2006/extended-properties">
  <Template>Normal.dotm</Template>
  <TotalTime>4</TotalTime>
  <Pages>3</Pages>
  <Words>4985</Words>
  <Characters>2842</Characters>
  <Application>Microsoft Office Word</Application>
  <DocSecurity>0</DocSecurity>
  <Lines>23</Lines>
  <Paragraphs>15</Paragraphs>
  <ScaleCrop>false</ScaleCrop>
  <Company/>
  <LinksUpToDate>false</LinksUpToDate>
  <CharactersWithSpaces>7812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2015-09-17T03:53:00Z</dcterms:created>
  <dc:creator>marina.buivid@gmail.com</dc:creator>
  <lastModifiedBy>BOREIŠIS Marius</lastModifiedBy>
  <dcterms:modified xsi:type="dcterms:W3CDTF">2016-03-02T14:01:00Z</dcterms:modified>
  <revision>4</revision>
</coreProperties>
</file>