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05217ec535144c480b3f67979c26071"/>
        <w:lock w:val="sdtLocked"/>
        <w:richText/>
      </w:sdtPr>
      <w:sdtContent>
        <w:p>
          <w:pPr>
            <w:jc w:val="both"/>
            <w:rPr>
              <w:rFonts w:ascii="Times New Roman" w:hAnsi="Times New Roman"/>
            </w:rPr>
          </w:pPr>
          <w:r>
            <w:rPr>
              <w:rFonts w:ascii="Times New Roman" w:hAnsi="Times New Roman"/>
              <w:b/>
              <w:i/>
            </w:rPr>
            <w:t>Suvestinė redakcija nuo 2009-06-12 iki 2012-10-06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1CC6065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de4e4bb960947cab10fc9624979379f"/>
                    <w:lock w:val="sdtLocked"/>
                    <w:richText/>
                  </w:sdtPr>
                  <w:sdtContent>
                    <w:p>
                      <w:pPr>
                        <w:ind w:firstLine="709"/>
                        <w:jc w:val="both"/>
                      </w:pPr>
                      <w:sdt>
                        <w:sdtPr>
                          <w:alias w:val="Numeris"/>
                          <w:tag w:val="nr_dde4e4bb960947cab10fc9624979379f"/>
                          <w:lock w:val="sdtLocked"/>
                          <w:richText/>
                        </w:sdtPr>
                        <w:sdtContent>
                          <w:r>
                            <w:t>3.39</w:t>
                          </w:r>
                        </w:sdtContent>
                      </w:sdt>
                      <w:r>
                        <w:t>. respublikines statybos normas RSN 138-92* „Pastatų ir statinių priešgaisrinė automatika“;</w:t>
                      </w:r>
                    </w:p>
                  </w:sdtContent>
                </w:sdt>
                <w:sdt>
                  <w:sdtPr>
                    <w:alias w:val="3.40 p."/>
                    <w:tag w:val="part_ea882dfd690e4aa89df73b156351cdeb"/>
                    <w:lock w:val="sdtLocked"/>
                    <w:richText/>
                  </w:sdtPr>
                  <w:sdtContent>
                    <w:p>
                      <w:pPr>
                        <w:ind w:firstLine="709"/>
                        <w:jc w:val="both"/>
                      </w:pPr>
                      <w:sdt>
                        <w:sdtPr>
                          <w:alias w:val="Numeris"/>
                          <w:tag w:val="nr_ea882dfd690e4aa89df73b156351cdeb"/>
                          <w:lock w:val="sdtLocked"/>
                          <w:richText/>
                        </w:sdtPr>
                        <w:sdtContent>
                          <w:r>
                            <w:rPr>
                              <w:lang w:eastAsia="lt-LT"/>
                            </w:rPr>
                            <w:t>3.40</w:t>
                          </w:r>
                        </w:sdtContent>
                      </w:sdt>
                      <w:r>
                        <w:rPr>
                          <w:lang w:eastAsia="lt-LT"/>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66" w:tgtFrame="_blank" w:history="1">
                        <w:r>
                          <w:rPr>
                            <w:color w:val="0000FF" w:themeColor="hyperlink"/>
                            <w:u w:val="single"/>
                            <w:lang w:eastAsia="lt-LT"/>
                          </w:rPr>
                          <w:t>137-5624</w:t>
                        </w:r>
                      </w:hyperlink>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3.41 p."/>
                    <w:tag w:val="part_d2f58e9ed2914433b127a60d131aeae4"/>
                    <w:lock w:val="sdtLocked"/>
                    <w:richText/>
                  </w:sdtPr>
                  <w:sdtContent>
                    <w:p>
                      <w:pPr>
                        <w:ind w:firstLine="709"/>
                        <w:jc w:val="both"/>
                      </w:pPr>
                      <w:sdt>
                        <w:sdtPr>
                          <w:alias w:val="Numeris"/>
                          <w:tag w:val="nr_d2f58e9ed2914433b127a60d131aeae4"/>
                          <w:lock w:val="sdtLocked"/>
                          <w:richText/>
                        </w:sdtPr>
                        <w:sdtContent>
                          <w:r>
                            <w:t>3.41</w:t>
                          </w:r>
                        </w:sdtContent>
                      </w:sdt>
                      <w:r>
                        <w:t xml:space="preserve">. Elektroninių ryšių infrastruktūros įrengimo ir naudojimo taisykles, patvirtintas Lietuvos Respublikos ryšių reguliavimo tarnybos direktoriaus 2005 m. birželio 10 d. įsakymu Nr. 1V-562 (Žin., 2005, Nr. </w:t>
                      </w:r>
                      <w:hyperlink r:id="rId67" w:tgtFrame="_blank" w:history="1">
                        <w:r>
                          <w:rPr>
                            <w:color w:val="0000FF" w:themeColor="hyperlink"/>
                            <w:u w:val="single"/>
                          </w:rPr>
                          <w:t>76-2786</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16c9f2dc4364e56950e96d965d2cbbb"/>
                    <w:lock w:val="sdtLocked"/>
                    <w:richText/>
                  </w:sdtPr>
                  <w:sdtContent>
                    <w:p>
                      <w:pPr>
                        <w:widowControl w:val="0"/>
                        <w:ind w:firstLine="709"/>
                        <w:jc w:val="both"/>
                      </w:pPr>
                      <w:sdt>
                        <w:sdtPr>
                          <w:alias w:val="Numeris"/>
                          <w:tag w:val="nr_e16c9f2dc4364e56950e96d965d2cbbb"/>
                          <w:lock w:val="sdtLocked"/>
                          <w:richText/>
                        </w:sdtPr>
                        <w:sdtContent>
                          <w:r>
                            <w:t>11</w:t>
                          </w:r>
                        </w:sdtContent>
                      </w:sdt>
                      <w:r>
                        <w:t xml:space="preserve">. Automobilių stovėjimo vietų reikalavimai nustatyti STR 2.06.01: 1999 [3.16].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6fe9dca9f2e04c91b5cc710c310d1580"/>
                        <w:lock w:val="sdtLocked"/>
                        <w:richText/>
                      </w:sdtPr>
                      <w:sdtContent>
                        <w:p>
                          <w:pPr>
                            <w:ind w:firstLine="709"/>
                            <w:jc w:val="both"/>
                            <w:rPr>
                              <w:lang w:eastAsia="lt-LT"/>
                            </w:rPr>
                          </w:pPr>
                          <w:sdt>
                            <w:sdtPr>
                              <w:alias w:val="Numeris"/>
                              <w:tag w:val="nr_6fe9dca9f2e04c91b5cc710c310d1580"/>
                              <w:lock w:val="sdtLocked"/>
                              <w:richText/>
                            </w:sdtPr>
                            <w:sdtContent>
                              <w:r>
                                <w:rPr>
                                  <w:lang w:eastAsia="lt-LT"/>
                                </w:rPr>
                                <w:t>14.4</w:t>
                              </w:r>
                            </w:sdtContent>
                          </w:sdt>
                          <w:r>
                            <w:rPr>
                              <w:lang w:eastAsia="lt-LT"/>
                            </w:rPr>
                            <w:t>. plotas vieno automobilio saugojimui – nustatomas pagal STR 2.06.01:1999 [3.16];</w:t>
                          </w:r>
                        </w:p>
                      </w:sdtContent>
                    </w:sdt>
                    <w:sdt>
                      <w:sdtPr>
                        <w:alias w:val="14.5 p."/>
                        <w:tag w:val="part_2799069a64294803a6b9059a1917540f"/>
                        <w:lock w:val="sdtLocked"/>
                        <w:richText/>
                      </w:sdtPr>
                      <w:sdtContent>
                        <w:p>
                          <w:pPr>
                            <w:ind w:firstLine="709"/>
                            <w:jc w:val="both"/>
                          </w:pPr>
                          <w:sdt>
                            <w:sdtPr>
                              <w:alias w:val="Numeris"/>
                              <w:tag w:val="nr_2799069a64294803a6b9059a1917540f"/>
                              <w:lock w:val="sdtLocked"/>
                              <w:richText/>
                            </w:sdtPr>
                            <w:sdtContent>
                              <w:r>
                                <w:rPr>
                                  <w:lang w:eastAsia="lt-LT"/>
                                </w:rPr>
                                <w:t>14.5</w:t>
                              </w:r>
                            </w:sdtContent>
                          </w:sdt>
                          <w:r>
                            <w:rPr>
                              <w:lang w:eastAsia="lt-LT"/>
                            </w:rPr>
                            <w:t>. želdynų plotas – nustatomas pagal Priklausomųjų želdynų normų (plotų) nustatymo tvarkos aprašą [3.40].</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6d6322ac91a147c8890867a1a7c9eb5d"/>
                                    <w:lock w:val="sdtLocked"/>
                                    <w:richText/>
                                  </w:sdtPr>
                                  <w:sdtContent>
                                    <w:p>
                                      <w:pPr>
                                        <w:ind w:firstLine="8505"/>
                                      </w:pPr>
                                      <w:sdt>
                                        <w:sdtPr>
                                          <w:alias w:val="Numeris"/>
                                          <w:tag w:val="nr_6d6322ac91a147c8890867a1a7c9eb5d"/>
                                          <w:lock w:val="sdtLocked"/>
                                          <w:richText/>
                                        </w:sdtPr>
                                        <w:sdtContent>
                                          <w:r>
                                            <w:t>8</w:t>
                                          </w:r>
                                        </w:sdtContent>
                                      </w:sdt>
                                      <w:r>
                                        <w:t xml:space="preserve"> lentelė</w:t>
                                      </w:r>
                                    </w:p>
                                    <w:p>
                                      <w:pPr>
                                        <w:ind w:firstLine="709"/>
                                        <w:jc w:val="both"/>
                                      </w:pPr>
                                    </w:p>
                                    <w:p>
                                      <w:pPr>
                                        <w:jc w:val="center"/>
                                        <w:rPr>
                                          <w:b/>
                                        </w:rPr>
                                      </w:pPr>
                                      <w:sdt>
                                        <w:sdtPr>
                                          <w:alias w:val="Pavadinimas"/>
                                          <w:tag w:val="title_6d6322ac91a147c8890867a1a7c9eb5d"/>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fdce73a5c8934fb98dd9c49624fd38fe"/>
                    <w:lock w:val="sdtLocked"/>
                    <w:richText/>
                  </w:sdtPr>
                  <w:sdtContent>
                    <w:p>
                      <w:pPr>
                        <w:widowControl w:val="0"/>
                        <w:spacing w:line="201" w:lineRule="atLeast"/>
                        <w:ind w:firstLine="709"/>
                        <w:jc w:val="both"/>
                      </w:pPr>
                      <w:sdt>
                        <w:sdtPr>
                          <w:alias w:val="Numeris"/>
                          <w:tag w:val="nr_fdce73a5c8934fb98dd9c49624fd38fe"/>
                          <w:lock w:val="sdtLocked"/>
                          <w:richText/>
                        </w:sdtPr>
                        <w:sdtContent>
                          <w:r>
                            <w:rPr>
                              <w:lang w:eastAsia="lt-LT"/>
                            </w:rPr>
                            <w:t>241</w:t>
                          </w:r>
                        </w:sdtContent>
                      </w:sdt>
                      <w:r>
                        <w:rPr>
                          <w:lang w:eastAsia="lt-LT"/>
                        </w:rPr>
                        <w:t>. Želdynų plotas turi būti ne mažesnis už nurodytą Priklausomųjų želdynų normų (plotų) nustatymo tvarkos apraše [3.40].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59-1 p."/>
                    <w:tag w:val="part_1ad945059d21454ab27ada9a0ddb75f8"/>
                    <w:lock w:val="sdtLocked"/>
                    <w:richText/>
                  </w:sdtPr>
                  <w:sdtContent>
                    <w:p>
                      <w:pPr>
                        <w:ind w:firstLine="709"/>
                        <w:jc w:val="both"/>
                      </w:pPr>
                      <w:sdt>
                        <w:sdtPr>
                          <w:alias w:val="Numeris"/>
                          <w:tag w:val="nr_1ad945059d21454ab27ada9a0ddb75f8"/>
                          <w:lock w:val="sdtLocked"/>
                          <w:richText/>
                        </w:sdtPr>
                        <w:sdtContent>
                          <w:r>
                            <w:t>259</w:t>
                          </w:r>
                          <w:r>
                            <w:rPr>
                              <w:vertAlign w:val="superscript"/>
                            </w:rPr>
                            <w:t>1</w:t>
                          </w:r>
                        </w:sdtContent>
                      </w:sdt>
                      <w:r>
                        <w:t>.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infrastruktūros ir naudojimo taisyklėse [3.41]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105e3cacc2c14d519316a6909abf2ef7"/>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290DDF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8pt;height:9.6pt" o:ole="">
                        <v:imagedata r:id="rId63" o:title=""/>
                      </v:shape>
                      <o:OLEObject Type="Embed" ProgID="Equation.3" ShapeID="_x0000_i1026" DrawAspect="Content" ObjectID="_1524385240" r:id="rId64"/>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5"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35C7DE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wmf"/>
  <Relationship Id="rId63" Type="http://schemas.openxmlformats.org/officeDocument/2006/relationships/image" Target="media/image3.wmf"/>
  <Relationship Id="rId64" Type="http://schemas.openxmlformats.org/officeDocument/2006/relationships/oleObject" Target="embeddings/oleObject1.bin"/>
  <Relationship Id="rId65" Type="http://schemas.openxmlformats.org/officeDocument/2006/relationships/hyperlink" TargetMode="External" Target="https://www.e-tar.lt/portal/lt/legalAct/TAR.554C61202175"/>
  <Relationship Id="rId66" Type="http://schemas.openxmlformats.org/officeDocument/2006/relationships/hyperlink" TargetMode="External" Target="https://www.e-tar.lt/portal/lt/legalAct/TAR.E4F23B006B83"/>
  <Relationship Id="rId67" Type="http://schemas.openxmlformats.org/officeDocument/2006/relationships/hyperlink" TargetMode="External" Target="https://www.e-tar.lt/portal/lt/legalAct/TAR.90B82D00289A"/>
  <Relationship Id="rId68"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305217ec535144c480b3f67979c26071">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de4e4bb960947cab10fc9624979379f"/>
        <Part Type="punktas" Nr="3.40" Abbr="3.40 p." Title="" DocPartId="009b3e059e16417bbb02d4e9f7a35b5b" PartId="ea882dfd690e4aa89df73b156351cdeb"/>
        <Part Type="punktas" Nr="3.41" Abbr="3.41 p." Title="" DocPartId="28f5d836f1904ba0a2892d6e1b589440" PartId="d2f58e9ed2914433b127a60d131aeae4"/>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16c9f2dc4364e56950e96d965d2cbbb"/>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6fe9dca9f2e04c91b5cc710c310d1580"/>
          <Part Type="punktas" Nr="14.5" Abbr="14.5 p." DocPartId="61dbccac6566416b835cabfc581a6bf1" PartId="2799069a64294803a6b9059a1917540f"/>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6d6322ac91a147c8890867a1a7c9eb5d"/>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fdce73a5c8934fb98dd9c49624fd38fe"/>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Title=""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59-1" Abbr="259-1 p." Title="" DocPartId="c131751976ad4538bb862198243c1fe3" PartId="1ad945059d21454ab27ada9a0ddb75f8"/>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105e3cacc2c14d519316a6909abf2ef7"/>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DAAE9143-2CFE-447D-B39B-2BEE8DDA1FF5}">
  <ds:schemaRefs>
    <ds:schemaRef ds:uri="http://lrs.lt/TAIS/DocParts"/>
  </ds:schemaRefs>
</ds:datastoreItem>
</file>

<file path=docProps/app.xml><?xml version="1.0" encoding="utf-8"?>
<Properties xmlns="http://schemas.openxmlformats.org/officeDocument/2006/extended-properties">
  <Template>Normal.dotm</Template>
  <TotalTime>36</TotalTime>
  <Pages>49</Pages>
  <Words>96694</Words>
  <Characters>55116</Characters>
  <Application>Microsoft Office Word</Application>
  <DocSecurity>0</DocSecurity>
  <Lines>459</Lines>
  <Paragraphs>303</Paragraphs>
  <ScaleCrop>false</ScaleCrop>
  <Company/>
  <LinksUpToDate>false</LinksUpToDate>
  <CharactersWithSpaces>151507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2016-05-10T08:34:00Z</dcterms:modified>
  <revision>15</revision>
</coreProperties>
</file>