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338980efce462aaa53a9e0d086e20b"/>
        <w:lock w:val="sdtLocked"/>
        <w:richText/>
      </w:sdtPr>
      <w:sdtContent>
        <w:p>
          <w:pPr>
            <w:jc w:val="both"/>
            <w:rPr>
              <w:rFonts w:ascii="Times New Roman" w:hAnsi="Times New Roman"/>
            </w:rPr>
          </w:pPr>
          <w:r>
            <w:rPr>
              <w:rFonts w:ascii="Times New Roman" w:hAnsi="Times New Roman"/>
              <w:b/>
              <w:i/>
            </w:rPr>
            <w:t>Suvestinė redakcija nuo 2004-04-07 iki 2004-07-27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7AF2C3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1"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2" w:tgtFrame="_blank" w:history="1">
                        <w:r>
                          <w:rPr>
                            <w:color w:val="0000FF" w:themeColor="hyperlink"/>
                            <w:u w:val="single"/>
                          </w:rPr>
                          <w:t>17-424</w:t>
                        </w:r>
                      </w:hyperlink>
                      <w:r>
                        <w:t xml:space="preserve">; 2002, Nr. </w:t>
                      </w:r>
                      <w:hyperlink r:id="rId23"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4" w:tgtFrame="_blank" w:history="1">
                        <w:r>
                          <w:rPr>
                            <w:color w:val="0000FF" w:themeColor="hyperlink"/>
                            <w:u w:val="single"/>
                          </w:rPr>
                          <w:t>8-215</w:t>
                        </w:r>
                      </w:hyperlink>
                      <w:r>
                        <w:t xml:space="preserve">; 2002, Nr. </w:t>
                      </w:r>
                      <w:hyperlink r:id="rId25"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6" w:tgtFrame="_blank" w:history="1">
                        <w:r>
                          <w:rPr>
                            <w:color w:val="0000FF" w:themeColor="hyperlink"/>
                            <w:u w:val="single"/>
                          </w:rPr>
                          <w:t>8-216</w:t>
                        </w:r>
                      </w:hyperlink>
                      <w:r>
                        <w:t xml:space="preserve">; 2002, Nr. </w:t>
                      </w:r>
                      <w:hyperlink r:id="rId27"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8"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29"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0"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1" w:tgtFrame="_blank" w:history="1">
                        <w:r>
                          <w:rPr>
                            <w:color w:val="0000FF" w:themeColor="hyperlink"/>
                            <w:u w:val="single"/>
                          </w:rPr>
                          <w:t>41-1297</w:t>
                        </w:r>
                      </w:hyperlink>
                      <w:r>
                        <w:t xml:space="preserve">; 2000, Nr. </w:t>
                      </w:r>
                      <w:hyperlink r:id="rId32"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3"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4"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5"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6" w:tgtFrame="_blank" w:history="1">
                        <w:r>
                          <w:rPr>
                            <w:color w:val="0000FF" w:themeColor="hyperlink"/>
                            <w:u w:val="single"/>
                          </w:rPr>
                          <w:t>27-773</w:t>
                        </w:r>
                      </w:hyperlink>
                      <w:r>
                        <w:t xml:space="preserve">; 2001, Nr. </w:t>
                      </w:r>
                      <w:hyperlink r:id="rId37" w:tgtFrame="_blank" w:history="1">
                        <w:r>
                          <w:rPr>
                            <w:color w:val="0000FF" w:themeColor="hyperlink"/>
                            <w:u w:val="single"/>
                          </w:rPr>
                          <w:t>4-103</w:t>
                        </w:r>
                      </w:hyperlink>
                      <w:r>
                        <w:t xml:space="preserve">, Nr. </w:t>
                      </w:r>
                      <w:hyperlink r:id="rId38" w:tgtFrame="_blank" w:history="1">
                        <w:r>
                          <w:rPr>
                            <w:color w:val="0000FF" w:themeColor="hyperlink"/>
                            <w:u w:val="single"/>
                          </w:rPr>
                          <w:t>44-1561</w:t>
                        </w:r>
                      </w:hyperlink>
                      <w:r>
                        <w:t xml:space="preserve">, Nr. </w:t>
                      </w:r>
                      <w:hyperlink r:id="rId39"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0"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1"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2" w:tgtFrame="_blank" w:history="1">
                        <w:r>
                          <w:rPr>
                            <w:color w:val="0000FF" w:themeColor="hyperlink"/>
                            <w:u w:val="single"/>
                          </w:rPr>
                          <w:t>13-333</w:t>
                        </w:r>
                      </w:hyperlink>
                      <w:r>
                        <w:t xml:space="preserve">; 2002, Nr. </w:t>
                      </w:r>
                      <w:hyperlink r:id="rId43"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4"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5"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6"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7"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8"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49"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0"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1"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2"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3"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4" w:tgtFrame="_blank" w:history="1">
                        <w:r>
                          <w:rPr>
                            <w:color w:val="0000FF" w:themeColor="hyperlink"/>
                            <w:u w:val="single"/>
                          </w:rPr>
                          <w:t>78-2212</w:t>
                        </w:r>
                      </w:hyperlink>
                      <w:r>
                        <w:t xml:space="preserve">; 1999, Nr. </w:t>
                      </w:r>
                      <w:hyperlink r:id="rId55" w:tgtFrame="_blank" w:history="1">
                        <w:r>
                          <w:rPr>
                            <w:color w:val="0000FF" w:themeColor="hyperlink"/>
                            <w:u w:val="single"/>
                          </w:rPr>
                          <w:t>13-333</w:t>
                        </w:r>
                      </w:hyperlink>
                      <w:r>
                        <w:t xml:space="preserve">; 2002, Nr. </w:t>
                      </w:r>
                      <w:hyperlink r:id="rId56"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7"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8"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59"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0" w:tgtFrame="_blank" w:history="1">
                        <w:r>
                          <w:rPr>
                            <w:color w:val="0000FF" w:themeColor="hyperlink"/>
                            <w:u w:val="single"/>
                          </w:rPr>
                          <w:t>59-2404</w:t>
                        </w:r>
                      </w:hyperlink>
                      <w:r>
                        <w:t xml:space="preserve">; 2003, Nr. </w:t>
                      </w:r>
                      <w:hyperlink r:id="rId61"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6a067e79bfa4facb27a988e72d1c006"/>
                    <w:lock w:val="sdtLocked"/>
                    <w:richText/>
                  </w:sdtPr>
                  <w:sdtContent>
                    <w:p>
                      <w:pPr>
                        <w:ind w:firstLine="709"/>
                        <w:jc w:val="both"/>
                      </w:pPr>
                      <w:sdt>
                        <w:sdtPr>
                          <w:alias w:val="Numeris"/>
                          <w:tag w:val="nr_d6a067e79bfa4facb27a988e72d1c006"/>
                          <w:lock w:val="sdtLocked"/>
                          <w:richText/>
                        </w:sdtPr>
                        <w:sdtContent>
                          <w:r>
                            <w:t>3.39</w:t>
                          </w:r>
                        </w:sdtContent>
                      </w:sdt>
                      <w:r>
                        <w:t>. respublikines statybos normas RSN 138-92* „Pastatų ir statinių priešgaisrinė automatika“.</w:t>
                      </w:r>
                    </w:p>
                    <w:p>
                      <w:pPr>
                        <w:ind w:firstLine="709"/>
                        <w:jc w:val="both"/>
                      </w:pPr>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12d9ed0fe9564b44be59631dcb311cd8"/>
                    <w:lock w:val="sdtLocked"/>
                    <w:richText/>
                  </w:sdtPr>
                  <w:sdtContent>
                    <w:p>
                      <w:pPr>
                        <w:ind w:firstLine="709"/>
                        <w:jc w:val="both"/>
                      </w:pPr>
                      <w:sdt>
                        <w:sdtPr>
                          <w:alias w:val="Numeris"/>
                          <w:tag w:val="nr_12d9ed0fe9564b44be59631dcb311cd8"/>
                          <w:lock w:val="sdtLocked"/>
                          <w:richText/>
                        </w:sdtPr>
                        <w:sdtContent>
                          <w:r>
                            <w:t>11</w:t>
                          </w:r>
                        </w:sdtContent>
                      </w:sdt>
                      <w:r>
                        <w:t>. Pastato sklypo privalomas minimalus plotas nustatomas pagal 1 lentelę.</w:t>
                      </w:r>
                    </w:p>
                    <w:p>
                      <w:pPr>
                        <w:ind w:firstLine="709"/>
                        <w:jc w:val="both"/>
                      </w:pPr>
                    </w:p>
                    <w:sdt>
                      <w:sdtPr>
                        <w:alias w:val="lentele"/>
                        <w:tag w:val="part_7d835073fcfd4546ab05c5428ba707ab"/>
                        <w:lock w:val="sdtLocked"/>
                        <w:richText/>
                      </w:sdtPr>
                      <w:sdtContent>
                        <w:p>
                          <w:pPr>
                            <w:ind w:firstLine="8505"/>
                            <w:rPr>
                              <w:color w:val="000000"/>
                            </w:rPr>
                          </w:pPr>
                          <w:sdt>
                            <w:sdtPr>
                              <w:alias w:val="Numeris"/>
                              <w:tag w:val="nr_7d835073fcfd4546ab05c5428ba707ab"/>
                              <w:lock w:val="sdtLocked"/>
                              <w:richText/>
                            </w:sdtPr>
                            <w:sdtContent>
                              <w:r>
                                <w:rPr>
                                  <w:color w:val="000000"/>
                                </w:rPr>
                                <w:t>1</w:t>
                              </w:r>
                            </w:sdtContent>
                          </w:sdt>
                          <w:r>
                            <w:rPr>
                              <w:color w:val="000000"/>
                            </w:rPr>
                            <w:t xml:space="preserve"> lentelė</w:t>
                          </w:r>
                        </w:p>
                        <w:p>
                          <w:pPr>
                            <w:jc w:val="center"/>
                            <w:rPr>
                              <w:b/>
                              <w:bCs/>
                              <w:color w:val="000000"/>
                            </w:rPr>
                          </w:pPr>
                          <w:sdt>
                            <w:sdtPr>
                              <w:alias w:val="Pavadinimas"/>
                              <w:tag w:val="title_7d835073fcfd4546ab05c5428ba707ab"/>
                              <w:lock w:val="sdtLocked"/>
                              <w:richText/>
                            </w:sdtPr>
                            <w:sdtContent>
                              <w:r>
                                <w:rPr>
                                  <w:b/>
                                  <w:bCs/>
                                  <w:color w:val="000000"/>
                                  <w:szCs w:val="22"/>
                                </w:rPr>
                                <w:t>Daugiabučio namo sklypo privalomasis minimalus plotas</w:t>
                              </w:r>
                            </w:sdtContent>
                          </w:sdt>
                        </w:p>
                        <w:tbl>
                          <w:tblPr>
                            <w:tblW w:w="9529" w:type="dxa"/>
                            <w:tblInd w:w="108" w:type="dxa"/>
                            <w:tblLook w:val="01E0" w:firstRow="1" w:lastRow="1" w:firstColumn="1" w:lastColumn="1" w:noHBand="0" w:noVBand="0"/>
                          </w:tblPr>
                          <w:tblGrid>
                            <w:gridCol w:w="6136"/>
                            <w:gridCol w:w="3393"/>
                          </w:tblGrid>
                          <w:tr>
                            <w:tc>
                              <w:tcPr>
                                <w:tcW w:w="613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Aukštų skaičius</w:t>
                                </w:r>
                              </w:p>
                            </w:tc>
                            <w:tc>
                              <w:tcPr>
                                <w:tcW w:w="3393"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Sklypo plotas, m</w:t>
                                </w:r>
                                <w:r>
                                  <w:rPr>
                                    <w:color w:val="000000"/>
                                    <w:sz w:val="20"/>
                                    <w:vertAlign w:val="superscript"/>
                                  </w:rPr>
                                  <w:t>2</w:t>
                                </w:r>
                              </w:p>
                            </w:tc>
                          </w:tr>
                          <w:tr>
                            <w:tc>
                              <w:tcPr>
                                <w:tcW w:w="6136" w:type="dxa"/>
                                <w:tcBorders>
                                  <w:left w:val="single" w:sz="4" w:space="0" w:color="auto"/>
                                  <w:right w:val="single" w:sz="4" w:space="0" w:color="auto"/>
                                </w:tcBorders>
                              </w:tcPr>
                              <w:p>
                                <w:pPr>
                                  <w:rPr>
                                    <w:color w:val="000000"/>
                                    <w:sz w:val="20"/>
                                  </w:rPr>
                                </w:pPr>
                                <w:r>
                                  <w:rPr>
                                    <w:color w:val="000000"/>
                                    <w:sz w:val="20"/>
                                  </w:rPr>
                                  <w:t>1</w:t>
                                </w:r>
                              </w:p>
                            </w:tc>
                            <w:tc>
                              <w:tcPr>
                                <w:tcW w:w="3393" w:type="dxa"/>
                                <w:tcBorders>
                                  <w:left w:val="single" w:sz="4" w:space="0" w:color="auto"/>
                                  <w:right w:val="single" w:sz="4" w:space="0" w:color="auto"/>
                                </w:tcBorders>
                              </w:tcPr>
                              <w:p>
                                <w:pPr>
                                  <w:rPr>
                                    <w:color w:val="000000"/>
                                    <w:sz w:val="20"/>
                                  </w:rPr>
                                </w:pPr>
                                <w:r>
                                  <w:rPr>
                                    <w:color w:val="000000"/>
                                    <w:sz w:val="20"/>
                                  </w:rPr>
                                  <w:t>3,7F</w:t>
                                </w:r>
                              </w:p>
                            </w:tc>
                          </w:tr>
                          <w:tr>
                            <w:tc>
                              <w:tcPr>
                                <w:tcW w:w="6136" w:type="dxa"/>
                                <w:tcBorders>
                                  <w:left w:val="single" w:sz="4" w:space="0" w:color="auto"/>
                                  <w:right w:val="single" w:sz="4" w:space="0" w:color="auto"/>
                                </w:tcBorders>
                              </w:tcPr>
                              <w:p>
                                <w:pPr>
                                  <w:rPr>
                                    <w:color w:val="000000"/>
                                    <w:sz w:val="20"/>
                                  </w:rPr>
                                </w:pPr>
                                <w:r>
                                  <w:rPr>
                                    <w:color w:val="000000"/>
                                    <w:sz w:val="20"/>
                                  </w:rPr>
                                  <w:t>2</w:t>
                                </w:r>
                              </w:p>
                            </w:tc>
                            <w:tc>
                              <w:tcPr>
                                <w:tcW w:w="3393" w:type="dxa"/>
                                <w:tcBorders>
                                  <w:left w:val="single" w:sz="4" w:space="0" w:color="auto"/>
                                  <w:right w:val="single" w:sz="4" w:space="0" w:color="auto"/>
                                </w:tcBorders>
                              </w:tcPr>
                              <w:p>
                                <w:pPr>
                                  <w:rPr>
                                    <w:color w:val="000000"/>
                                    <w:sz w:val="20"/>
                                  </w:rPr>
                                </w:pPr>
                                <w:r>
                                  <w:rPr>
                                    <w:color w:val="000000"/>
                                    <w:sz w:val="20"/>
                                  </w:rPr>
                                  <w:t>2,8F</w:t>
                                </w:r>
                              </w:p>
                            </w:tc>
                          </w:tr>
                          <w:tr>
                            <w:tc>
                              <w:tcPr>
                                <w:tcW w:w="6136" w:type="dxa"/>
                                <w:tcBorders>
                                  <w:left w:val="single" w:sz="4" w:space="0" w:color="auto"/>
                                  <w:right w:val="single" w:sz="4" w:space="0" w:color="auto"/>
                                </w:tcBorders>
                              </w:tcPr>
                              <w:p>
                                <w:pPr>
                                  <w:rPr>
                                    <w:color w:val="000000"/>
                                    <w:sz w:val="20"/>
                                  </w:rPr>
                                </w:pPr>
                                <w:r>
                                  <w:rPr>
                                    <w:color w:val="000000"/>
                                    <w:sz w:val="20"/>
                                  </w:rPr>
                                  <w:t>3</w:t>
                                </w:r>
                              </w:p>
                            </w:tc>
                            <w:tc>
                              <w:tcPr>
                                <w:tcW w:w="3393" w:type="dxa"/>
                                <w:tcBorders>
                                  <w:left w:val="single" w:sz="4" w:space="0" w:color="auto"/>
                                  <w:right w:val="single" w:sz="4" w:space="0" w:color="auto"/>
                                </w:tcBorders>
                              </w:tcPr>
                              <w:p>
                                <w:pPr>
                                  <w:rPr>
                                    <w:color w:val="000000"/>
                                    <w:sz w:val="20"/>
                                  </w:rPr>
                                </w:pPr>
                                <w:r>
                                  <w:rPr>
                                    <w:color w:val="000000"/>
                                    <w:sz w:val="20"/>
                                  </w:rPr>
                                  <w:t>1,9F</w:t>
                                </w:r>
                              </w:p>
                            </w:tc>
                          </w:tr>
                          <w:tr>
                            <w:tc>
                              <w:tcPr>
                                <w:tcW w:w="6136" w:type="dxa"/>
                                <w:tcBorders>
                                  <w:left w:val="single" w:sz="4" w:space="0" w:color="auto"/>
                                  <w:right w:val="single" w:sz="4" w:space="0" w:color="auto"/>
                                </w:tcBorders>
                              </w:tcPr>
                              <w:p>
                                <w:pPr>
                                  <w:rPr>
                                    <w:color w:val="000000"/>
                                    <w:sz w:val="20"/>
                                  </w:rPr>
                                </w:pPr>
                                <w:r>
                                  <w:rPr>
                                    <w:color w:val="000000"/>
                                    <w:sz w:val="20"/>
                                  </w:rPr>
                                  <w:t>4</w:t>
                                </w:r>
                              </w:p>
                            </w:tc>
                            <w:tc>
                              <w:tcPr>
                                <w:tcW w:w="3393" w:type="dxa"/>
                                <w:tcBorders>
                                  <w:left w:val="single" w:sz="4" w:space="0" w:color="auto"/>
                                  <w:right w:val="single" w:sz="4" w:space="0" w:color="auto"/>
                                </w:tcBorders>
                              </w:tcPr>
                              <w:p>
                                <w:pPr>
                                  <w:rPr>
                                    <w:color w:val="000000"/>
                                    <w:sz w:val="20"/>
                                  </w:rPr>
                                </w:pPr>
                                <w:r>
                                  <w:rPr>
                                    <w:color w:val="000000"/>
                                    <w:sz w:val="20"/>
                                  </w:rPr>
                                  <w:t>1,6F</w:t>
                                </w:r>
                              </w:p>
                            </w:tc>
                          </w:tr>
                          <w:tr>
                            <w:tc>
                              <w:tcPr>
                                <w:tcW w:w="6136" w:type="dxa"/>
                                <w:tcBorders>
                                  <w:left w:val="single" w:sz="4" w:space="0" w:color="auto"/>
                                  <w:right w:val="single" w:sz="4" w:space="0" w:color="auto"/>
                                </w:tcBorders>
                              </w:tcPr>
                              <w:p>
                                <w:pPr>
                                  <w:rPr>
                                    <w:color w:val="000000"/>
                                    <w:sz w:val="20"/>
                                  </w:rPr>
                                </w:pPr>
                                <w:r>
                                  <w:rPr>
                                    <w:color w:val="000000"/>
                                    <w:sz w:val="20"/>
                                  </w:rPr>
                                  <w:t>5</w:t>
                                </w:r>
                              </w:p>
                            </w:tc>
                            <w:tc>
                              <w:tcPr>
                                <w:tcW w:w="3393" w:type="dxa"/>
                                <w:tcBorders>
                                  <w:left w:val="single" w:sz="4" w:space="0" w:color="auto"/>
                                  <w:right w:val="single" w:sz="4" w:space="0" w:color="auto"/>
                                </w:tcBorders>
                              </w:tcPr>
                              <w:p>
                                <w:pPr>
                                  <w:rPr>
                                    <w:color w:val="000000"/>
                                    <w:sz w:val="20"/>
                                  </w:rPr>
                                </w:pPr>
                                <w:r>
                                  <w:rPr>
                                    <w:color w:val="000000"/>
                                    <w:sz w:val="20"/>
                                  </w:rPr>
                                  <w:t>1,4F</w:t>
                                </w:r>
                              </w:p>
                            </w:tc>
                          </w:tr>
                          <w:tr>
                            <w:tc>
                              <w:tcPr>
                                <w:tcW w:w="6136" w:type="dxa"/>
                                <w:tcBorders>
                                  <w:left w:val="single" w:sz="4" w:space="0" w:color="auto"/>
                                  <w:right w:val="single" w:sz="4" w:space="0" w:color="auto"/>
                                </w:tcBorders>
                              </w:tcPr>
                              <w:p>
                                <w:pPr>
                                  <w:rPr>
                                    <w:color w:val="000000"/>
                                    <w:sz w:val="20"/>
                                  </w:rPr>
                                </w:pPr>
                                <w:r>
                                  <w:rPr>
                                    <w:color w:val="000000"/>
                                    <w:sz w:val="20"/>
                                  </w:rPr>
                                  <w:t>6</w:t>
                                </w:r>
                              </w:p>
                            </w:tc>
                            <w:tc>
                              <w:tcPr>
                                <w:tcW w:w="3393" w:type="dxa"/>
                                <w:tcBorders>
                                  <w:left w:val="single" w:sz="4" w:space="0" w:color="auto"/>
                                  <w:right w:val="single" w:sz="4" w:space="0" w:color="auto"/>
                                </w:tcBorders>
                              </w:tcPr>
                              <w:p>
                                <w:pPr>
                                  <w:rPr>
                                    <w:color w:val="000000"/>
                                    <w:sz w:val="20"/>
                                  </w:rPr>
                                </w:pPr>
                                <w:r>
                                  <w:rPr>
                                    <w:color w:val="000000"/>
                                    <w:sz w:val="20"/>
                                  </w:rPr>
                                  <w:t>1,2F</w:t>
                                </w:r>
                              </w:p>
                            </w:tc>
                          </w:tr>
                          <w:tr>
                            <w:tc>
                              <w:tcPr>
                                <w:tcW w:w="6136" w:type="dxa"/>
                                <w:tcBorders>
                                  <w:left w:val="single" w:sz="4" w:space="0" w:color="auto"/>
                                  <w:right w:val="single" w:sz="4" w:space="0" w:color="auto"/>
                                </w:tcBorders>
                              </w:tcPr>
                              <w:p>
                                <w:pPr>
                                  <w:rPr>
                                    <w:color w:val="000000"/>
                                    <w:sz w:val="20"/>
                                  </w:rPr>
                                </w:pPr>
                                <w:r>
                                  <w:rPr>
                                    <w:color w:val="000000"/>
                                    <w:sz w:val="20"/>
                                  </w:rPr>
                                  <w:t>7</w:t>
                                </w:r>
                              </w:p>
                            </w:tc>
                            <w:tc>
                              <w:tcPr>
                                <w:tcW w:w="3393" w:type="dxa"/>
                                <w:tcBorders>
                                  <w:left w:val="single" w:sz="4" w:space="0" w:color="auto"/>
                                  <w:right w:val="single" w:sz="4" w:space="0" w:color="auto"/>
                                </w:tcBorders>
                              </w:tcPr>
                              <w:p>
                                <w:pPr>
                                  <w:rPr>
                                    <w:color w:val="000000"/>
                                    <w:sz w:val="20"/>
                                  </w:rPr>
                                </w:pPr>
                                <w:r>
                                  <w:rPr>
                                    <w:color w:val="000000"/>
                                    <w:sz w:val="20"/>
                                  </w:rPr>
                                  <w:t>1,1F</w:t>
                                </w:r>
                              </w:p>
                            </w:tc>
                          </w:tr>
                          <w:tr>
                            <w:tc>
                              <w:tcPr>
                                <w:tcW w:w="6136" w:type="dxa"/>
                                <w:tcBorders>
                                  <w:left w:val="single" w:sz="4" w:space="0" w:color="auto"/>
                                  <w:right w:val="single" w:sz="4" w:space="0" w:color="auto"/>
                                </w:tcBorders>
                              </w:tcPr>
                              <w:p>
                                <w:pPr>
                                  <w:rPr>
                                    <w:color w:val="000000"/>
                                    <w:sz w:val="20"/>
                                  </w:rPr>
                                </w:pPr>
                                <w:r>
                                  <w:rPr>
                                    <w:color w:val="000000"/>
                                    <w:sz w:val="20"/>
                                  </w:rPr>
                                  <w:t>8</w:t>
                                </w:r>
                              </w:p>
                            </w:tc>
                            <w:tc>
                              <w:tcPr>
                                <w:tcW w:w="3393" w:type="dxa"/>
                                <w:tcBorders>
                                  <w:left w:val="single" w:sz="4" w:space="0" w:color="auto"/>
                                  <w:right w:val="single" w:sz="4" w:space="0" w:color="auto"/>
                                </w:tcBorders>
                              </w:tcPr>
                              <w:p>
                                <w:pPr>
                                  <w:rPr>
                                    <w:color w:val="000000"/>
                                    <w:sz w:val="20"/>
                                  </w:rPr>
                                </w:pPr>
                                <w:r>
                                  <w:rPr>
                                    <w:color w:val="000000"/>
                                    <w:sz w:val="20"/>
                                  </w:rPr>
                                  <w:t>1,0F</w:t>
                                </w:r>
                              </w:p>
                            </w:tc>
                          </w:tr>
                          <w:tr>
                            <w:tc>
                              <w:tcPr>
                                <w:tcW w:w="6136" w:type="dxa"/>
                                <w:tcBorders>
                                  <w:left w:val="single" w:sz="4" w:space="0" w:color="auto"/>
                                  <w:right w:val="single" w:sz="4" w:space="0" w:color="auto"/>
                                </w:tcBorders>
                              </w:tcPr>
                              <w:p>
                                <w:pPr>
                                  <w:rPr>
                                    <w:color w:val="000000"/>
                                    <w:sz w:val="20"/>
                                  </w:rPr>
                                </w:pPr>
                                <w:r>
                                  <w:rPr>
                                    <w:color w:val="000000"/>
                                    <w:sz w:val="20"/>
                                  </w:rPr>
                                  <w:t>9</w:t>
                                </w:r>
                              </w:p>
                            </w:tc>
                            <w:tc>
                              <w:tcPr>
                                <w:tcW w:w="3393" w:type="dxa"/>
                                <w:tcBorders>
                                  <w:left w:val="single" w:sz="4" w:space="0" w:color="auto"/>
                                  <w:right w:val="single" w:sz="4" w:space="0" w:color="auto"/>
                                </w:tcBorders>
                              </w:tcPr>
                              <w:p>
                                <w:pPr>
                                  <w:rPr>
                                    <w:color w:val="000000"/>
                                    <w:sz w:val="20"/>
                                  </w:rPr>
                                </w:pPr>
                                <w:r>
                                  <w:rPr>
                                    <w:color w:val="000000"/>
                                    <w:sz w:val="20"/>
                                  </w:rPr>
                                  <w:t>0,9F</w:t>
                                </w:r>
                              </w:p>
                            </w:tc>
                          </w:tr>
                          <w:tr>
                            <w:tc>
                              <w:tcPr>
                                <w:tcW w:w="6136" w:type="dxa"/>
                                <w:tcBorders>
                                  <w:left w:val="single" w:sz="4" w:space="0" w:color="auto"/>
                                  <w:right w:val="single" w:sz="4" w:space="0" w:color="auto"/>
                                </w:tcBorders>
                              </w:tcPr>
                              <w:p>
                                <w:pPr>
                                  <w:rPr>
                                    <w:color w:val="000000"/>
                                    <w:sz w:val="20"/>
                                  </w:rPr>
                                </w:pPr>
                                <w:r>
                                  <w:rPr>
                                    <w:color w:val="000000"/>
                                    <w:sz w:val="20"/>
                                  </w:rPr>
                                  <w:t>10–13</w:t>
                                </w:r>
                              </w:p>
                            </w:tc>
                            <w:tc>
                              <w:tcPr>
                                <w:tcW w:w="3393" w:type="dxa"/>
                                <w:tcBorders>
                                  <w:left w:val="single" w:sz="4" w:space="0" w:color="auto"/>
                                  <w:right w:val="single" w:sz="4" w:space="0" w:color="auto"/>
                                </w:tcBorders>
                              </w:tcPr>
                              <w:p>
                                <w:pPr>
                                  <w:rPr>
                                    <w:color w:val="000000"/>
                                    <w:sz w:val="20"/>
                                  </w:rPr>
                                </w:pPr>
                                <w:r>
                                  <w:rPr>
                                    <w:color w:val="000000"/>
                                    <w:sz w:val="20"/>
                                  </w:rPr>
                                  <w:t>0,8F</w:t>
                                </w:r>
                              </w:p>
                            </w:tc>
                          </w:tr>
                          <w:tr>
                            <w:tc>
                              <w:tcPr>
                                <w:tcW w:w="6136" w:type="dxa"/>
                                <w:tcBorders>
                                  <w:left w:val="single" w:sz="4" w:space="0" w:color="auto"/>
                                  <w:bottom w:val="single" w:sz="4" w:space="0" w:color="auto"/>
                                  <w:right w:val="single" w:sz="4" w:space="0" w:color="auto"/>
                                </w:tcBorders>
                              </w:tcPr>
                              <w:p>
                                <w:pPr>
                                  <w:rPr>
                                    <w:color w:val="000000"/>
                                    <w:sz w:val="20"/>
                                  </w:rPr>
                                </w:pPr>
                                <w:r>
                                  <w:rPr>
                                    <w:color w:val="000000"/>
                                    <w:sz w:val="20"/>
                                  </w:rPr>
                                  <w:t>14–19</w:t>
                                </w:r>
                              </w:p>
                            </w:tc>
                            <w:tc>
                              <w:tcPr>
                                <w:tcW w:w="3393" w:type="dxa"/>
                                <w:tcBorders>
                                  <w:left w:val="single" w:sz="4" w:space="0" w:color="auto"/>
                                  <w:bottom w:val="single" w:sz="4" w:space="0" w:color="auto"/>
                                  <w:right w:val="single" w:sz="4" w:space="0" w:color="auto"/>
                                </w:tcBorders>
                              </w:tcPr>
                              <w:p>
                                <w:pPr>
                                  <w:rPr>
                                    <w:color w:val="000000"/>
                                    <w:sz w:val="20"/>
                                  </w:rPr>
                                </w:pPr>
                                <w:r>
                                  <w:rPr>
                                    <w:color w:val="000000"/>
                                    <w:sz w:val="20"/>
                                  </w:rPr>
                                  <w:t>0,7F</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pastraipa"/>
                        <w:tag w:val="part_7085697903e6422588a871ef70612be5"/>
                        <w:lock w:val="sdtLocked"/>
                        <w:richText/>
                      </w:sdtPr>
                      <w:sdtContent>
                        <w:p>
                          <w:pPr>
                            <w:ind w:firstLine="709"/>
                            <w:jc w:val="both"/>
                          </w:pPr>
                          <w:r>
                            <w:t>* pažymėtų sklypo elementų alternatyvos – patalpinti juos požeminėje ir/ar antžeminėje pastato erdvėje, priestate. Galimos kitos automobilių saugyklų alternatyvos čia nėra reglamentuojamos.</w:t>
                          </w:r>
                        </w:p>
                      </w:sdtContent>
                    </w:sdt>
                    <w:sdt>
                      <w:sdtPr>
                        <w:alias w:val="pastraipa"/>
                        <w:tag w:val="part_f75fd7a634e0432a9e1f599ed57cb895"/>
                        <w:lock w:val="sdtLocked"/>
                        <w:richText/>
                      </w:sdtPr>
                      <w:sdtContent>
                        <w:p>
                          <w:pPr>
                            <w:ind w:left="567" w:firstLine="709"/>
                            <w:jc w:val="both"/>
                          </w:pPr>
                          <w:r>
                            <w:t>Pastabos:</w:t>
                          </w:r>
                        </w:p>
                      </w:sdtContent>
                    </w:sdt>
                    <w:sdt>
                      <w:sdtPr>
                        <w:alias w:val="pastraipa"/>
                        <w:tag w:val="part_bc93e98471ec443a90669d94f3d7e54f"/>
                        <w:lock w:val="sdtLocked"/>
                        <w:richText/>
                      </w:sdtPr>
                      <w:sdtContent>
                        <w:p>
                          <w:pPr>
                            <w:tabs>
                              <w:tab w:val="left" w:pos="2160"/>
                            </w:tabs>
                            <w:ind w:left="1800" w:firstLine="709"/>
                            <w:jc w:val="both"/>
                          </w:pPr>
                          <w:r>
                            <w:t>√</w:t>
                          </w:r>
                          <w:r>
                            <w:rPr>
                              <w:rFonts w:ascii="Wingdings" w:hAnsi="Wingdings"/>
                            </w:rPr>
                            <w:t></w:t>
                          </w:r>
                          <w:r>
                            <w:t>Aukštesnių negu 19 aukštų namų privalomi minimalūs sklypo plotai skaičiuojami ekstrapoliuojant.</w:t>
                          </w:r>
                        </w:p>
                      </w:sdtContent>
                    </w:sdt>
                    <w:sdt>
                      <w:sdtPr>
                        <w:alias w:val="pastraipa"/>
                        <w:tag w:val="part_23a757a5226a48aca5e0d396d657e75e"/>
                        <w:lock w:val="sdtLocked"/>
                        <w:richText/>
                      </w:sdtPr>
                      <w:sdtContent>
                        <w:p>
                          <w:pPr>
                            <w:tabs>
                              <w:tab w:val="left" w:pos="2160"/>
                            </w:tabs>
                            <w:ind w:left="1800" w:firstLine="709"/>
                            <w:jc w:val="both"/>
                          </w:pPr>
                          <w:r>
                            <w:t>√</w:t>
                          </w:r>
                          <w:r>
                            <w:rPr>
                              <w:rFonts w:ascii="Wingdings" w:hAnsi="Wingdings"/>
                            </w:rPr>
                            <w:t></w:t>
                          </w:r>
                          <w:r>
                            <w:t>F – skaičiuojamasis minimalus bendras daugiabučio namo butų plotas. Minimalus bendras namo butų plotas skaičiuojamas taip:</w:t>
                          </w:r>
                        </w:p>
                        <w:p>
                          <w:pPr>
                            <w:jc w:val="center"/>
                          </w:pPr>
                        </w:p>
                      </w:sdtContent>
                    </w:sdt>
                    <w:sdt>
                      <w:sdtPr>
                        <w:alias w:val="pastraipa"/>
                        <w:tag w:val="part_da57bfb7ce954998afeaf6d8a8792d9d"/>
                        <w:lock w:val="sdtLocked"/>
                        <w:richText/>
                      </w:sdtPr>
                      <w:sdtContent>
                        <w:p>
                          <w:pPr>
                            <w:jc w:val="center"/>
                          </w:pPr>
                          <w:r>
                            <w:t>F</w:t>
                          </w:r>
                          <w:r>
                            <w:rPr>
                              <w:vertAlign w:val="subscript"/>
                            </w:rPr>
                            <w:t>min</w:t>
                          </w:r>
                          <w:r>
                            <w:t>= 34 b</w:t>
                          </w:r>
                          <w:r>
                            <w:rPr>
                              <w:vertAlign w:val="subscript"/>
                            </w:rPr>
                            <w:t>1</w:t>
                          </w:r>
                          <w:r>
                            <w:t xml:space="preserve"> + 14 (B – b</w:t>
                          </w:r>
                          <w:r>
                            <w:rPr>
                              <w:vertAlign w:val="subscript"/>
                            </w:rPr>
                            <w:t>1</w:t>
                          </w:r>
                          <w:r>
                            <w:t>);</w:t>
                          </w:r>
                        </w:p>
                      </w:sdtContent>
                    </w:sdt>
                    <w:sdt>
                      <w:sdtPr>
                        <w:alias w:val="pastraipa"/>
                        <w:tag w:val="part_de7ae476f83242b0af25155054547358"/>
                        <w:lock w:val="sdtLocked"/>
                        <w:richText/>
                      </w:sdtPr>
                      <w:sdtContent>
                        <w:p>
                          <w:pPr>
                            <w:ind w:firstLine="709"/>
                            <w:jc w:val="both"/>
                          </w:pPr>
                          <w:r>
                            <w:t>čia:</w:t>
                          </w:r>
                        </w:p>
                      </w:sdtContent>
                    </w:sdt>
                    <w:sdt>
                      <w:sdtPr>
                        <w:alias w:val="pastraipa"/>
                        <w:tag w:val="part_04ea1c9367094ce793b9bf903e8da156"/>
                        <w:lock w:val="sdtLocked"/>
                        <w:richText/>
                      </w:sdtPr>
                      <w:sdtContent>
                        <w:p>
                          <w:pPr>
                            <w:ind w:firstLine="709"/>
                          </w:pPr>
                          <w:r>
                            <w:t>b</w:t>
                          </w:r>
                          <w:r>
                            <w:rPr>
                              <w:vertAlign w:val="subscript"/>
                            </w:rPr>
                            <w:t xml:space="preserve">1 – </w:t>
                          </w:r>
                          <w:r>
                            <w:t>butų, projektuojamų vienam asmeniui, skaičius;</w:t>
                          </w:r>
                        </w:p>
                      </w:sdtContent>
                    </w:sdt>
                    <w:sdt>
                      <w:sdtPr>
                        <w:alias w:val="pastraipa"/>
                        <w:tag w:val="part_7d2c020eb00e4af88ce4c1cf2d1916f9"/>
                        <w:lock w:val="sdtLocked"/>
                        <w:richText/>
                      </w:sdtPr>
                      <w:sdtContent>
                        <w:p>
                          <w:pPr>
                            <w:ind w:firstLine="709"/>
                          </w:pPr>
                          <w:r>
                            <w:t>34 b</w:t>
                          </w:r>
                          <w:r>
                            <w:rPr>
                              <w:vertAlign w:val="subscript"/>
                            </w:rPr>
                            <w:t xml:space="preserve">1 – </w:t>
                          </w:r>
                          <w:r>
                            <w:t>buto vienam asmeniui minimalus bendras plotas, m</w:t>
                          </w:r>
                          <w:r>
                            <w:rPr>
                              <w:vertAlign w:val="superscript"/>
                            </w:rPr>
                            <w:t>2</w:t>
                          </w:r>
                          <w:r>
                            <w:t>;</w:t>
                          </w:r>
                        </w:p>
                      </w:sdtContent>
                    </w:sdt>
                    <w:sdt>
                      <w:sdtPr>
                        <w:alias w:val="pastraipa"/>
                        <w:tag w:val="part_c719ea0036134f49987fffbcfe0dc2ac"/>
                        <w:lock w:val="sdtLocked"/>
                        <w:richText/>
                      </w:sdtPr>
                      <w:sdtContent>
                        <w:p>
                          <w:pPr>
                            <w:ind w:firstLine="709"/>
                          </w:pPr>
                          <w:r>
                            <w:t>B – planuojamasis gyventojų skaičius;</w:t>
                          </w:r>
                        </w:p>
                      </w:sdtContent>
                    </w:sdt>
                    <w:sdt>
                      <w:sdtPr>
                        <w:alias w:val="pastraipa"/>
                        <w:tag w:val="part_a8c45bd95a6642dda8dd563c4adc2be7"/>
                        <w:lock w:val="sdtLocked"/>
                        <w:richText/>
                      </w:sdtPr>
                      <w:sdtContent>
                        <w:p>
                          <w:pPr>
                            <w:ind w:firstLine="709"/>
                          </w:pPr>
                          <w:r>
                            <w:t>14 – minimalus bendras 1 gyventojui buto plotas, m</w:t>
                          </w:r>
                          <w:r>
                            <w:rPr>
                              <w:vertAlign w:val="superscript"/>
                            </w:rPr>
                            <w:t>2</w:t>
                          </w:r>
                          <w:r>
                            <w:t>.</w:t>
                          </w:r>
                        </w:p>
                        <w:p>
                          <w:pPr>
                            <w:jc w:val="center"/>
                            <w:rPr>
                              <w:b/>
                            </w:rPr>
                          </w:pPr>
                        </w:p>
                      </w:sdtContent>
                    </w:sdt>
                  </w:sdtContent>
                </w:sdt>
                <w:sdt>
                  <w:sdtPr>
                    <w:alias w:val="12 p."/>
                    <w:tag w:val="part_fb827682dfa342188fd8428f5b182e4f"/>
                    <w:lock w:val="sdtLocked"/>
                    <w:richText/>
                  </w:sdtPr>
                  <w:sdtContent>
                    <w:p>
                      <w:pPr>
                        <w:ind w:firstLine="709"/>
                        <w:jc w:val="both"/>
                      </w:pPr>
                      <w:sdt>
                        <w:sdtPr>
                          <w:alias w:val="Numeris"/>
                          <w:tag w:val="nr_fb827682dfa342188fd8428f5b182e4f"/>
                          <w:lock w:val="sdtLocked"/>
                          <w:richText/>
                        </w:sdtPr>
                        <w:sdtContent>
                          <w:r>
                            <w:rPr>
                              <w:color w:val="000000"/>
                            </w:rPr>
                            <w:t>12</w:t>
                          </w:r>
                        </w:sdtContent>
                      </w:sdt>
                      <w:r>
                        <w:rPr>
                          <w:color w:val="000000"/>
                        </w:rPr>
                        <w:t>. Aukštų skaičius yra visų antžeminių aukštų, kuriuose įrengti arba yra pakankama erdvė įrengti bent vieną gyvenamąjį kambarį,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3 p."/>
                    <w:tag w:val="part_ccf856e78a6243d4bb855300bfcdfbb5"/>
                    <w:lock w:val="sdtLocked"/>
                    <w:richText/>
                  </w:sdtPr>
                  <w:sdtContent>
                    <w:p>
                      <w:pPr>
                        <w:ind w:firstLine="709"/>
                        <w:jc w:val="both"/>
                      </w:pPr>
                      <w:sdt>
                        <w:sdtPr>
                          <w:alias w:val="Numeris"/>
                          <w:tag w:val="nr_ccf856e78a6243d4bb855300bfcdfbb5"/>
                          <w:lock w:val="sdtLocked"/>
                          <w:richText/>
                        </w:sdtPr>
                        <w:sdtContent>
                          <w:r>
                            <w:rPr>
                              <w:color w:val="000000"/>
                            </w:rPr>
                            <w:t>13</w:t>
                          </w:r>
                        </w:sdtContent>
                      </w:sdt>
                      <w:r>
                        <w:rPr>
                          <w:color w:val="000000"/>
                        </w:rPr>
                        <w:t>. Vienbučių ir dvibučių namų minimalūs sklypų plotai nustatomi pagal Reglamento 1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4 p."/>
                    <w:tag w:val="part_8774568fca9d4d1e99093034d1d842ad"/>
                    <w:lock w:val="sdtLocked"/>
                    <w:richText/>
                  </w:sdtPr>
                  <w:sdtContent>
                    <w:p>
                      <w:pPr>
                        <w:ind w:firstLine="709"/>
                        <w:jc w:val="both"/>
                      </w:pPr>
                      <w:sdt>
                        <w:sdtPr>
                          <w:alias w:val="Numeris"/>
                          <w:tag w:val="nr_8774568fca9d4d1e99093034d1d842ad"/>
                          <w:lock w:val="sdtLocked"/>
                          <w:richText/>
                        </w:sdtPr>
                        <w:sdtContent>
                          <w:r>
                            <w:t>14</w:t>
                          </w:r>
                        </w:sdtContent>
                      </w:sdt>
                      <w:r>
                        <w:t>. Privalomieji 1 lentelėje nurodyti namų sklypų plotai gali būti sumažinti, jeigu automobilių ir dviračių saugyklas, patalpas buitinėms atliekoms laikinai sandėliuoti įrengtos namo erdvėje. Sumažinamas plotas skaičiuojamas taip:</w:t>
                      </w:r>
                    </w:p>
                    <w:p>
                      <w:pPr>
                        <w:ind w:firstLine="709"/>
                        <w:jc w:val="both"/>
                      </w:pPr>
                    </w:p>
                    <w:p>
                      <w:pPr>
                        <w:jc w:val="center"/>
                      </w:pPr>
                      <w:r>
                        <w:rPr>
                          <w:position w:val="-10"/>
                        </w:rPr>
                        <w:object w:dxaOrig="2160" w:dyaOrig="315" w14:anchorId="063FF5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8pt;height:15.75pt" o:ole="">
                            <v:imagedata r:id="rId62" o:title=""/>
                          </v:shape>
                          <o:OLEObject Type="Embed" ProgID="Equation.3" ShapeID="_x0000_i1026" DrawAspect="Content" ObjectID="_1524383245" r:id="rId63"/>
                        </w:object>
                      </w:r>
                    </w:p>
                    <w:p>
                      <w:pPr>
                        <w:jc w:val="center"/>
                      </w:pPr>
                    </w:p>
                    <w:p>
                      <w:pPr>
                        <w:tabs>
                          <w:tab w:val="left" w:pos="1496"/>
                        </w:tabs>
                        <w:ind w:firstLine="709"/>
                        <w:jc w:val="both"/>
                      </w:pPr>
                      <w:r>
                        <w:t xml:space="preserve">čia: </w:t>
                        <w:tab/>
                        <w:t>a – automobilių skaičius, tenkantis vienam butui. Minimalus norminis a = 0,8;</w:t>
                      </w:r>
                    </w:p>
                    <w:p>
                      <w:pPr>
                        <w:tabs>
                          <w:tab w:val="left" w:pos="1496"/>
                        </w:tabs>
                        <w:ind w:firstLine="1496"/>
                        <w:jc w:val="both"/>
                      </w:pPr>
                      <w:r>
                        <w:t>b – namo butų skaičius;</w:t>
                      </w:r>
                    </w:p>
                    <w:p>
                      <w:pPr>
                        <w:tabs>
                          <w:tab w:val="left" w:pos="1496"/>
                        </w:tabs>
                        <w:ind w:firstLine="1496"/>
                        <w:jc w:val="both"/>
                      </w:pPr>
                      <w:r>
                        <w:t>fa – vieno automobilio saugyklai įrengti plotas, 25 m</w:t>
                      </w:r>
                      <w:r>
                        <w:rPr>
                          <w:vertAlign w:val="superscript"/>
                        </w:rPr>
                        <w:t>2</w:t>
                      </w:r>
                      <w:r>
                        <w:t>;</w:t>
                      </w:r>
                    </w:p>
                    <w:p>
                      <w:pPr>
                        <w:tabs>
                          <w:tab w:val="left" w:pos="1496"/>
                        </w:tabs>
                        <w:ind w:firstLine="1496"/>
                        <w:jc w:val="both"/>
                      </w:pPr>
                      <w:r>
                        <w:t>fk – dviračių saugyklai, buitinėms atliekoms laikinai sandėliuoti patalpai įrengti plotas, 1,5 m</w:t>
                      </w:r>
                      <w:r>
                        <w:rPr>
                          <w:vertAlign w:val="superscript"/>
                        </w:rPr>
                        <w:t>2</w:t>
                      </w:r>
                      <w:r>
                        <w:t>.</w:t>
                      </w:r>
                    </w:p>
                  </w:sdtContent>
                </w:sdt>
                <w:sdt>
                  <w:sdtPr>
                    <w:alias w:val="15 p."/>
                    <w:tag w:val="part_7b8eaf081f4c431a85c556abc8a6b0aa"/>
                    <w:lock w:val="sdtLocked"/>
                    <w:richText/>
                  </w:sdtPr>
                  <w:sdtContent>
                    <w:p>
                      <w:pPr>
                        <w:ind w:firstLine="709"/>
                        <w:jc w:val="both"/>
                      </w:pPr>
                      <w:sdt>
                        <w:sdtPr>
                          <w:alias w:val="Numeris"/>
                          <w:tag w:val="nr_7b8eaf081f4c431a85c556abc8a6b0aa"/>
                          <w:lock w:val="sdtLocked"/>
                          <w:richText/>
                        </w:sdtPr>
                        <w:sdtContent>
                          <w:r>
                            <w:t>15</w:t>
                          </w:r>
                        </w:sdtContent>
                      </w:sdt>
                      <w:r>
                        <w:t>. Pavienio vienbučio (dvibučio), jų poros ir blokuotų vienbučių namų sklypų plotas kiekvienam butui (šeimai) mažinamas 30 m</w:t>
                      </w:r>
                      <w:r>
                        <w:rPr>
                          <w:vertAlign w:val="superscript"/>
                        </w:rPr>
                        <w:t>2</w:t>
                      </w:r>
                      <w:r>
                        <w:t>.</w:t>
                      </w:r>
                    </w:p>
                  </w:sdtContent>
                </w:sdt>
                <w:sdt>
                  <w:sdtPr>
                    <w:alias w:val="16 p."/>
                    <w:tag w:val="part_1dc7ae311d9945e9a6a10156a3c0fb5a"/>
                    <w:lock w:val="sdtLocked"/>
                    <w:richText/>
                  </w:sdtPr>
                  <w:sdtContent>
                    <w:p>
                      <w:pPr>
                        <w:ind w:firstLine="709"/>
                        <w:jc w:val="both"/>
                      </w:pPr>
                      <w:sdt>
                        <w:sdtPr>
                          <w:alias w:val="Numeris"/>
                          <w:tag w:val="nr_1dc7ae311d9945e9a6a10156a3c0fb5a"/>
                          <w:lock w:val="sdtLocked"/>
                          <w:richText/>
                        </w:sdtPr>
                        <w:sdtContent>
                          <w:r>
                            <w:t>16</w:t>
                          </w:r>
                        </w:sdtContent>
                      </w:sdt>
                      <w:r>
                        <w:t>. Bendruosiuose ir detaliuosiuose planuose gali būti nustatomas didesnis, negu nurodyta Reglamento 1 lentelėje privalomas sklypo plotas, jeigu:</w:t>
                      </w:r>
                    </w:p>
                    <w:sdt>
                      <w:sdtPr>
                        <w:alias w:val="16.1 p."/>
                        <w:tag w:val="part_e6bcf294a7d84c0996351350aa0e80da"/>
                        <w:lock w:val="sdtLocked"/>
                        <w:richText/>
                      </w:sdtPr>
                      <w:sdtContent>
                        <w:p>
                          <w:pPr>
                            <w:ind w:firstLine="709"/>
                            <w:jc w:val="both"/>
                          </w:pPr>
                          <w:sdt>
                            <w:sdtPr>
                              <w:alias w:val="Numeris"/>
                              <w:tag w:val="nr_e6bcf294a7d84c0996351350aa0e80da"/>
                              <w:lock w:val="sdtLocked"/>
                              <w:richText/>
                            </w:sdtPr>
                            <w:sdtContent>
                              <w:r>
                                <w:t>16.1</w:t>
                              </w:r>
                            </w:sdtContent>
                          </w:sdt>
                          <w:r>
                            <w:t>. yra objektyvios priežastys, galinčios pakenkti žmonių sveikatai;</w:t>
                          </w:r>
                        </w:p>
                      </w:sdtContent>
                    </w:sdt>
                    <w:sdt>
                      <w:sdtPr>
                        <w:alias w:val="16.2 p."/>
                        <w:tag w:val="part_e2d7553c15b1415e85417d8fc693539a"/>
                        <w:lock w:val="sdtLocked"/>
                        <w:richText/>
                      </w:sdtPr>
                      <w:sdtContent>
                        <w:p>
                          <w:pPr>
                            <w:ind w:firstLine="709"/>
                            <w:jc w:val="both"/>
                          </w:pPr>
                          <w:sdt>
                            <w:sdtPr>
                              <w:alias w:val="Numeris"/>
                              <w:tag w:val="nr_e2d7553c15b1415e85417d8fc693539a"/>
                              <w:lock w:val="sdtLocked"/>
                              <w:richText/>
                            </w:sdtPr>
                            <w:sdtContent>
                              <w:r>
                                <w:t>16.2</w:t>
                              </w:r>
                            </w:sdtContent>
                          </w:sdt>
                          <w:r>
                            <w:t>. planuojama, kad gyventojai užsiims veikla, pritraukiančia nuolatinių lankytojų lengvaisiais automobiliais srautus;</w:t>
                          </w:r>
                        </w:p>
                      </w:sdtContent>
                    </w:sdt>
                    <w:sdt>
                      <w:sdtPr>
                        <w:alias w:val="16.3 p."/>
                        <w:tag w:val="part_464b7cd46b5742a9ac2844200931fb95"/>
                        <w:lock w:val="sdtLocked"/>
                        <w:richText/>
                      </w:sdtPr>
                      <w:sdtContent>
                        <w:p>
                          <w:pPr>
                            <w:ind w:firstLine="709"/>
                            <w:jc w:val="both"/>
                          </w:pPr>
                          <w:sdt>
                            <w:sdtPr>
                              <w:alias w:val="Numeris"/>
                              <w:tag w:val="nr_464b7cd46b5742a9ac2844200931fb95"/>
                              <w:lock w:val="sdtLocked"/>
                              <w:richText/>
                            </w:sdtPr>
                            <w:sdtContent>
                              <w:r>
                                <w:t>16.3</w:t>
                              </w:r>
                            </w:sdtContent>
                          </w:sdt>
                          <w:r>
                            <w:t>. planuojama, kad pastato negyvenamosiose patalpose teisės aktų nustatyta tvarka įsikurs įmonės, kurių veikla gali įtakoti gyventojų rekreacijos ir gyvenimo sąlygas bei papildomos teritorijos poreikį;</w:t>
                          </w:r>
                        </w:p>
                      </w:sdtContent>
                    </w:sdt>
                    <w:sdt>
                      <w:sdtPr>
                        <w:alias w:val="16.4 p."/>
                        <w:tag w:val="part_e0f4f1fb2e0548a0aa5f807e614e1c8d"/>
                        <w:lock w:val="sdtLocked"/>
                        <w:richText/>
                      </w:sdtPr>
                      <w:sdtContent>
                        <w:p>
                          <w:pPr>
                            <w:ind w:firstLine="709"/>
                            <w:jc w:val="both"/>
                          </w:pPr>
                          <w:sdt>
                            <w:sdtPr>
                              <w:alias w:val="Numeris"/>
                              <w:tag w:val="nr_e0f4f1fb2e0548a0aa5f807e614e1c8d"/>
                              <w:lock w:val="sdtLocked"/>
                              <w:richText/>
                            </w:sdtPr>
                            <w:sdtContent>
                              <w:r>
                                <w:t>16.4</w:t>
                              </w:r>
                            </w:sdtContent>
                          </w:sdt>
                          <w:r>
                            <w:t>. siekiama išsaugoti gamtos vertybes;</w:t>
                          </w:r>
                        </w:p>
                      </w:sdtContent>
                    </w:sdt>
                    <w:sdt>
                      <w:sdtPr>
                        <w:alias w:val="16.5 p."/>
                        <w:tag w:val="part_e904b7210d1d41ce8791aa89482bdee7"/>
                        <w:lock w:val="sdtLocked"/>
                        <w:richText/>
                      </w:sdtPr>
                      <w:sdtContent>
                        <w:p>
                          <w:pPr>
                            <w:ind w:firstLine="709"/>
                            <w:jc w:val="both"/>
                          </w:pPr>
                          <w:sdt>
                            <w:sdtPr>
                              <w:alias w:val="Numeris"/>
                              <w:tag w:val="nr_e904b7210d1d41ce8791aa89482bdee7"/>
                              <w:lock w:val="sdtLocked"/>
                              <w:richText/>
                            </w:sdtPr>
                            <w:sdtContent>
                              <w:r>
                                <w:t>16.5</w:t>
                              </w:r>
                            </w:sdtContent>
                          </w:sdt>
                          <w:r>
                            <w:t>. dėl kitų priežasčių.</w:t>
                          </w:r>
                        </w:p>
                      </w:sdtContent>
                    </w:sdt>
                  </w:sdtContent>
                </w:sdt>
                <w:sdt>
                  <w:sdtPr>
                    <w:alias w:val="17 p."/>
                    <w:tag w:val="part_cd129f80d8c54483a9fb1dabaae57911"/>
                    <w:lock w:val="sdtLocked"/>
                    <w:richText/>
                  </w:sdtPr>
                  <w:sdtContent>
                    <w:p>
                      <w:pPr>
                        <w:ind w:firstLine="709"/>
                        <w:jc w:val="both"/>
                      </w:pPr>
                      <w:sdt>
                        <w:sdtPr>
                          <w:alias w:val="Numeris"/>
                          <w:tag w:val="nr_cd129f80d8c54483a9fb1dabaae57911"/>
                          <w:lock w:val="sdtLocked"/>
                          <w:richText/>
                        </w:sdtPr>
                        <w:sdtContent>
                          <w:r>
                            <w:t>17</w:t>
                          </w:r>
                        </w:sdtContent>
                      </w:sdt>
                      <w:r>
                        <w:t>. Miestų ir miestelių bendruosiuose ir detaliuosiuose planuose nustatytose kiliminio, perimetrinio ir mišraus užstatymo vietose gali būti visų tipų daugiaaukščių gyvenamųjų namų sklypų plotai:</w:t>
                      </w:r>
                    </w:p>
                    <w:sdt>
                      <w:sdtPr>
                        <w:alias w:val="17.1 p."/>
                        <w:tag w:val="part_cf5c625b424242b68a0eca60054bd59b"/>
                        <w:lock w:val="sdtLocked"/>
                        <w:richText/>
                      </w:sdtPr>
                      <w:sdtContent>
                        <w:p>
                          <w:pPr>
                            <w:ind w:firstLine="709"/>
                            <w:jc w:val="both"/>
                          </w:pPr>
                          <w:sdt>
                            <w:sdtPr>
                              <w:alias w:val="Numeris"/>
                              <w:tag w:val="nr_cf5c625b424242b68a0eca60054bd59b"/>
                              <w:lock w:val="sdtLocked"/>
                              <w:richText/>
                            </w:sdtPr>
                            <w:sdtContent>
                              <w:r>
                                <w:t>17.1</w:t>
                              </w:r>
                            </w:sdtContent>
                          </w:sdt>
                          <w:r>
                            <w:t>. ne mažiau kaip 1,3 karto didesni negu bendras visų namų visų aukštų bendras plotas, jeigu įvykdomi 1 lentelėje nurodyti reikalavimai;</w:t>
                          </w:r>
                        </w:p>
                      </w:sdtContent>
                    </w:sdt>
                    <w:sdt>
                      <w:sdtPr>
                        <w:alias w:val="17.2 p."/>
                        <w:tag w:val="part_3d3e5fde22f54a608984899affe552a3"/>
                        <w:lock w:val="sdtLocked"/>
                        <w:richText/>
                      </w:sdtPr>
                      <w:sdtContent>
                        <w:p>
                          <w:pPr>
                            <w:ind w:firstLine="709"/>
                            <w:jc w:val="both"/>
                          </w:pPr>
                          <w:sdt>
                            <w:sdtPr>
                              <w:alias w:val="Numeris"/>
                              <w:tag w:val="nr_3d3e5fde22f54a608984899affe552a3"/>
                              <w:lock w:val="sdtLocked"/>
                              <w:richText/>
                            </w:sdtPr>
                            <w:sdtContent>
                              <w:r>
                                <w:t>17.2</w:t>
                              </w:r>
                            </w:sdtContent>
                          </w:sdt>
                          <w:r>
                            <w:t>. ne mažiau kaip 1,1 karto didesni negu visų gyvenamųjų aukštų bendras plotas, jei tokiame pastate gyvenamoji dalis pritaikyta šeimoms be vaikų ir vienišiems asmenims.</w:t>
                          </w:r>
                        </w:p>
                      </w:sdtContent>
                    </w:sdt>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38e0692803144f828c1ed53e5a13208f"/>
                                    <w:lock w:val="sdtLocked"/>
                                    <w:richText/>
                                  </w:sdtPr>
                                  <w:sdtContent>
                                    <w:p>
                                      <w:pPr>
                                        <w:ind w:firstLine="8505"/>
                                      </w:pPr>
                                      <w:sdt>
                                        <w:sdtPr>
                                          <w:alias w:val="Numeris"/>
                                          <w:tag w:val="nr_38e0692803144f828c1ed53e5a13208f"/>
                                          <w:lock w:val="sdtLocked"/>
                                          <w:richText/>
                                        </w:sdtPr>
                                        <w:sdtContent>
                                          <w:r>
                                            <w:t>8</w:t>
                                          </w:r>
                                        </w:sdtContent>
                                      </w:sdt>
                                      <w:r>
                                        <w:t xml:space="preserve"> lentelė</w:t>
                                      </w:r>
                                    </w:p>
                                    <w:p>
                                      <w:pPr>
                                        <w:ind w:firstLine="709"/>
                                        <w:jc w:val="both"/>
                                      </w:pPr>
                                    </w:p>
                                    <w:p>
                                      <w:pPr>
                                        <w:jc w:val="center"/>
                                        <w:rPr>
                                          <w:b/>
                                        </w:rPr>
                                      </w:pPr>
                                      <w:sdt>
                                        <w:sdtPr>
                                          <w:alias w:val="Pavadinimas"/>
                                          <w:tag w:val="title_38e0692803144f828c1ed53e5a13208f"/>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8989da8a03f245378104a30ab5547654"/>
                    <w:lock w:val="sdtLocked"/>
                    <w:richText/>
                  </w:sdtPr>
                  <w:sdtContent>
                    <w:p>
                      <w:pPr>
                        <w:ind w:firstLine="709"/>
                        <w:jc w:val="both"/>
                      </w:pPr>
                      <w:sdt>
                        <w:sdtPr>
                          <w:alias w:val="Numeris"/>
                          <w:tag w:val="nr_8989da8a03f245378104a30ab5547654"/>
                          <w:lock w:val="sdtLocked"/>
                          <w:richText/>
                        </w:sdtPr>
                        <w:sdtContent>
                          <w:r>
                            <w:t>195</w:t>
                          </w:r>
                        </w:sdtContent>
                      </w:sdt>
                      <w:r>
                        <w:t>. Butų ir patalpų dydžiai nėra reglamentuojami, išskyrus:</w:t>
                      </w:r>
                    </w:p>
                    <w:sdt>
                      <w:sdtPr>
                        <w:alias w:val="195.1 p."/>
                        <w:tag w:val="part_87e02573a45845b7885e78da5065a835"/>
                        <w:lock w:val="sdtLocked"/>
                        <w:richText/>
                      </w:sdtPr>
                      <w:sdtContent>
                        <w:p>
                          <w:pPr>
                            <w:ind w:firstLine="709"/>
                            <w:jc w:val="both"/>
                          </w:pPr>
                          <w:sdt>
                            <w:sdtPr>
                              <w:alias w:val="Numeris"/>
                              <w:tag w:val="nr_87e02573a45845b7885e78da5065a835"/>
                              <w:lock w:val="sdtLocked"/>
                              <w:richText/>
                            </w:sdtPr>
                            <w:sdtContent>
                              <w:r>
                                <w:t>195.1</w:t>
                              </w:r>
                            </w:sdtContent>
                          </w:sdt>
                          <w:r>
                            <w:t>. buto 1 asmeniui dydį, kuris neturi būti mažesnis kaip 34 m</w:t>
                          </w:r>
                          <w:r>
                            <w:rPr>
                              <w:vertAlign w:val="superscript"/>
                            </w:rPr>
                            <w:t>2</w:t>
                          </w:r>
                          <w:r>
                            <w:t>;</w:t>
                          </w:r>
                        </w:p>
                      </w:sdtContent>
                    </w:sdt>
                    <w:sdt>
                      <w:sdtPr>
                        <w:alias w:val="195.2 p."/>
                        <w:tag w:val="part_a35ad755ac9a440082236d340dabdaf7"/>
                        <w:lock w:val="sdtLocked"/>
                        <w:richText/>
                      </w:sdtPr>
                      <w:sdtContent>
                        <w:p>
                          <w:pPr>
                            <w:ind w:firstLine="709"/>
                            <w:jc w:val="both"/>
                          </w:pPr>
                          <w:sdt>
                            <w:sdtPr>
                              <w:alias w:val="Numeris"/>
                              <w:tag w:val="nr_a35ad755ac9a440082236d340dabdaf7"/>
                              <w:lock w:val="sdtLocked"/>
                              <w:richText/>
                            </w:sdtPr>
                            <w:sdtContent>
                              <w:r>
                                <w:t>195.2</w:t>
                              </w:r>
                            </w:sdtContent>
                          </w:sdt>
                          <w:r>
                            <w:t>. vonios kartu su tualetu plotas, kuris neturi būti mažesnis kaip 5 m</w:t>
                          </w:r>
                          <w:r>
                            <w:rPr>
                              <w:vertAlign w:val="superscript"/>
                            </w:rPr>
                            <w:t>2</w:t>
                          </w:r>
                          <w:r>
                            <w:t>;</w:t>
                          </w:r>
                        </w:p>
                      </w:sdtContent>
                    </w:sdt>
                    <w:sdt>
                      <w:sdtPr>
                        <w:alias w:val="195.3 p."/>
                        <w:tag w:val="part_91aa54b34eae41e3854da06892545b05"/>
                        <w:lock w:val="sdtLocked"/>
                        <w:richText/>
                      </w:sdtPr>
                      <w:sdtContent>
                        <w:p>
                          <w:pPr>
                            <w:ind w:firstLine="709"/>
                            <w:jc w:val="both"/>
                          </w:pPr>
                          <w:sdt>
                            <w:sdtPr>
                              <w:alias w:val="Numeris"/>
                              <w:tag w:val="nr_91aa54b34eae41e3854da06892545b05"/>
                              <w:lock w:val="sdtLocked"/>
                              <w:richText/>
                            </w:sdtPr>
                            <w:sdtContent>
                              <w:r>
                                <w:t>195.3</w:t>
                              </w:r>
                            </w:sdtContent>
                          </w:sdt>
                          <w:r>
                            <w:t>. bet kuriame bute, vienbučiame name bent vienas gyvenamasis kambarys turi būti ne mažesnis kaip 16 m</w:t>
                          </w:r>
                          <w:r>
                            <w:rPr>
                              <w:vertAlign w:val="superscript"/>
                            </w:rPr>
                            <w:t>2</w:t>
                          </w:r>
                          <w:r>
                            <w:t>.</w:t>
                          </w:r>
                        </w:p>
                      </w:sdtContent>
                    </w:sdt>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dafc219d48e746a3889cf4a19ce21a6a"/>
                        <w:lock w:val="sdtLocked"/>
                        <w:richText/>
                      </w:sdtPr>
                      <w:sdtContent>
                        <w:p>
                          <w:pPr>
                            <w:ind w:firstLine="709"/>
                            <w:jc w:val="both"/>
                          </w:pPr>
                          <w:sdt>
                            <w:sdtPr>
                              <w:alias w:val="Numeris"/>
                              <w:tag w:val="nr_dafc219d48e746a3889cf4a19ce21a6a"/>
                              <w:lock w:val="sdtLocked"/>
                              <w:richText/>
                            </w:sdtPr>
                            <w:sdtContent>
                              <w:r>
                                <w:t>249.6</w:t>
                              </w:r>
                            </w:sdtContent>
                          </w:sdt>
                          <w:r>
                            <w:t>. buitinių atliekų pašalinimo.</w:t>
                          </w:r>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3791d0f54a30405b86acb609d9ba225c"/>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6AC73B91">
                      <v:shape id="_x0000_i1027" type="#_x0000_t75" style="width:9pt;height:9.75pt" o:ole="">
                        <v:imagedata r:id="rId65" o:title=""/>
                      </v:shape>
                      <o:OLEObject Type="Embed" ProgID="Equation.3" ShapeID="_x0000_i1027" DrawAspect="Content" ObjectID="_1524383246" r:id="rId66"/>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55463dc973e46cf869d817f92a28fe6"/>
            <w:lock w:val="sdtLocked"/>
            <w:richText/>
          </w:sdtPr>
          <w:sdtContent>
            <w:p>
              <w:pPr>
                <w:tabs>
                  <w:tab w:val="left" w:pos="270"/>
                </w:tabs>
                <w:ind w:firstLine="709"/>
                <w:jc w:val="both"/>
              </w:pPr>
              <w:sdt>
                <w:sdtPr>
                  <w:alias w:val="Numeris"/>
                  <w:tag w:val="nr_755463dc973e46cf869d817f92a28fe6"/>
                  <w:lock w:val="sdtLocked"/>
                  <w:richText/>
                </w:sdtPr>
                <w:sdtContent>
                  <w:r>
                    <w:t>3</w:t>
                  </w:r>
                </w:sdtContent>
              </w:sdt>
              <w:r>
                <w:t xml:space="preserve">. Nauji gyvenamieji namai gali būti statomi ne mažesniuose kaip 400 m² sklypuose. </w:t>
              </w:r>
            </w:p>
          </w:sdtContent>
        </w:sdt>
        <w:sdt>
          <w:sdtPr>
            <w:alias w:val="1 pr. 4 p."/>
            <w:tag w:val="part_e49905fd812845a4ad291dc34a0acf11"/>
            <w:lock w:val="sdtLocked"/>
            <w:richText/>
          </w:sdtPr>
          <w:sdtContent>
            <w:p>
              <w:pPr>
                <w:tabs>
                  <w:tab w:val="left" w:pos="270"/>
                </w:tabs>
                <w:ind w:firstLine="709"/>
                <w:jc w:val="both"/>
              </w:pPr>
              <w:sdt>
                <w:sdtPr>
                  <w:alias w:val="Numeris"/>
                  <w:tag w:val="nr_e49905fd812845a4ad291dc34a0acf11"/>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fc538973639848f69b104b477be51a4f"/>
                <w:lock w:val="sdtLocked"/>
                <w:richText/>
              </w:sdtPr>
              <w:sdtContent>
                <w:p>
                  <w:pPr>
                    <w:tabs>
                      <w:tab w:val="right" w:pos="9519"/>
                    </w:tabs>
                  </w:pPr>
                  <w:r>
                    <w:br w:type="page"/>
                  </w:r>
                </w:p>
                <w:p>
                  <w:pPr>
                    <w:tabs>
                      <w:tab w:val="right" w:pos="9519"/>
                    </w:tabs>
                    <w:ind w:firstLine="8505"/>
                  </w:pPr>
                  <w:sdt>
                    <w:sdtPr>
                      <w:alias w:val="Numeris"/>
                      <w:tag w:val="nr_fc538973639848f69b104b477be51a4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fc538973639848f69b104b477be51a4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90"/>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1F6E7C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5B9324E8D5A9"/>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730AF460C084"/>
  <Relationship Id="rId24" Type="http://schemas.openxmlformats.org/officeDocument/2006/relationships/hyperlink" TargetMode="External" Target="https://www.e-tar.lt/portal/lt/legalAct/TAR.19AD91BDE89C"/>
  <Relationship Id="rId25" Type="http://schemas.openxmlformats.org/officeDocument/2006/relationships/hyperlink" TargetMode="External" Target="https://www.e-tar.lt/portal/lt/legalAct/TAR.97703F0DD16E"/>
  <Relationship Id="rId26" Type="http://schemas.openxmlformats.org/officeDocument/2006/relationships/hyperlink" TargetMode="External" Target="https://www.e-tar.lt/portal/lt/legalAct/TAR.133EBB9373E5"/>
  <Relationship Id="rId27" Type="http://schemas.openxmlformats.org/officeDocument/2006/relationships/hyperlink" TargetMode="External" Target="https://www.e-tar.lt/portal/lt/legalAct/TAR.5D4C2A68C9D5"/>
  <Relationship Id="rId28" Type="http://schemas.openxmlformats.org/officeDocument/2006/relationships/hyperlink" TargetMode="External" Target="https://www.e-tar.lt/portal/lt/legalAct/TAR.40F0066AC3BA"/>
  <Relationship Id="rId29" Type="http://schemas.openxmlformats.org/officeDocument/2006/relationships/hyperlink" TargetMode="External" Target="https://www.e-tar.lt/portal/lt/legalAct/TAR.BEFE83252B3B"/>
  <Relationship Id="rId3" Type="http://schemas.openxmlformats.org/officeDocument/2006/relationships/footer" Target="footer1.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F37A1C80FD53"/>
  <Relationship Id="rId32" Type="http://schemas.openxmlformats.org/officeDocument/2006/relationships/hyperlink" TargetMode="External" Target="https://www.e-tar.lt/portal/lt/legalAct/TAR.73B59CC7A458"/>
  <Relationship Id="rId33" Type="http://schemas.openxmlformats.org/officeDocument/2006/relationships/hyperlink" TargetMode="External" Target="https://www.e-tar.lt/portal/lt/legalAct/TAR.7C0A7B502599"/>
  <Relationship Id="rId34" Type="http://schemas.openxmlformats.org/officeDocument/2006/relationships/hyperlink" TargetMode="External" Target="https://www.e-tar.lt/portal/lt/legalAct/TAR.EB554E4C6BFA"/>
  <Relationship Id="rId35" Type="http://schemas.openxmlformats.org/officeDocument/2006/relationships/hyperlink" TargetMode="External" Target="https://www.e-tar.lt/portal/lt/legalAct/TAR.E5D5DC3C496B"/>
  <Relationship Id="rId36" Type="http://schemas.openxmlformats.org/officeDocument/2006/relationships/hyperlink" TargetMode="External" Target="https://www.e-tar.lt/portal/lt/legalAct/TAR.F81C6C9CBD7C"/>
  <Relationship Id="rId37" Type="http://schemas.openxmlformats.org/officeDocument/2006/relationships/hyperlink" TargetMode="External" Target="https://www.e-tar.lt/portal/lt/legalAct/TAR.0196C6B659D4"/>
  <Relationship Id="rId38" Type="http://schemas.openxmlformats.org/officeDocument/2006/relationships/hyperlink" TargetMode="External" Target="https://www.e-tar.lt/portal/lt/legalAct/TAR.B54BD95E5C95"/>
  <Relationship Id="rId39" Type="http://schemas.openxmlformats.org/officeDocument/2006/relationships/hyperlink" TargetMode="External" Target="https://www.e-tar.lt/portal/lt/legalAct/TAR.3C24C4CAE7B1"/>
  <Relationship Id="rId4" Type="http://schemas.openxmlformats.org/officeDocument/2006/relationships/footer" Target="footer2.xml"/>
  <Relationship Id="rId40" Type="http://schemas.openxmlformats.org/officeDocument/2006/relationships/hyperlink" TargetMode="External" Target="https://www.e-tar.lt/portal/lt/legalAct/TAR.EFD8078E42A8"/>
  <Relationship Id="rId41" Type="http://schemas.openxmlformats.org/officeDocument/2006/relationships/hyperlink" TargetMode="External" Target="https://www.e-tar.lt/portal/lt/legalAct/TAR.3A7EBDA4333C"/>
  <Relationship Id="rId42" Type="http://schemas.openxmlformats.org/officeDocument/2006/relationships/hyperlink" TargetMode="External" Target="https://www.e-tar.lt/portal/lt/legalAct/TAR.21AB86C885B9"/>
  <Relationship Id="rId43" Type="http://schemas.openxmlformats.org/officeDocument/2006/relationships/hyperlink" TargetMode="External" Target="https://www.e-tar.lt/portal/lt/legalAct/TAR.8AE000043246"/>
  <Relationship Id="rId44" Type="http://schemas.openxmlformats.org/officeDocument/2006/relationships/hyperlink" TargetMode="External" Target="https://www.e-tar.lt/portal/lt/legalAct/TAR.D622D15B7821"/>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F59FD18715B"/>
  <Relationship Id="rId47" Type="http://schemas.openxmlformats.org/officeDocument/2006/relationships/hyperlink" TargetMode="External" Target="https://www.e-tar.lt/portal/lt/legalAct/TAR.18B96D92084A"/>
  <Relationship Id="rId48" Type="http://schemas.openxmlformats.org/officeDocument/2006/relationships/hyperlink" TargetMode="External" Target="https://www.e-tar.lt/portal/lt/legalAct/TAR.3D36624A7DB6"/>
  <Relationship Id="rId49" Type="http://schemas.openxmlformats.org/officeDocument/2006/relationships/hyperlink" TargetMode="External" Target="https://www.e-tar.lt/portal/lt/legalAct/TAR.266346EBB4C5"/>
  <Relationship Id="rId5" Type="http://schemas.openxmlformats.org/officeDocument/2006/relationships/header" Target="header3.xml"/>
  <Relationship Id="rId50" Type="http://schemas.openxmlformats.org/officeDocument/2006/relationships/hyperlink" TargetMode="External" Target="https://www.e-tar.lt/portal/lt/legalAct/TAR.751B6F8BF451"/>
  <Relationship Id="rId51" Type="http://schemas.openxmlformats.org/officeDocument/2006/relationships/hyperlink" TargetMode="External" Target="https://www.e-tar.lt/portal/lt/legalAct/TAR.14FD4683EE62"/>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7DB784A50464"/>
  <Relationship Id="rId54" Type="http://schemas.openxmlformats.org/officeDocument/2006/relationships/hyperlink" TargetMode="External" Target="https://www.e-tar.lt/portal/lt/legalAct/TAR.38A290E92653"/>
  <Relationship Id="rId55" Type="http://schemas.openxmlformats.org/officeDocument/2006/relationships/hyperlink" TargetMode="External" Target="https://www.e-tar.lt/portal/lt/legalAct/TAR.21AB86C885B9"/>
  <Relationship Id="rId56" Type="http://schemas.openxmlformats.org/officeDocument/2006/relationships/hyperlink" TargetMode="External" Target="https://www.e-tar.lt/portal/lt/legalAct/TAR.8AE000043246"/>
  <Relationship Id="rId57" Type="http://schemas.openxmlformats.org/officeDocument/2006/relationships/hyperlink" TargetMode="External" Target="https://www.e-tar.lt/portal/lt/legalAct/TAR.9BC311EA3CDE"/>
  <Relationship Id="rId58" Type="http://schemas.openxmlformats.org/officeDocument/2006/relationships/hyperlink" TargetMode="External" Target="https://www.e-tar.lt/portal/lt/legalAct/TAR.704E58E37608"/>
  <Relationship Id="rId59" Type="http://schemas.openxmlformats.org/officeDocument/2006/relationships/hyperlink" TargetMode="External" Target="https://www.e-tar.lt/portal/lt/legalAct/TAR.68C0759858EC"/>
  <Relationship Id="rId6" Type="http://schemas.openxmlformats.org/officeDocument/2006/relationships/footer" Target="footer3.xml"/>
  <Relationship Id="rId60" Type="http://schemas.openxmlformats.org/officeDocument/2006/relationships/hyperlink" TargetMode="External" Target="https://www.e-tar.lt/portal/lt/legalAct/TAR.B1E86AD9529B"/>
  <Relationship Id="rId61" Type="http://schemas.openxmlformats.org/officeDocument/2006/relationships/hyperlink" TargetMode="External" Target="https://www.e-tar.lt/portal/lt/legalAct/TAR.BDEC34EEB1DC"/>
  <Relationship Id="rId62" Type="http://schemas.openxmlformats.org/officeDocument/2006/relationships/image" Target="media/image2.wmf"/>
  <Relationship Id="rId63" Type="http://schemas.openxmlformats.org/officeDocument/2006/relationships/oleObject" Target="embeddings/oleObject1.bin"/>
  <Relationship Id="rId64" Type="http://schemas.openxmlformats.org/officeDocument/2006/relationships/image" Target="media/image3.wmf"/>
  <Relationship Id="rId65" Type="http://schemas.openxmlformats.org/officeDocument/2006/relationships/image" Target="media/image4.wmf"/>
  <Relationship Id="rId66" Type="http://schemas.openxmlformats.org/officeDocument/2006/relationships/oleObject" Target="embeddings/oleObject2.bin"/>
  <Relationship Id="rId67"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64338980efce462aaa53a9e0d086e20b">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6a067e79bfa4facb27a988e72d1c006"/>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12d9ed0fe9564b44be59631dcb311cd8">
          <Part Type="lentele" Nr="1" Title="Daugiabučio namo sklypo privalomasis minimalus plotas" DocPartId="6b1d91e12801443c83e95f88eddf764b" PartId="7d835073fcfd4546ab05c5428ba707ab"/>
          <Part Type="pastraipa" DocPartId="dc24f1fe2f6c42b281614b795b1af927" PartId="7085697903e6422588a871ef70612be5"/>
          <Part Type="pastraipa" DocPartId="56d1acc41fc94b2ca9cc745c3718b419" PartId="f75fd7a634e0432a9e1f599ed57cb895"/>
          <Part Type="pastraipa" DocPartId="40c3cdb5667e45d692f7caa1d252bcbc" PartId="bc93e98471ec443a90669d94f3d7e54f"/>
          <Part Type="pastraipa" DocPartId="ed3b43a034bc47ef84c58c1d9da223e1" PartId="23a757a5226a48aca5e0d396d657e75e"/>
          <Part Type="pastraipa" DocPartId="4f697ee767cd46feacf7e921bc4f45ab" PartId="da57bfb7ce954998afeaf6d8a8792d9d"/>
          <Part Type="pastraipa" DocPartId="0196c6614b4b4b1a8bdf0dc7e9b34cd6" PartId="de7ae476f83242b0af25155054547358"/>
          <Part Type="pastraipa" DocPartId="949383ce446a4f3d9c56a46c857c05f2" PartId="04ea1c9367094ce793b9bf903e8da156"/>
          <Part Type="pastraipa" DocPartId="ef2119557bb34cec817bc3ffa70e9cc3" PartId="7d2c020eb00e4af88ce4c1cf2d1916f9"/>
          <Part Type="pastraipa" DocPartId="429145a3c93b405288cbb6301f3befdb" PartId="c719ea0036134f49987fffbcfe0dc2ac"/>
          <Part Type="pastraipa" DocPartId="5f6a6961c12c4526a1f0d29ceb65fad3" PartId="a8c45bd95a6642dda8dd563c4adc2be7"/>
        </Part>
        <Part Type="punktas" Nr="12" Abbr="12 p." Title="" DocPartId="219d9fd908ce48b29d893b5e405c8718" PartId="fb827682dfa342188fd8428f5b182e4f"/>
        <Part Type="punktas" Nr="13" Abbr="13 p." DocPartId="5397a033977b4ec8b6665aeeae30d30c" PartId="ccf856e78a6243d4bb855300bfcdfbb5"/>
        <Part Type="punktas" Nr="14" Abbr="14 p." DocPartId="040c8c8c1049400eaf3ee076f888b39d" PartId="8774568fca9d4d1e99093034d1d842ad"/>
        <Part Type="punktas" Nr="15" Abbr="15 p." DocPartId="933702c8486747f9af7967345cbcc40f" PartId="7b8eaf081f4c431a85c556abc8a6b0aa"/>
        <Part Type="punktas" Nr="16" Abbr="16 p." DocPartId="7c72f8512cac42a880bd5f8d5ea510ac" PartId="1dc7ae311d9945e9a6a10156a3c0fb5a">
          <Part Type="punktas" Nr="16.1" Abbr="16.1 p." DocPartId="c2ede4b2d6bc4c35991d5bd5dfe1fb4b" PartId="e6bcf294a7d84c0996351350aa0e80da"/>
          <Part Type="punktas" Nr="16.2" Abbr="16.2 p." DocPartId="9f962464f8b14e0298ec1cd0f2dcb8ba" PartId="e2d7553c15b1415e85417d8fc693539a"/>
          <Part Type="punktas" Nr="16.3" Abbr="16.3 p." DocPartId="d7c7c5b0aa6e43e9b14110bc5f53a9dc" PartId="464b7cd46b5742a9ac2844200931fb95"/>
          <Part Type="punktas" Nr="16.4" Abbr="16.4 p." DocPartId="05ec672d11b44e60818dd2a12d050e62" PartId="e0f4f1fb2e0548a0aa5f807e614e1c8d"/>
          <Part Type="punktas" Nr="16.5" Abbr="16.5 p." DocPartId="e85f8c0492154d0b9c44c4ee85da5a96" PartId="e904b7210d1d41ce8791aa89482bdee7"/>
        </Part>
        <Part Type="punktas" Nr="17" Abbr="17 p." DocPartId="70dfcb93602c4477b7b92b75d6c9e0bf" PartId="cd129f80d8c54483a9fb1dabaae57911">
          <Part Type="punktas" Nr="17.1" Abbr="17.1 p." DocPartId="97b910d049d84bd396892aba04e4ccca" PartId="cf5c625b424242b68a0eca60054bd59b"/>
          <Part Type="punktas" Nr="17.2" Abbr="17.2 p." DocPartId="f1950bb8f2fa4ffe897c8e94584789ad" PartId="3d3e5fde22f54a608984899affe552a3"/>
        </Part>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38e0692803144f828c1ed53e5a13208f"/>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8989da8a03f245378104a30ab5547654">
          <Part Type="punktas" Nr="195.1" Abbr="195.1 p." DocPartId="e878211486c04765916c6a72633c247e" PartId="87e02573a45845b7885e78da5065a835"/>
          <Part Type="punktas" Nr="195.2" Abbr="195.2 p." DocPartId="ee8f2948f28f4b70898042e9d2c696e0" PartId="a35ad755ac9a440082236d340dabdaf7"/>
          <Part Type="punktas" Nr="195.3" Abbr="195.3 p." DocPartId="62e47c54642f405089844b133e74459d" PartId="91aa54b34eae41e3854da06892545b05"/>
        </Part>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dafc219d48e746a3889cf4a19ce21a6a"/>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3791d0f54a30405b86acb609d9ba225c"/>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55463dc973e46cf869d817f92a28fe6"/>
    <Part Type="punktas" Nr="4" Abbr="1 pr. 4 p." DocPartId="ade170dc933d403baae08fd9a24610b1" PartId="e49905fd812845a4ad291dc34a0acf11"/>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fc538973639848f69b104b477be51a4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D9477A9B-E379-4617-9FA6-CEE6D215D07A}">
  <ds:schemaRefs>
    <ds:schemaRef ds:uri="http://lrs.lt/TAIS/DocParts"/>
  </ds:schemaRefs>
</ds:datastoreItem>
</file>

<file path=docProps/app.xml><?xml version="1.0" encoding="utf-8"?>
<Properties xmlns="http://schemas.openxmlformats.org/officeDocument/2006/extended-properties">
  <Template>Normal.dotm</Template>
  <TotalTime>26</TotalTime>
  <Pages>49</Pages>
  <Words>97400</Words>
  <Characters>55518</Characters>
  <Application>Microsoft Office Word</Application>
  <DocSecurity>0</DocSecurity>
  <Lines>462</Lines>
  <Paragraphs>305</Paragraphs>
  <ScaleCrop>false</ScaleCrop>
  <Company/>
  <LinksUpToDate>false</LinksUpToDate>
  <CharactersWithSpaces>152613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2016-05-10T08:01:00Z</dcterms:modified>
  <revision>8</revision>
</coreProperties>
</file>