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A5824A888C81">
        <w:r w:rsidRPr="00532B9F">
          <w:rPr>
            <w:rFonts w:ascii="Times New Roman" w:eastAsia="MS Mincho" w:hAnsi="Times New Roman"/>
            <w:sz w:val="20"/>
            <w:i/>
            <w:iCs/>
            <w:color w:val="0000FF" w:themeColor="hyperlink"/>
            <w:u w:val="single"/>
          </w:rPr>
          <w:t>124-5667</w:t>
        </w:r>
      </w:fldSimple>
      <w:r>
        <w:rPr>
          <w:rFonts w:ascii="Times New Roman" w:eastAsia="MS Mincho" w:hAnsi="Times New Roman"/>
          <w:sz w:val="20"/>
          <w:i/>
          <w:iCs/>
        </w:rPr>
        <w:t>, i. k. 103106ANUTA00O3-116</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24" o:title=""/>
          </v:shape>
          <w:control r:id="rId25" w:name="Control 3" w:shapeid="_x0000_s1027"/>
        </w:pict>
      </w:r>
      <w:r>
        <w:rPr>
          <w:b/>
          <w:color w:val="000000"/>
        </w:rPr>
        <w:t>VALSTYBINĖ KAINŲ IR ENERGETIKOS KONTROLĖS KOMISIJA</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 xml:space="preserve">DĖL ATSKIRŲ ENERGIJOS IR KURO RŪŠIŲ SĄNAUDŲ NORMATYVŲ BŪSTUI ŠILDYTI IR KARŠTAM VANDENIUI RUOŠTI NUSTATYMO BEI TAIKYMO METODIKOS PATVIRTINIMO </w:t>
      </w:r>
    </w:p>
    <w:p>
      <w:pPr>
        <w:jc w:val="center"/>
        <w:rPr>
          <w:color w:val="000000"/>
        </w:rPr>
      </w:pPr>
    </w:p>
    <w:p>
      <w:pPr>
        <w:jc w:val="center"/>
        <w:rPr>
          <w:color w:val="000000"/>
        </w:rPr>
      </w:pPr>
      <w:r>
        <w:rPr>
          <w:color w:val="000000"/>
        </w:rPr>
        <w:t>2003 m. gruodžio 22 d. Nr. O3-116</w:t>
      </w:r>
    </w:p>
    <w:p>
      <w:pPr>
        <w:jc w:val="center"/>
        <w:rPr>
          <w:color w:val="000000"/>
        </w:rPr>
      </w:pPr>
      <w:r>
        <w:rPr>
          <w:color w:val="000000"/>
        </w:rPr>
        <w:t>Vilnius</w:t>
      </w:r>
    </w:p>
    <w:p>
      <w:pPr>
        <w:ind w:firstLine="709"/>
        <w:jc w:val="both"/>
        <w:rPr>
          <w:color w:val="000000"/>
        </w:rPr>
      </w:pP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945bb0d14011e8bea9885f77677ec1">
        <w:r w:rsidRPr="00532B9F">
          <w:rPr>
            <w:rFonts w:ascii="Times New Roman" w:eastAsia="MS Mincho" w:hAnsi="Times New Roman"/>
            <w:sz w:val="20"/>
            <w:i/>
            <w:iCs/>
            <w:color w:val="0000FF" w:themeColor="hyperlink"/>
            <w:u w:val="single"/>
          </w:rPr>
          <w:t>O3E-329</w:t>
        </w:r>
      </w:fldSimple>
      <w:r>
        <w:rPr>
          <w:rFonts w:ascii="Times New Roman" w:eastAsia="MS Mincho" w:hAnsi="Times New Roman"/>
          <w:sz w:val="20"/>
          <w:i/>
          <w:iCs/>
        </w:rPr>
        <w:t>,
2018-10-16,
paskelbta TAR 2018-10-16, i. k. 2018-16263        </w:t>
      </w:r>
    </w:p>
    <w:p/>
    <w:p>
      <w:pPr>
        <w:tabs>
          <w:tab w:val="left" w:pos="709"/>
        </w:tabs>
        <w:ind w:firstLine="709"/>
        <w:jc w:val="both"/>
        <w:rPr>
          <w:color w:val="000000"/>
        </w:rPr>
      </w:pPr>
      <w:r>
        <w:rPr>
          <w:szCs w:val="24"/>
        </w:rPr>
        <w:t>Vadovaudamasi Lietuvos Respublikos piniginės socialinės paramos nepasiturintiems gyventojams įstatymo 12 straipsnio 3 dalimi, Valstybinė kainų ir energetikos kontrolės komisija nutaria:</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945bb0d14011e8bea9885f77677ec1">
        <w:r w:rsidRPr="00532B9F">
          <w:rPr>
            <w:rFonts w:ascii="Times New Roman" w:eastAsia="MS Mincho" w:hAnsi="Times New Roman"/>
            <w:sz w:val="20"/>
            <w:i/>
            <w:iCs/>
            <w:color w:val="0000FF" w:themeColor="hyperlink"/>
            <w:u w:val="single"/>
          </w:rPr>
          <w:t>O3E-329</w:t>
        </w:r>
      </w:fldSimple>
      <w:r>
        <w:rPr>
          <w:rFonts w:ascii="Times New Roman" w:eastAsia="MS Mincho" w:hAnsi="Times New Roman"/>
          <w:sz w:val="20"/>
          <w:i/>
          <w:iCs/>
        </w:rPr>
        <w:t>,
2018-10-16,
paskelbta TAR 2018-10-16, i. k. 2018-16263            </w:t>
      </w:r>
    </w:p>
    <w:p/>
    <w:p>
      <w:pPr>
        <w:tabs>
          <w:tab w:val="left" w:pos="709"/>
        </w:tabs>
        <w:ind w:firstLine="709"/>
        <w:jc w:val="both"/>
        <w:rPr>
          <w:color w:val="000000"/>
        </w:rPr>
      </w:pPr>
      <w:r>
        <w:rPr>
          <w:szCs w:val="24"/>
          <w:lang w:eastAsia="lt-LT"/>
        </w:rPr>
        <w:t>1</w:t>
      </w:r>
      <w:r>
        <w:rPr>
          <w:szCs w:val="24"/>
          <w:lang w:eastAsia="lt-LT"/>
        </w:rPr>
        <w:t xml:space="preserve">. </w:t>
      </w:r>
      <w:r>
        <w:rPr>
          <w:szCs w:val="24"/>
        </w:rPr>
        <w:t>Patvirtinti Atskirų energijos ir kuro rūšių sąnaudų normatyvų būstui šildyti ir karštam vandeniui ruošti nustatymo bei taikymo metodiką (pridedama).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945bb0d14011e8bea9885f77677ec1">
        <w:r w:rsidRPr="00532B9F">
          <w:rPr>
            <w:rFonts w:ascii="Times New Roman" w:eastAsia="MS Mincho" w:hAnsi="Times New Roman"/>
            <w:sz w:val="20"/>
            <w:i/>
            <w:iCs/>
            <w:color w:val="0000FF" w:themeColor="hyperlink"/>
            <w:u w:val="single"/>
          </w:rPr>
          <w:t>O3E-329</w:t>
        </w:r>
      </w:fldSimple>
      <w:r>
        <w:rPr>
          <w:rFonts w:ascii="Times New Roman" w:eastAsia="MS Mincho" w:hAnsi="Times New Roman"/>
          <w:sz w:val="20"/>
          <w:i/>
          <w:iCs/>
        </w:rPr>
        <w:t>,
2018-10-16,
paskelbta TAR 2018-10-16, i. k. 2018-16263            </w:t>
      </w:r>
    </w:p>
    <w:p/>
    <w:p>
      <w:pPr>
        <w:ind w:firstLine="709"/>
        <w:jc w:val="both"/>
        <w:rPr>
          <w:color w:val="000000"/>
        </w:rPr>
      </w:pPr>
      <w:r>
        <w:rPr>
          <w:color w:val="000000"/>
        </w:rPr>
        <w:t>2</w:t>
      </w:r>
      <w:r>
        <w:rPr>
          <w:color w:val="000000"/>
        </w:rPr>
        <w:t xml:space="preserve">. Įsigaliojus šiai metodikai, pripažinti netekusiu galios Valstybinės kainų ir energetikos kontrolės komisijos 1999 m. birželio 30 d. nutarimą Nr. 30 „Dėl kompensuojamo normatyvinio energijos kiekio bendrojo (naudingojo) ploto vienam kvadratiniam metrui šildyti“ (Informaciniai pranešimai, 1999, Nr. </w:t>
      </w:r>
      <w:hyperlink r:id="rId26" w:tgtFrame="_blank" w:history="1">
        <w:r>
          <w:rPr>
            <w:color w:val="0000FF" w:themeColor="hyperlink"/>
            <w:u w:val="single"/>
          </w:rPr>
          <w:t>26-4</w:t>
        </w:r>
      </w:hyperlink>
      <w:r>
        <w:rPr>
          <w:color w:val="000000"/>
        </w:rPr>
        <w:t>).</w:t>
      </w:r>
    </w:p>
    <w:p>
      <w:pPr>
        <w:ind w:firstLine="709"/>
        <w:jc w:val="both"/>
        <w:rPr>
          <w:color w:val="000000"/>
        </w:rPr>
      </w:pPr>
    </w:p>
    <w:p>
      <w:pPr>
        <w:ind w:firstLine="709"/>
        <w:jc w:val="both"/>
        <w:rPr>
          <w:color w:val="000000"/>
        </w:rPr>
      </w:pPr>
    </w:p>
    <w:p>
      <w:pPr>
        <w:tabs>
          <w:tab w:val="right" w:pos="9639"/>
        </w:tabs>
        <w:rPr>
          <w:caps/>
        </w:rPr>
      </w:pPr>
      <w:r>
        <w:rPr>
          <w:caps/>
        </w:rPr>
        <w:t>Pirmininkas</w:t>
        <w:tab/>
        <w:t>Vidmantas Jankauskas</w:t>
      </w:r>
    </w:p>
    <w:p>
      <w:pPr>
        <w:tabs>
          <w:tab w:val="left" w:pos="1304"/>
          <w:tab w:val="left" w:pos="1457"/>
          <w:tab w:val="left" w:pos="1604"/>
          <w:tab w:val="left" w:pos="1757"/>
        </w:tabs>
        <w:ind w:left="5953" w:firstLine="709"/>
        <w:rPr>
          <w:color w:val="000000"/>
        </w:rPr>
      </w:pPr>
    </w:p>
    <w:p>
      <w:pPr>
        <w:tabs>
          <w:tab w:val="left" w:pos="709"/>
          <w:tab w:val="left" w:pos="1276"/>
        </w:tabs>
        <w:ind w:left="4536"/>
        <w:sectPr>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701" w:header="567" w:footer="567" w:gutter="0"/>
          <w:cols w:space="1296"/>
          <w:titlePg/>
          <w:docGrid w:linePitch="360"/>
        </w:sectPr>
      </w:pPr>
    </w:p>
    <w:p>
      <w:pPr>
        <w:tabs>
          <w:tab w:val="left" w:pos="709"/>
          <w:tab w:val="left" w:pos="1276"/>
        </w:tabs>
        <w:ind w:left="4536"/>
        <w:rPr>
          <w:szCs w:val="24"/>
        </w:rPr>
      </w:pPr>
      <w:r>
        <w:rPr>
          <w:szCs w:val="24"/>
        </w:rPr>
        <w:t>PATVIRTINTA</w:t>
      </w:r>
    </w:p>
    <w:p>
      <w:pPr>
        <w:tabs>
          <w:tab w:val="left" w:pos="709"/>
          <w:tab w:val="left" w:pos="1276"/>
        </w:tabs>
        <w:ind w:left="4536"/>
        <w:rPr>
          <w:szCs w:val="24"/>
        </w:rPr>
      </w:pPr>
      <w:r>
        <w:rPr>
          <w:szCs w:val="24"/>
        </w:rPr>
        <w:t>Valstybinės kainų ir energetikos kontrolės komisijos</w:t>
      </w:r>
    </w:p>
    <w:p>
      <w:pPr>
        <w:tabs>
          <w:tab w:val="left" w:pos="709"/>
          <w:tab w:val="left" w:pos="1276"/>
        </w:tabs>
        <w:ind w:left="4536"/>
        <w:rPr>
          <w:szCs w:val="24"/>
        </w:rPr>
      </w:pPr>
      <w:r>
        <w:rPr>
          <w:szCs w:val="24"/>
        </w:rPr>
        <w:t>2003 m. gruodžio 22 d. nutarimu Nr. O3-116</w:t>
      </w:r>
    </w:p>
    <w:p>
      <w:pPr>
        <w:tabs>
          <w:tab w:val="left" w:pos="709"/>
          <w:tab w:val="left" w:pos="1276"/>
        </w:tabs>
        <w:ind w:left="4536"/>
        <w:rPr>
          <w:szCs w:val="24"/>
        </w:rPr>
      </w:pPr>
      <w:r>
        <w:rPr>
          <w:szCs w:val="24"/>
        </w:rPr>
        <w:t>(Valstybinės kainų ir energetikos kontrolės</w:t>
      </w:r>
    </w:p>
    <w:p>
      <w:pPr>
        <w:tabs>
          <w:tab w:val="left" w:pos="709"/>
          <w:tab w:val="left" w:pos="1276"/>
        </w:tabs>
        <w:ind w:left="4536"/>
        <w:rPr>
          <w:szCs w:val="24"/>
        </w:rPr>
      </w:pPr>
      <w:r>
        <w:rPr>
          <w:szCs w:val="24"/>
        </w:rPr>
        <w:t xml:space="preserve">komisijos 2018 m. spalio 16 d. nutarimo </w:t>
      </w:r>
    </w:p>
    <w:p>
      <w:pPr>
        <w:tabs>
          <w:tab w:val="left" w:pos="709"/>
          <w:tab w:val="left" w:pos="1276"/>
        </w:tabs>
        <w:ind w:left="4536"/>
        <w:rPr>
          <w:szCs w:val="24"/>
        </w:rPr>
      </w:pPr>
      <w:r>
        <w:rPr>
          <w:szCs w:val="24"/>
        </w:rPr>
        <w:t>Nr. O3E-329 redakcija)</w:t>
      </w:r>
    </w:p>
    <w:p>
      <w:pPr>
        <w:tabs>
          <w:tab w:val="left" w:pos="709"/>
        </w:tabs>
        <w:jc w:val="center"/>
        <w:rPr>
          <w:b/>
          <w:szCs w:val="24"/>
        </w:rPr>
      </w:pPr>
    </w:p>
    <w:p>
      <w:pPr>
        <w:tabs>
          <w:tab w:val="left" w:pos="709"/>
        </w:tabs>
        <w:jc w:val="center"/>
        <w:rPr>
          <w:b/>
          <w:szCs w:val="24"/>
        </w:rPr>
      </w:pPr>
      <w:r>
        <w:rPr>
          <w:b/>
          <w:bCs/>
          <w:szCs w:val="24"/>
        </w:rPr>
        <w:t>ATSKIRŲ ENERGIJOS IR KURO RŪŠIŲ SĄNAUDŲ NORMATYVŲ BŪSTUI ŠILDYTI IR KARŠTAM VANDENIUI RUOŠTI NUSTATYMO BEI TAIKYMO METODIKA</w:t>
      </w:r>
    </w:p>
    <w:p>
      <w:pPr>
        <w:tabs>
          <w:tab w:val="left" w:pos="709"/>
        </w:tabs>
        <w:jc w:val="center"/>
        <w:rPr>
          <w:b/>
          <w:szCs w:val="24"/>
        </w:rPr>
      </w:pPr>
    </w:p>
    <w:p>
      <w:pPr>
        <w:tabs>
          <w:tab w:val="left" w:pos="709"/>
        </w:tabs>
        <w:jc w:val="center"/>
        <w:rPr>
          <w:b/>
          <w:szCs w:val="24"/>
        </w:rPr>
      </w:pPr>
      <w:r>
        <w:rPr>
          <w:b/>
          <w:szCs w:val="24"/>
        </w:rPr>
        <w:t>I</w:t>
      </w:r>
      <w:r>
        <w:rPr>
          <w:b/>
          <w:szCs w:val="24"/>
        </w:rPr>
        <w:t xml:space="preserve"> SKYRIUS</w:t>
      </w:r>
    </w:p>
    <w:p>
      <w:pPr>
        <w:tabs>
          <w:tab w:val="left" w:pos="709"/>
        </w:tabs>
        <w:jc w:val="center"/>
        <w:rPr>
          <w:b/>
          <w:szCs w:val="24"/>
        </w:rPr>
      </w:pPr>
      <w:r>
        <w:rPr>
          <w:b/>
          <w:szCs w:val="24"/>
        </w:rPr>
        <w:t>BENDROSIOS NUOSTATOS</w:t>
      </w:r>
    </w:p>
    <w:p>
      <w:pPr>
        <w:tabs>
          <w:tab w:val="left" w:pos="709"/>
        </w:tabs>
        <w:jc w:val="center"/>
        <w:rPr>
          <w:szCs w:val="24"/>
        </w:rPr>
      </w:pPr>
    </w:p>
    <w:p>
      <w:pPr>
        <w:tabs>
          <w:tab w:val="left" w:pos="709"/>
        </w:tabs>
        <w:ind w:firstLine="709"/>
        <w:jc w:val="both"/>
        <w:rPr>
          <w:bCs/>
          <w:szCs w:val="24"/>
        </w:rPr>
      </w:pPr>
      <w:r>
        <w:rPr>
          <w:szCs w:val="24"/>
        </w:rPr>
        <w:t>1</w:t>
      </w:r>
      <w:r>
        <w:rPr>
          <w:szCs w:val="24"/>
        </w:rPr>
        <w:t xml:space="preserve">. </w:t>
      </w:r>
      <w:r>
        <w:rPr>
          <w:bCs/>
          <w:szCs w:val="24"/>
        </w:rPr>
        <w:t xml:space="preserve">Atskirų energijos ir kuro rūšių sąnaudų normatyvų būstui šildyti ir karštam vandeniui ruošti nustatymo bei taikymo metodika (toliau – Metodika) reglamentuoja energijos ir kuro sąnaudų normatyvų būstui šildyti, geriamojo vandens vienam kubiniam metrui pašildyti iki higienos normomis nustatytos temperatūros bei karšto vandens temperatūrai (cirkuliacijai) palaikyti nustatymą. </w:t>
      </w:r>
    </w:p>
    <w:p>
      <w:pPr>
        <w:tabs>
          <w:tab w:val="left" w:pos="709"/>
        </w:tabs>
        <w:ind w:firstLine="709"/>
        <w:jc w:val="both"/>
        <w:rPr>
          <w:bCs/>
          <w:szCs w:val="24"/>
        </w:rPr>
      </w:pPr>
      <w:r>
        <w:rPr>
          <w:bCs/>
          <w:szCs w:val="24"/>
        </w:rPr>
        <w:t>2</w:t>
      </w:r>
      <w:r>
        <w:rPr>
          <w:bCs/>
          <w:szCs w:val="24"/>
        </w:rPr>
        <w:t>. Pagal Metodiką nustatyti normatyvai gali būti taikomi būsto šildymo ir karšto vandens išlaidų kompensacijoms skaičiuoti, kaip tai numatyta Lietuvos Respublikos piniginės socialinės paramos nepasiturintiems gyventojams įstatyme, taip pat pagal Komisijos rekomenduojamus ar su Komisija suderintus šilumos paskirstymo metodus skirstant pastate suvartotą šilumą.</w:t>
      </w:r>
    </w:p>
    <w:p>
      <w:pPr>
        <w:tabs>
          <w:tab w:val="left" w:pos="709"/>
        </w:tabs>
        <w:ind w:firstLine="709"/>
        <w:jc w:val="both"/>
        <w:rPr>
          <w:szCs w:val="24"/>
        </w:rPr>
      </w:pPr>
      <w:r>
        <w:rPr>
          <w:szCs w:val="24"/>
        </w:rPr>
        <w:t>3</w:t>
      </w:r>
      <w:r>
        <w:rPr>
          <w:szCs w:val="24"/>
        </w:rPr>
        <w:t>. Energijos ir (ar) kuro sąnaudos būstui šildyti, kurios gali būti kompensuojamos, neturi viršyti pagal Metodikos 6.2 ir (ar) 9.2 papunkčius nustatytų maksimalių energijos ir (ar) kuro sąnaudų būstui šildyti normatyvų dydžių.</w:t>
      </w:r>
    </w:p>
    <w:p>
      <w:pPr>
        <w:tabs>
          <w:tab w:val="left" w:pos="709"/>
        </w:tabs>
        <w:jc w:val="both"/>
        <w:rPr>
          <w:szCs w:val="24"/>
        </w:rPr>
      </w:pPr>
    </w:p>
    <w:p>
      <w:pPr>
        <w:tabs>
          <w:tab w:val="left" w:pos="709"/>
        </w:tabs>
        <w:jc w:val="center"/>
        <w:rPr>
          <w:b/>
          <w:szCs w:val="24"/>
        </w:rPr>
      </w:pPr>
      <w:r>
        <w:rPr>
          <w:b/>
          <w:szCs w:val="24"/>
        </w:rPr>
        <w:t>II</w:t>
      </w:r>
      <w:r>
        <w:rPr>
          <w:b/>
          <w:szCs w:val="24"/>
        </w:rPr>
        <w:t xml:space="preserve"> SKYRIUS</w:t>
      </w:r>
    </w:p>
    <w:p>
      <w:pPr>
        <w:tabs>
          <w:tab w:val="left" w:pos="709"/>
        </w:tabs>
        <w:jc w:val="center"/>
        <w:rPr>
          <w:b/>
          <w:szCs w:val="24"/>
        </w:rPr>
      </w:pPr>
      <w:r>
        <w:rPr>
          <w:b/>
          <w:szCs w:val="24"/>
        </w:rPr>
        <w:t>NUORODOS IR SĄVOKOS</w:t>
      </w:r>
    </w:p>
    <w:p>
      <w:pPr>
        <w:tabs>
          <w:tab w:val="left" w:pos="709"/>
        </w:tabs>
        <w:jc w:val="center"/>
        <w:rPr>
          <w:szCs w:val="24"/>
        </w:rPr>
      </w:pPr>
    </w:p>
    <w:p>
      <w:pPr>
        <w:tabs>
          <w:tab w:val="left" w:pos="709"/>
        </w:tabs>
        <w:ind w:firstLine="709"/>
        <w:jc w:val="both"/>
        <w:rPr>
          <w:rFonts w:eastAsia="Calibri"/>
          <w:szCs w:val="24"/>
        </w:rPr>
      </w:pPr>
      <w:r>
        <w:rPr>
          <w:szCs w:val="24"/>
        </w:rPr>
        <w:t>4</w:t>
      </w:r>
      <w:r>
        <w:rPr>
          <w:szCs w:val="24"/>
        </w:rPr>
        <w:t xml:space="preserve">. Metodikoje </w:t>
      </w:r>
      <w:r>
        <w:rPr>
          <w:rFonts w:eastAsia="Calibri"/>
          <w:szCs w:val="24"/>
        </w:rPr>
        <w:t>pateikiamos nuorodos į šiuos teisės aktus:</w:t>
      </w:r>
    </w:p>
    <w:p>
      <w:pPr>
        <w:tabs>
          <w:tab w:val="left" w:pos="709"/>
        </w:tabs>
        <w:ind w:firstLine="709"/>
        <w:jc w:val="both"/>
        <w:rPr>
          <w:szCs w:val="24"/>
        </w:rPr>
      </w:pPr>
      <w:r>
        <w:rPr>
          <w:szCs w:val="24"/>
        </w:rPr>
        <w:t>4.1</w:t>
      </w:r>
      <w:r>
        <w:rPr>
          <w:szCs w:val="24"/>
        </w:rPr>
        <w:t>. Respublikinės statybos normos RSN 143-92 „Pastatų atitvarų šiluminė technika“, patvirtintos Lietuvos Respublikos statybos ir urbanistikos ministerijos 1992 m. (toliau – RSN 143-92);</w:t>
      </w:r>
    </w:p>
    <w:p>
      <w:pPr>
        <w:tabs>
          <w:tab w:val="left" w:pos="709"/>
        </w:tabs>
        <w:ind w:firstLine="709"/>
        <w:jc w:val="both"/>
        <w:rPr>
          <w:szCs w:val="24"/>
        </w:rPr>
      </w:pPr>
      <w:r>
        <w:rPr>
          <w:szCs w:val="24"/>
        </w:rPr>
        <w:t>4.2</w:t>
      </w:r>
      <w:r>
        <w:rPr>
          <w:szCs w:val="24"/>
        </w:rPr>
        <w:t>. Statybos techninis reglamentas STR 2.05.01:1999 „Pastatų atitvarų šiluminė technika“, patvirtintas aplinkos ministro 1999 m. balandžio 29 d. nutarimu Nr. 117 „Dėl Statybos techninių reglamentų patvirtinimo“ (toliau – STR 2.05.01:1999);</w:t>
      </w:r>
    </w:p>
    <w:p>
      <w:pPr>
        <w:tabs>
          <w:tab w:val="left" w:pos="709"/>
        </w:tabs>
        <w:ind w:firstLine="709"/>
        <w:jc w:val="both"/>
        <w:rPr>
          <w:bCs/>
          <w:szCs w:val="24"/>
        </w:rPr>
      </w:pPr>
      <w:r>
        <w:rPr>
          <w:szCs w:val="24"/>
        </w:rPr>
        <w:t>4.3</w:t>
      </w:r>
      <w:r>
        <w:rPr>
          <w:szCs w:val="24"/>
        </w:rPr>
        <w:t>. Statybos techninis reglamentas STR 2.05.01:2005 „Pastatų atitvarų šiluminė technika“, patvirtintas aplinkos ministro 2005 m. kovo 18 d. nutarimu Nr. D1-156 „</w:t>
      </w:r>
      <w:r>
        <w:rPr>
          <w:bCs/>
          <w:szCs w:val="24"/>
        </w:rPr>
        <w:t>Dėl Statybos techninio reglamento STR 2.05.01:2005 „Pastatų atitvarų šiluminė technika“ patvirtinimo“ (toliau – STR 2.05.01:2005).</w:t>
      </w:r>
    </w:p>
    <w:p>
      <w:pPr>
        <w:tabs>
          <w:tab w:val="left" w:pos="709"/>
        </w:tabs>
        <w:ind w:firstLine="709"/>
        <w:jc w:val="both"/>
        <w:rPr>
          <w:bCs/>
          <w:szCs w:val="24"/>
        </w:rPr>
      </w:pPr>
      <w:r>
        <w:rPr>
          <w:bCs/>
          <w:szCs w:val="24"/>
        </w:rPr>
        <w:t>5</w:t>
      </w:r>
      <w:r>
        <w:rPr>
          <w:bCs/>
          <w:szCs w:val="24"/>
        </w:rPr>
        <w:t>. Metodikoje vartojamos sąvokos atitinka šiuose teisės aktuose apibrėžtas sąvokas:</w:t>
      </w:r>
    </w:p>
    <w:p>
      <w:pPr>
        <w:tabs>
          <w:tab w:val="left" w:pos="709"/>
          <w:tab w:val="left" w:pos="1276"/>
        </w:tabs>
        <w:ind w:firstLine="709"/>
        <w:jc w:val="both"/>
        <w:rPr>
          <w:bCs/>
          <w:szCs w:val="24"/>
        </w:rPr>
      </w:pPr>
      <w:r>
        <w:rPr>
          <w:bCs/>
          <w:szCs w:val="24"/>
        </w:rPr>
        <w:t>5.1</w:t>
      </w:r>
      <w:r>
        <w:rPr>
          <w:bCs/>
          <w:szCs w:val="24"/>
        </w:rPr>
        <w:t>. Lietuvos Respublikos šilumos ūkio įstatymas;</w:t>
      </w:r>
    </w:p>
    <w:p>
      <w:pPr>
        <w:tabs>
          <w:tab w:val="left" w:pos="709"/>
          <w:tab w:val="left" w:pos="993"/>
          <w:tab w:val="left" w:pos="1134"/>
        </w:tabs>
        <w:ind w:firstLine="709"/>
        <w:jc w:val="both"/>
        <w:rPr>
          <w:bCs/>
          <w:szCs w:val="24"/>
        </w:rPr>
      </w:pPr>
      <w:r>
        <w:rPr>
          <w:bCs/>
          <w:szCs w:val="24"/>
        </w:rPr>
        <w:t>5.2</w:t>
      </w:r>
      <w:r>
        <w:rPr>
          <w:bCs/>
          <w:szCs w:val="24"/>
        </w:rPr>
        <w:t>. Lietuvos Respublikos piniginės socialinės paramos nepasiturintiems gyventojams įstatymas;</w:t>
      </w:r>
    </w:p>
    <w:p>
      <w:pPr>
        <w:tabs>
          <w:tab w:val="left" w:pos="709"/>
        </w:tabs>
        <w:ind w:firstLine="709"/>
        <w:jc w:val="both"/>
        <w:rPr>
          <w:bCs/>
          <w:szCs w:val="24"/>
        </w:rPr>
      </w:pPr>
      <w:r>
        <w:rPr>
          <w:bCs/>
          <w:szCs w:val="24"/>
        </w:rPr>
        <w:t>5.3</w:t>
      </w:r>
      <w:r>
        <w:rPr>
          <w:bCs/>
          <w:szCs w:val="24"/>
        </w:rPr>
        <w:t>. Šilumos paskirstymo vartotojams metodų rengimo ir taikymo taisyklės, patvirtintos Komisijos 2004 m. lapkričio 11 d. nutarimu Nr. O3-121 „Dėl Šilumos paskirstymo vartotojams metodų rengimo ir taikymo taisyklių patvirtinimo“;</w:t>
      </w:r>
    </w:p>
    <w:p>
      <w:pPr>
        <w:tabs>
          <w:tab w:val="left" w:pos="709"/>
        </w:tabs>
        <w:ind w:firstLine="709"/>
        <w:jc w:val="both"/>
        <w:rPr>
          <w:bCs/>
          <w:szCs w:val="24"/>
        </w:rPr>
      </w:pPr>
      <w:r>
        <w:rPr>
          <w:bCs/>
          <w:szCs w:val="24"/>
        </w:rPr>
        <w:t>5.4</w:t>
      </w:r>
      <w:r>
        <w:rPr>
          <w:bCs/>
          <w:szCs w:val="24"/>
        </w:rPr>
        <w:t>. Statybos techninis reglamentas STR 2.01.02:2016 „Pastatų energinio naudingumo projektavimas ir sertifikavimas“, patvirtintas Lietuvos Respublikos aplinkos ministro 2016 m. lapkričio 11 d. įsakymu Nr. D1-754 „Dėl Statybos techninio reglamento STR 2.01.02:2016 „Pastatų energinio naudingumo projektavimas ir sertifikavimas“ patvirtinimo.</w:t>
      </w:r>
    </w:p>
    <w:p>
      <w:pPr>
        <w:tabs>
          <w:tab w:val="left" w:pos="709"/>
        </w:tabs>
        <w:jc w:val="both"/>
        <w:rPr>
          <w:szCs w:val="24"/>
        </w:rPr>
      </w:pPr>
    </w:p>
    <w:p>
      <w:pPr>
        <w:tabs>
          <w:tab w:val="left" w:pos="709"/>
        </w:tabs>
        <w:jc w:val="center"/>
        <w:rPr>
          <w:b/>
          <w:szCs w:val="24"/>
        </w:rPr>
      </w:pPr>
      <w:r>
        <w:rPr>
          <w:b/>
          <w:szCs w:val="24"/>
        </w:rPr>
        <w:t>III</w:t>
      </w:r>
      <w:r>
        <w:rPr>
          <w:b/>
          <w:szCs w:val="24"/>
        </w:rPr>
        <w:t xml:space="preserve"> SKYRIUS</w:t>
      </w:r>
    </w:p>
    <w:p>
      <w:pPr>
        <w:tabs>
          <w:tab w:val="left" w:pos="709"/>
        </w:tabs>
        <w:jc w:val="center"/>
        <w:rPr>
          <w:b/>
          <w:szCs w:val="24"/>
        </w:rPr>
      </w:pPr>
      <w:r>
        <w:rPr>
          <w:b/>
          <w:szCs w:val="24"/>
        </w:rPr>
        <w:t>ENERGIJOS SĄNAUDŲ NORMATYVŲ NUSTATYMAS</w:t>
      </w:r>
    </w:p>
    <w:p>
      <w:pPr>
        <w:tabs>
          <w:tab w:val="left" w:pos="709"/>
        </w:tabs>
        <w:jc w:val="center"/>
        <w:rPr>
          <w:szCs w:val="24"/>
        </w:rPr>
      </w:pPr>
    </w:p>
    <w:p>
      <w:pPr>
        <w:tabs>
          <w:tab w:val="left" w:pos="709"/>
        </w:tabs>
        <w:ind w:firstLine="709"/>
        <w:jc w:val="both"/>
        <w:rPr>
          <w:szCs w:val="24"/>
        </w:rPr>
      </w:pPr>
      <w:r>
        <w:rPr>
          <w:szCs w:val="24"/>
        </w:rPr>
        <w:t>6</w:t>
      </w:r>
      <w:r>
        <w:rPr>
          <w:szCs w:val="24"/>
        </w:rPr>
        <w:t>. Energijos sąnaudų būstui šildyti per mėn. normatyvas nustatomas:</w:t>
      </w:r>
    </w:p>
    <w:p>
      <w:pPr>
        <w:tabs>
          <w:tab w:val="left" w:pos="709"/>
        </w:tabs>
        <w:ind w:firstLine="709"/>
        <w:jc w:val="both"/>
        <w:rPr>
          <w:szCs w:val="24"/>
        </w:rPr>
      </w:pPr>
      <w:r>
        <w:rPr>
          <w:szCs w:val="24"/>
        </w:rPr>
        <w:t>6.1</w:t>
      </w:r>
      <w:r>
        <w:rPr>
          <w:szCs w:val="24"/>
        </w:rPr>
        <w:t>. vidutinis (</w:t>
      </w:r>
      <w:r>
        <w:rPr>
          <w:position w:val="-12"/>
          <w:szCs w:val="24"/>
          <w:lang w:eastAsia="lt-LT"/>
        </w:rPr>
        <w:drawing>
          <wp:inline distT="0" distB="0" distL="0" distR="0">
            <wp:extent cx="351790" cy="231140"/>
            <wp:effectExtent l="0" t="0" r="0"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1790" cy="231140"/>
                    </a:xfrm>
                    <a:prstGeom prst="rect">
                      <a:avLst/>
                    </a:prstGeom>
                    <a:noFill/>
                    <a:ln>
                      <a:noFill/>
                    </a:ln>
                  </pic:spPr>
                </pic:pic>
              </a:graphicData>
            </a:graphic>
          </wp:inline>
        </w:drawing>
      </w:r>
      <w:r>
        <w:rPr>
          <w:szCs w:val="24"/>
        </w:rPr>
        <w:t>):</w:t>
      </w:r>
    </w:p>
    <w:p>
      <w:pPr>
        <w:tabs>
          <w:tab w:val="left" w:pos="709"/>
        </w:tabs>
        <w:ind w:firstLine="709"/>
        <w:jc w:val="both"/>
        <w:rPr>
          <w:szCs w:val="24"/>
        </w:rPr>
      </w:pPr>
      <w:r>
        <w:rPr>
          <w:lang w:eastAsia="lt-LT"/>
        </w:rPr>
        <w:drawing>
          <wp:inline distT="0" distB="0" distL="0" distR="0">
            <wp:extent cx="5667375" cy="5715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667375" cy="571500"/>
                    </a:xfrm>
                    <a:prstGeom prst="rect">
                      <a:avLst/>
                    </a:prstGeom>
                  </pic:spPr>
                </pic:pic>
              </a:graphicData>
            </a:graphic>
          </wp:inline>
        </w:drawing>
      </w:r>
    </w:p>
    <w:p>
      <w:pPr>
        <w:tabs>
          <w:tab w:val="left" w:pos="709"/>
        </w:tabs>
        <w:jc w:val="both"/>
        <w:rPr>
          <w:i/>
          <w:sz w:val="22"/>
          <w:szCs w:val="22"/>
        </w:rPr>
      </w:pPr>
      <w:r>
        <w:rPr>
          <w:i/>
          <w:sz w:val="22"/>
          <w:szCs w:val="22"/>
        </w:rPr>
        <w:t>čia:</w:t>
      </w:r>
    </w:p>
    <w:p>
      <w:pPr>
        <w:tabs>
          <w:tab w:val="left" w:pos="709"/>
        </w:tabs>
        <w:ind w:firstLine="709"/>
        <w:jc w:val="both"/>
        <w:rPr>
          <w:i/>
          <w:sz w:val="22"/>
          <w:szCs w:val="22"/>
        </w:rPr>
      </w:pPr>
      <w:r>
        <w:rPr>
          <w:i/>
          <w:position w:val="-12"/>
          <w:sz w:val="22"/>
          <w:szCs w:val="22"/>
          <w:lang w:eastAsia="lt-LT"/>
        </w:rPr>
        <w:drawing>
          <wp:inline distT="0" distB="0" distL="0" distR="0">
            <wp:extent cx="351790" cy="231140"/>
            <wp:effectExtent l="0" t="0" r="0"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1790" cy="231140"/>
                    </a:xfrm>
                    <a:prstGeom prst="rect">
                      <a:avLst/>
                    </a:prstGeom>
                    <a:noFill/>
                    <a:ln>
                      <a:noFill/>
                    </a:ln>
                  </pic:spPr>
                </pic:pic>
              </a:graphicData>
            </a:graphic>
          </wp:inline>
        </w:drawing>
      </w:r>
      <w:r>
        <w:rPr>
          <w:i/>
          <w:sz w:val="22"/>
          <w:szCs w:val="22"/>
        </w:rPr>
        <w:t xml:space="preserve"> – vidutinis energijos sąnaudų būstui šildyti normatyvas, kWh/m</w:t>
      </w:r>
      <w:r>
        <w:rPr>
          <w:i/>
          <w:sz w:val="22"/>
          <w:szCs w:val="22"/>
          <w:vertAlign w:val="superscript"/>
        </w:rPr>
        <w:t>2</w:t>
      </w:r>
      <w:r>
        <w:rPr>
          <w:i/>
          <w:sz w:val="22"/>
          <w:szCs w:val="22"/>
        </w:rPr>
        <w:t>, esant standartinėms sąlygoms, nustatytas pagal Metodikos 1 priedo 1 lentelę;</w:t>
      </w:r>
    </w:p>
    <w:p>
      <w:pPr>
        <w:tabs>
          <w:tab w:val="left" w:pos="709"/>
        </w:tabs>
        <w:ind w:firstLine="709"/>
        <w:jc w:val="both"/>
        <w:rPr>
          <w:i/>
          <w:sz w:val="22"/>
          <w:szCs w:val="22"/>
        </w:rPr>
      </w:pPr>
      <w:r>
        <w:rPr>
          <w:i/>
          <w:sz w:val="22"/>
          <w:szCs w:val="22"/>
        </w:rPr>
        <w:t>DL – ataskaitinio laikotarpio (mėnesio) dienolaipsnių skaičius;</w:t>
      </w:r>
    </w:p>
    <w:p>
      <w:pPr>
        <w:tabs>
          <w:tab w:val="left" w:pos="709"/>
        </w:tabs>
        <w:ind w:firstLine="709"/>
        <w:jc w:val="both"/>
        <w:rPr>
          <w:i/>
          <w:sz w:val="22"/>
          <w:szCs w:val="22"/>
        </w:rPr>
      </w:pPr>
      <w:r>
        <w:rPr>
          <w:i/>
          <w:sz w:val="22"/>
          <w:szCs w:val="22"/>
        </w:rPr>
        <w:t>548 – dienolaipsnių skaičius, esant standartinėms sąlygoms;</w:t>
      </w:r>
    </w:p>
    <w:p>
      <w:pPr>
        <w:tabs>
          <w:tab w:val="left" w:pos="709"/>
        </w:tabs>
        <w:ind w:firstLine="709"/>
        <w:jc w:val="both"/>
        <w:rPr>
          <w:i/>
          <w:sz w:val="22"/>
          <w:szCs w:val="22"/>
        </w:rPr>
      </w:pPr>
      <w:r>
        <w:rPr>
          <w:i/>
          <w:sz w:val="22"/>
          <w:szCs w:val="22"/>
        </w:rPr>
        <w:t>H – faktinis buto ar kitos patalpos aukštis nuo grindų iki lubų, m;</w:t>
      </w:r>
    </w:p>
    <w:p>
      <w:pPr>
        <w:tabs>
          <w:tab w:val="left" w:pos="709"/>
        </w:tabs>
        <w:ind w:firstLine="709"/>
        <w:jc w:val="both"/>
        <w:rPr>
          <w:i/>
          <w:sz w:val="22"/>
          <w:szCs w:val="22"/>
        </w:rPr>
      </w:pPr>
      <w:r>
        <w:rPr>
          <w:i/>
          <w:sz w:val="22"/>
          <w:szCs w:val="22"/>
        </w:rPr>
        <w:t>2,5 – buto ar kitos patalpos aukštis, m, esant standartinėms sąlygos;</w:t>
      </w:r>
    </w:p>
    <w:p>
      <w:pPr>
        <w:tabs>
          <w:tab w:val="left" w:pos="709"/>
        </w:tabs>
        <w:ind w:firstLine="709"/>
        <w:jc w:val="both"/>
        <w:rPr>
          <w:szCs w:val="24"/>
        </w:rPr>
      </w:pPr>
      <w:r>
        <w:rPr>
          <w:szCs w:val="24"/>
        </w:rPr>
        <w:t>6.2</w:t>
      </w:r>
      <w:r>
        <w:rPr>
          <w:szCs w:val="24"/>
        </w:rPr>
        <w:t>. maksimalus (</w:t>
      </w:r>
      <w:r>
        <w:rPr>
          <w:position w:val="-12"/>
          <w:szCs w:val="24"/>
          <w:lang w:eastAsia="lt-LT"/>
        </w:rPr>
        <w:drawing>
          <wp:inline distT="0" distB="0" distL="0" distR="0">
            <wp:extent cx="401955" cy="231140"/>
            <wp:effectExtent l="0" t="0" r="0" b="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1955" cy="231140"/>
                    </a:xfrm>
                    <a:prstGeom prst="rect">
                      <a:avLst/>
                    </a:prstGeom>
                    <a:noFill/>
                    <a:ln>
                      <a:noFill/>
                    </a:ln>
                  </pic:spPr>
                </pic:pic>
              </a:graphicData>
            </a:graphic>
          </wp:inline>
        </w:drawing>
      </w:r>
      <w:r>
        <w:rPr>
          <w:szCs w:val="24"/>
        </w:rPr>
        <w:t>):</w:t>
      </w:r>
    </w:p>
    <w:p>
      <w:pPr>
        <w:tabs>
          <w:tab w:val="left" w:pos="709"/>
        </w:tabs>
        <w:ind w:firstLine="709"/>
        <w:jc w:val="both"/>
        <w:rPr>
          <w:szCs w:val="24"/>
        </w:rPr>
      </w:pPr>
      <w:r>
        <w:rPr>
          <w:lang w:eastAsia="lt-LT"/>
        </w:rPr>
        <w:drawing>
          <wp:inline distT="0" distB="0" distL="0" distR="0">
            <wp:extent cx="5553075" cy="5810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553075" cy="581025"/>
                    </a:xfrm>
                    <a:prstGeom prst="rect">
                      <a:avLst/>
                    </a:prstGeom>
                  </pic:spPr>
                </pic:pic>
              </a:graphicData>
            </a:graphic>
          </wp:inline>
        </w:drawing>
      </w:r>
    </w:p>
    <w:p>
      <w:pPr>
        <w:tabs>
          <w:tab w:val="left" w:pos="709"/>
        </w:tabs>
        <w:jc w:val="both"/>
        <w:rPr>
          <w:i/>
          <w:sz w:val="22"/>
          <w:szCs w:val="22"/>
        </w:rPr>
      </w:pPr>
      <w:r>
        <w:rPr>
          <w:i/>
          <w:sz w:val="22"/>
          <w:szCs w:val="22"/>
        </w:rPr>
        <w:t>čia:</w:t>
      </w:r>
    </w:p>
    <w:p>
      <w:pPr>
        <w:tabs>
          <w:tab w:val="left" w:pos="709"/>
        </w:tabs>
        <w:ind w:firstLine="709"/>
        <w:jc w:val="both"/>
        <w:rPr>
          <w:i/>
          <w:sz w:val="22"/>
          <w:szCs w:val="22"/>
        </w:rPr>
      </w:pPr>
      <w:r>
        <w:rPr>
          <w:i/>
          <w:position w:val="-12"/>
          <w:sz w:val="22"/>
          <w:szCs w:val="22"/>
          <w:lang w:eastAsia="lt-LT"/>
        </w:rPr>
        <w:drawing>
          <wp:inline distT="0" distB="0" distL="0" distR="0">
            <wp:extent cx="401955" cy="231140"/>
            <wp:effectExtent l="0" t="0" r="0"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01955" cy="231140"/>
                    </a:xfrm>
                    <a:prstGeom prst="rect">
                      <a:avLst/>
                    </a:prstGeom>
                    <a:noFill/>
                    <a:ln>
                      <a:noFill/>
                    </a:ln>
                  </pic:spPr>
                </pic:pic>
              </a:graphicData>
            </a:graphic>
          </wp:inline>
        </w:drawing>
      </w:r>
      <w:r>
        <w:rPr>
          <w:i/>
          <w:sz w:val="22"/>
          <w:szCs w:val="22"/>
        </w:rPr>
        <w:t xml:space="preserve"> – maksimalus energijos sąnaudų būstui šildyti normatyvas, kWh/m</w:t>
      </w:r>
      <w:r>
        <w:rPr>
          <w:i/>
          <w:sz w:val="22"/>
          <w:szCs w:val="22"/>
          <w:vertAlign w:val="superscript"/>
        </w:rPr>
        <w:t>2</w:t>
      </w:r>
      <w:r>
        <w:rPr>
          <w:i/>
          <w:sz w:val="22"/>
          <w:szCs w:val="22"/>
        </w:rPr>
        <w:t>, esant standartinėms sąlygoms, nustatytas pagal Metodikos 1 priedo 2 lentelę.</w:t>
      </w:r>
    </w:p>
    <w:p>
      <w:pPr>
        <w:tabs>
          <w:tab w:val="left" w:pos="709"/>
        </w:tabs>
        <w:ind w:firstLine="709"/>
        <w:jc w:val="both"/>
        <w:rPr>
          <w:szCs w:val="24"/>
        </w:rPr>
      </w:pPr>
      <w:r>
        <w:rPr>
          <w:szCs w:val="24"/>
        </w:rPr>
        <w:t>7</w:t>
      </w:r>
      <w:r>
        <w:rPr>
          <w:szCs w:val="24"/>
        </w:rPr>
        <w:t>. Energijos sąnaudų geriamojo vandens vienam kubiniam metrui pašildyti iki higienos normomis nustatytos temperatūros normatyvas (</w:t>
      </w:r>
      <w:r>
        <w:rPr>
          <w:position w:val="-12"/>
          <w:szCs w:val="24"/>
          <w:lang w:eastAsia="lt-LT"/>
        </w:rPr>
        <w:drawing>
          <wp:inline distT="0" distB="0" distL="0" distR="0">
            <wp:extent cx="241300" cy="231140"/>
            <wp:effectExtent l="0" t="0" r="635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1300" cy="231140"/>
                    </a:xfrm>
                    <a:prstGeom prst="rect">
                      <a:avLst/>
                    </a:prstGeom>
                    <a:noFill/>
                    <a:ln>
                      <a:noFill/>
                    </a:ln>
                  </pic:spPr>
                </pic:pic>
              </a:graphicData>
            </a:graphic>
          </wp:inline>
        </w:drawing>
      </w:r>
      <w:r>
        <w:rPr>
          <w:szCs w:val="24"/>
        </w:rPr>
        <w:t>), kWh/m</w:t>
      </w:r>
      <w:r>
        <w:rPr>
          <w:szCs w:val="24"/>
          <w:vertAlign w:val="superscript"/>
        </w:rPr>
        <w:t>3</w:t>
      </w:r>
      <w:r>
        <w:rPr>
          <w:szCs w:val="24"/>
        </w:rPr>
        <w:t xml:space="preserve">, nustatomas pagal Metodikos 2 priedo 1 lentelę. </w:t>
      </w:r>
    </w:p>
    <w:p>
      <w:pPr>
        <w:tabs>
          <w:tab w:val="left" w:pos="709"/>
        </w:tabs>
        <w:ind w:firstLine="709"/>
        <w:jc w:val="both"/>
        <w:rPr>
          <w:szCs w:val="24"/>
        </w:rPr>
      </w:pPr>
      <w:r>
        <w:rPr>
          <w:szCs w:val="24"/>
        </w:rPr>
        <w:t>8</w:t>
      </w:r>
      <w:r>
        <w:rPr>
          <w:szCs w:val="24"/>
        </w:rPr>
        <w:t>. Energijos sąnaudų karšto vandens temperatūrai palaikyti (cirkuliacijai) per mėn. normatyvas (</w:t>
      </w:r>
      <w:r>
        <w:rPr>
          <w:position w:val="-12"/>
          <w:szCs w:val="24"/>
          <w:lang w:eastAsia="lt-LT"/>
        </w:rPr>
        <w:drawing>
          <wp:inline distT="0" distB="0" distL="0" distR="0">
            <wp:extent cx="231140" cy="231140"/>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r>
        <w:rPr>
          <w:szCs w:val="24"/>
        </w:rPr>
        <w:t>) nustatomas:</w:t>
      </w:r>
    </w:p>
    <w:p>
      <w:pPr>
        <w:tabs>
          <w:tab w:val="left" w:pos="709"/>
        </w:tabs>
        <w:ind w:firstLine="709"/>
        <w:jc w:val="both"/>
        <w:rPr>
          <w:szCs w:val="24"/>
        </w:rPr>
      </w:pPr>
      <w:r>
        <w:rPr>
          <w:lang w:eastAsia="lt-LT"/>
        </w:rPr>
        <w:drawing>
          <wp:inline distT="0" distB="0" distL="0" distR="0">
            <wp:extent cx="5676900" cy="49530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676900" cy="495300"/>
                    </a:xfrm>
                    <a:prstGeom prst="rect">
                      <a:avLst/>
                    </a:prstGeom>
                  </pic:spPr>
                </pic:pic>
              </a:graphicData>
            </a:graphic>
          </wp:inline>
        </w:drawing>
      </w:r>
    </w:p>
    <w:p>
      <w:pPr>
        <w:tabs>
          <w:tab w:val="left" w:pos="709"/>
        </w:tabs>
        <w:jc w:val="both"/>
        <w:rPr>
          <w:i/>
          <w:sz w:val="22"/>
          <w:szCs w:val="22"/>
        </w:rPr>
      </w:pPr>
      <w:r>
        <w:rPr>
          <w:i/>
          <w:sz w:val="22"/>
          <w:szCs w:val="22"/>
        </w:rPr>
        <w:t>čia:</w:t>
      </w:r>
    </w:p>
    <w:p>
      <w:pPr>
        <w:tabs>
          <w:tab w:val="left" w:pos="709"/>
        </w:tabs>
        <w:ind w:firstLine="709"/>
        <w:jc w:val="both"/>
        <w:rPr>
          <w:i/>
          <w:sz w:val="22"/>
          <w:szCs w:val="22"/>
        </w:rPr>
      </w:pPr>
      <w:r>
        <w:rPr>
          <w:i/>
          <w:position w:val="-12"/>
          <w:sz w:val="22"/>
          <w:szCs w:val="22"/>
          <w:lang w:eastAsia="lt-LT"/>
        </w:rPr>
        <w:drawing>
          <wp:inline distT="0" distB="0" distL="0" distR="0">
            <wp:extent cx="291465" cy="23114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1465" cy="231140"/>
                    </a:xfrm>
                    <a:prstGeom prst="rect">
                      <a:avLst/>
                    </a:prstGeom>
                    <a:noFill/>
                    <a:ln>
                      <a:noFill/>
                    </a:ln>
                  </pic:spPr>
                </pic:pic>
              </a:graphicData>
            </a:graphic>
          </wp:inline>
        </w:drawing>
      </w:r>
      <w:r>
        <w:rPr>
          <w:i/>
          <w:sz w:val="22"/>
          <w:szCs w:val="22"/>
        </w:rPr>
        <w:t xml:space="preserve"> – vidutinis energijos sąnaudų cirkuliacijai normatyvas, kWh/butui ar kitai patalpai, esant standartinėms sąlygos, nustatytas pagal Metodikos 2 priedo 2 lentelę;</w:t>
      </w:r>
    </w:p>
    <w:p>
      <w:pPr>
        <w:tabs>
          <w:tab w:val="left" w:pos="709"/>
        </w:tabs>
        <w:ind w:firstLine="709"/>
        <w:jc w:val="both"/>
        <w:rPr>
          <w:i/>
          <w:sz w:val="22"/>
          <w:szCs w:val="22"/>
        </w:rPr>
      </w:pPr>
      <w:r>
        <w:rPr>
          <w:i/>
          <w:sz w:val="22"/>
          <w:szCs w:val="22"/>
        </w:rPr>
        <w:t>z – cirkuliacinės sistemos per atsiskaitymo laikotarpį (mėnesį) veikimo trukmė, val.;</w:t>
      </w:r>
    </w:p>
    <w:p>
      <w:pPr>
        <w:tabs>
          <w:tab w:val="left" w:pos="709"/>
        </w:tabs>
        <w:ind w:firstLine="709"/>
        <w:jc w:val="both"/>
        <w:rPr>
          <w:i/>
          <w:sz w:val="22"/>
          <w:szCs w:val="22"/>
        </w:rPr>
      </w:pPr>
      <w:r>
        <w:rPr>
          <w:i/>
          <w:sz w:val="22"/>
          <w:szCs w:val="22"/>
        </w:rPr>
        <w:t>730 – cirkuliacinės sistemos veikimo trukmė, esant standartinėms sąlygoms, val.</w:t>
      </w:r>
    </w:p>
    <w:p>
      <w:pPr>
        <w:tabs>
          <w:tab w:val="left" w:pos="709"/>
        </w:tabs>
        <w:ind w:firstLine="709"/>
        <w:jc w:val="both"/>
        <w:rPr>
          <w:i/>
          <w:szCs w:val="24"/>
        </w:rPr>
      </w:pPr>
    </w:p>
    <w:p>
      <w:pPr>
        <w:tabs>
          <w:tab w:val="left" w:pos="709"/>
        </w:tabs>
        <w:jc w:val="center"/>
        <w:rPr>
          <w:b/>
          <w:szCs w:val="24"/>
        </w:rPr>
      </w:pPr>
      <w:r>
        <w:rPr>
          <w:b/>
          <w:szCs w:val="24"/>
        </w:rPr>
        <w:t>IV</w:t>
      </w:r>
      <w:r>
        <w:rPr>
          <w:b/>
          <w:szCs w:val="24"/>
        </w:rPr>
        <w:t xml:space="preserve"> SKYRIUS</w:t>
      </w:r>
    </w:p>
    <w:p>
      <w:pPr>
        <w:tabs>
          <w:tab w:val="left" w:pos="709"/>
        </w:tabs>
        <w:jc w:val="center"/>
        <w:rPr>
          <w:b/>
          <w:szCs w:val="24"/>
        </w:rPr>
      </w:pPr>
      <w:r>
        <w:rPr>
          <w:b/>
          <w:szCs w:val="24"/>
        </w:rPr>
        <w:t>KURO SĄNAUDŲ NORMATYVŲ NUSTATYMAS</w:t>
      </w:r>
    </w:p>
    <w:p>
      <w:pPr>
        <w:tabs>
          <w:tab w:val="left" w:pos="709"/>
        </w:tabs>
        <w:jc w:val="both"/>
        <w:rPr>
          <w:szCs w:val="24"/>
        </w:rPr>
      </w:pPr>
    </w:p>
    <w:p>
      <w:pPr>
        <w:tabs>
          <w:tab w:val="left" w:pos="709"/>
        </w:tabs>
        <w:ind w:firstLine="709"/>
        <w:jc w:val="both"/>
        <w:rPr>
          <w:szCs w:val="24"/>
        </w:rPr>
      </w:pPr>
      <w:r>
        <w:rPr>
          <w:szCs w:val="24"/>
        </w:rPr>
        <w:t>9</w:t>
      </w:r>
      <w:r>
        <w:rPr>
          <w:szCs w:val="24"/>
        </w:rPr>
        <w:t>. Kuro sąnaudų būstui šildyti per mėn. normatyvas nustatomas:</w:t>
      </w:r>
    </w:p>
    <w:p>
      <w:pPr>
        <w:tabs>
          <w:tab w:val="left" w:pos="709"/>
        </w:tabs>
        <w:ind w:firstLine="709"/>
        <w:jc w:val="both"/>
        <w:rPr>
          <w:szCs w:val="24"/>
        </w:rPr>
      </w:pPr>
      <w:r>
        <w:rPr>
          <w:szCs w:val="24"/>
        </w:rPr>
        <w:t>9.1</w:t>
      </w:r>
      <w:r>
        <w:rPr>
          <w:szCs w:val="24"/>
        </w:rPr>
        <w:t>. vidutinis (</w:t>
      </w:r>
      <w:r>
        <w:rPr>
          <w:position w:val="-12"/>
          <w:szCs w:val="24"/>
          <w:lang w:eastAsia="lt-LT"/>
        </w:rPr>
        <w:drawing>
          <wp:inline distT="0" distB="0" distL="0" distR="0">
            <wp:extent cx="311785" cy="231140"/>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11785" cy="231140"/>
                    </a:xfrm>
                    <a:prstGeom prst="rect">
                      <a:avLst/>
                    </a:prstGeom>
                    <a:noFill/>
                    <a:ln>
                      <a:noFill/>
                    </a:ln>
                  </pic:spPr>
                </pic:pic>
              </a:graphicData>
            </a:graphic>
          </wp:inline>
        </w:drawing>
      </w:r>
      <w:r>
        <w:rPr>
          <w:szCs w:val="24"/>
        </w:rPr>
        <w:t>):</w:t>
      </w:r>
    </w:p>
    <w:p>
      <w:pPr>
        <w:tabs>
          <w:tab w:val="left" w:pos="709"/>
        </w:tabs>
        <w:ind w:firstLine="709"/>
        <w:jc w:val="both"/>
        <w:rPr>
          <w:szCs w:val="24"/>
        </w:rPr>
      </w:pPr>
      <w:r>
        <w:rPr>
          <w:lang w:eastAsia="lt-LT"/>
        </w:rPr>
        <w:drawing>
          <wp:inline distT="0" distB="0" distL="0" distR="0">
            <wp:extent cx="5153025" cy="68580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153025" cy="685800"/>
                    </a:xfrm>
                    <a:prstGeom prst="rect">
                      <a:avLst/>
                    </a:prstGeom>
                  </pic:spPr>
                </pic:pic>
              </a:graphicData>
            </a:graphic>
          </wp:inline>
        </w:drawing>
      </w:r>
    </w:p>
    <w:p>
      <w:pPr>
        <w:tabs>
          <w:tab w:val="left" w:pos="709"/>
        </w:tabs>
        <w:jc w:val="both"/>
        <w:rPr>
          <w:i/>
          <w:sz w:val="22"/>
          <w:szCs w:val="22"/>
        </w:rPr>
      </w:pPr>
      <w:r>
        <w:rPr>
          <w:i/>
          <w:sz w:val="22"/>
          <w:szCs w:val="22"/>
        </w:rPr>
        <w:t>čia:</w:t>
      </w:r>
    </w:p>
    <w:p>
      <w:pPr>
        <w:tabs>
          <w:tab w:val="left" w:pos="709"/>
        </w:tabs>
        <w:ind w:firstLine="709"/>
        <w:jc w:val="both"/>
        <w:rPr>
          <w:i/>
          <w:sz w:val="22"/>
          <w:szCs w:val="22"/>
        </w:rPr>
      </w:pPr>
      <w:r>
        <w:rPr>
          <w:i/>
          <w:position w:val="-10"/>
          <w:sz w:val="22"/>
          <w:szCs w:val="22"/>
          <w:lang w:eastAsia="lt-LT"/>
        </w:rPr>
        <w:drawing>
          <wp:inline distT="0" distB="0" distL="0" distR="0">
            <wp:extent cx="231140" cy="210820"/>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1140" cy="210820"/>
                    </a:xfrm>
                    <a:prstGeom prst="rect">
                      <a:avLst/>
                    </a:prstGeom>
                    <a:noFill/>
                    <a:ln>
                      <a:noFill/>
                    </a:ln>
                  </pic:spPr>
                </pic:pic>
              </a:graphicData>
            </a:graphic>
          </wp:inline>
        </w:drawing>
      </w:r>
      <w:r>
        <w:rPr>
          <w:i/>
          <w:sz w:val="22"/>
          <w:szCs w:val="22"/>
        </w:rPr>
        <w:t xml:space="preserve"> – kuro rūšių norminės kuro sąnaudos, vnt.*/kWh, nustatytos pagal Metodikos 3 priedą;</w:t>
      </w:r>
    </w:p>
    <w:p>
      <w:pPr>
        <w:widowControl w:val="0"/>
        <w:ind w:firstLine="720"/>
        <w:jc w:val="both"/>
        <w:rPr>
          <w:i/>
          <w:iCs/>
          <w:sz w:val="22"/>
          <w:szCs w:val="22"/>
        </w:rPr>
      </w:pPr>
      <w:r>
        <w:rPr>
          <w:i/>
          <w:iCs/>
          <w:position w:val="-10"/>
          <w:sz w:val="22"/>
          <w:szCs w:val="22"/>
          <w:lang w:eastAsia="lt-LT"/>
        </w:rPr>
        <w:drawing>
          <wp:inline distT="0" distB="0" distL="0" distR="0">
            <wp:extent cx="120650" cy="160655"/>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650" cy="160655"/>
                    </a:xfrm>
                    <a:prstGeom prst="rect">
                      <a:avLst/>
                    </a:prstGeom>
                    <a:noFill/>
                    <a:ln>
                      <a:noFill/>
                    </a:ln>
                  </pic:spPr>
                </pic:pic>
              </a:graphicData>
            </a:graphic>
          </wp:inline>
        </w:drawing>
      </w:r>
      <w:r>
        <w:rPr>
          <w:i/>
          <w:iCs/>
          <w:sz w:val="22"/>
          <w:szCs w:val="22"/>
        </w:rPr>
        <w:t xml:space="preserve"> – šilumos ir (ar) karšto vandens gamybos įrenginių naudingumo koeficientas, nustatytas pagal techninę dokumentaciją arba priimama norminė atitinkamos šilumos ir (ar) karšto vandens gamybos įrenginių grupės reikšmė;</w:t>
      </w:r>
    </w:p>
    <w:p>
      <w:pPr>
        <w:tabs>
          <w:tab w:val="left" w:pos="709"/>
        </w:tabs>
        <w:ind w:firstLine="709"/>
        <w:jc w:val="both"/>
        <w:rPr>
          <w:i/>
          <w:iCs/>
          <w:sz w:val="22"/>
          <w:szCs w:val="22"/>
        </w:rPr>
      </w:pPr>
      <w:r>
        <w:rPr>
          <w:i/>
          <w:iCs/>
          <w:sz w:val="22"/>
          <w:szCs w:val="22"/>
        </w:rPr>
        <w:t>vnt.* – energijos ar kuro matavimo vienetai (kWh, m</w:t>
      </w:r>
      <w:r>
        <w:rPr>
          <w:i/>
          <w:iCs/>
          <w:sz w:val="22"/>
          <w:szCs w:val="22"/>
          <w:vertAlign w:val="superscript"/>
        </w:rPr>
        <w:t>3</w:t>
      </w:r>
      <w:r>
        <w:rPr>
          <w:i/>
          <w:iCs/>
          <w:sz w:val="22"/>
          <w:szCs w:val="22"/>
        </w:rPr>
        <w:t>, nm</w:t>
      </w:r>
      <w:r>
        <w:rPr>
          <w:i/>
          <w:iCs/>
          <w:sz w:val="22"/>
          <w:szCs w:val="22"/>
          <w:vertAlign w:val="superscript"/>
        </w:rPr>
        <w:t>3</w:t>
      </w:r>
      <w:r>
        <w:rPr>
          <w:i/>
          <w:iCs/>
          <w:sz w:val="22"/>
          <w:szCs w:val="22"/>
        </w:rPr>
        <w:t>, ktm</w:t>
      </w:r>
      <w:r>
        <w:rPr>
          <w:i/>
          <w:iCs/>
          <w:sz w:val="22"/>
          <w:szCs w:val="22"/>
          <w:vertAlign w:val="superscript"/>
        </w:rPr>
        <w:t>3</w:t>
      </w:r>
      <w:r>
        <w:rPr>
          <w:i/>
          <w:iCs/>
          <w:sz w:val="22"/>
          <w:szCs w:val="22"/>
        </w:rPr>
        <w:t>, kg, kt.);</w:t>
      </w:r>
    </w:p>
    <w:p>
      <w:pPr>
        <w:tabs>
          <w:tab w:val="left" w:pos="709"/>
        </w:tabs>
        <w:ind w:firstLine="709"/>
        <w:jc w:val="both"/>
        <w:rPr>
          <w:iCs/>
          <w:szCs w:val="24"/>
        </w:rPr>
      </w:pPr>
      <w:r>
        <w:rPr>
          <w:iCs/>
          <w:szCs w:val="24"/>
        </w:rPr>
        <w:t>9.2</w:t>
      </w:r>
      <w:r>
        <w:rPr>
          <w:iCs/>
          <w:szCs w:val="24"/>
        </w:rPr>
        <w:t xml:space="preserve">. maksimalus </w:t>
      </w:r>
      <w:r>
        <w:rPr>
          <w:szCs w:val="24"/>
        </w:rPr>
        <w:t>(</w:t>
      </w:r>
      <w:r>
        <w:rPr>
          <w:position w:val="-12"/>
          <w:szCs w:val="24"/>
          <w:lang w:eastAsia="lt-LT"/>
        </w:rPr>
        <w:drawing>
          <wp:inline distT="0" distB="0" distL="0" distR="0">
            <wp:extent cx="371475" cy="231140"/>
            <wp:effectExtent l="0" t="0" r="9525"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71475" cy="231140"/>
                    </a:xfrm>
                    <a:prstGeom prst="rect">
                      <a:avLst/>
                    </a:prstGeom>
                    <a:noFill/>
                    <a:ln>
                      <a:noFill/>
                    </a:ln>
                  </pic:spPr>
                </pic:pic>
              </a:graphicData>
            </a:graphic>
          </wp:inline>
        </w:drawing>
      </w:r>
      <w:r>
        <w:rPr>
          <w:szCs w:val="24"/>
        </w:rPr>
        <w:t>)</w:t>
      </w:r>
      <w:r>
        <w:rPr>
          <w:iCs/>
          <w:szCs w:val="24"/>
        </w:rPr>
        <w:t>:</w:t>
      </w:r>
    </w:p>
    <w:p>
      <w:pPr>
        <w:tabs>
          <w:tab w:val="left" w:pos="709"/>
        </w:tabs>
        <w:ind w:firstLine="709"/>
        <w:jc w:val="both"/>
        <w:rPr>
          <w:iCs/>
          <w:szCs w:val="24"/>
        </w:rPr>
      </w:pPr>
      <w:r>
        <w:rPr>
          <w:lang w:eastAsia="lt-LT"/>
        </w:rPr>
        <w:drawing>
          <wp:inline distT="0" distB="0" distL="0" distR="0">
            <wp:extent cx="5038725" cy="695325"/>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038725" cy="695325"/>
                    </a:xfrm>
                    <a:prstGeom prst="rect">
                      <a:avLst/>
                    </a:prstGeom>
                  </pic:spPr>
                </pic:pic>
              </a:graphicData>
            </a:graphic>
          </wp:inline>
        </w:drawing>
      </w:r>
    </w:p>
    <w:p>
      <w:pPr>
        <w:tabs>
          <w:tab w:val="left" w:pos="709"/>
        </w:tabs>
        <w:jc w:val="right"/>
        <w:rPr>
          <w:i/>
          <w:szCs w:val="24"/>
        </w:rPr>
      </w:pPr>
      <w:r>
        <w:rPr>
          <w:szCs w:val="24"/>
        </w:rPr>
        <w:t>)</w:t>
      </w:r>
    </w:p>
    <w:p>
      <w:pPr>
        <w:tabs>
          <w:tab w:val="left" w:pos="709"/>
        </w:tabs>
        <w:ind w:firstLine="709"/>
        <w:jc w:val="both"/>
        <w:rPr>
          <w:szCs w:val="24"/>
        </w:rPr>
      </w:pPr>
      <w:r>
        <w:rPr>
          <w:szCs w:val="24"/>
        </w:rPr>
        <w:t>10</w:t>
      </w:r>
      <w:r>
        <w:rPr>
          <w:szCs w:val="24"/>
        </w:rPr>
        <w:t>. Kuro sąnaudų geriamojo vandens vienam kubiniam metrui pašildyti iki higienos normomis nustatytos temperatūros normatyvas (</w:t>
      </w:r>
      <w:r>
        <w:rPr>
          <w:position w:val="-12"/>
          <w:szCs w:val="24"/>
          <w:lang w:eastAsia="lt-LT"/>
        </w:rPr>
        <w:drawing>
          <wp:inline distT="0" distB="0" distL="0" distR="0">
            <wp:extent cx="251460" cy="23114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1460" cy="231140"/>
                    </a:xfrm>
                    <a:prstGeom prst="rect">
                      <a:avLst/>
                    </a:prstGeom>
                    <a:noFill/>
                    <a:ln>
                      <a:noFill/>
                    </a:ln>
                  </pic:spPr>
                </pic:pic>
              </a:graphicData>
            </a:graphic>
          </wp:inline>
        </w:drawing>
      </w:r>
      <w:r>
        <w:rPr>
          <w:szCs w:val="24"/>
        </w:rPr>
        <w:t>) nustatomas:</w:t>
      </w:r>
    </w:p>
    <w:p>
      <w:pPr>
        <w:tabs>
          <w:tab w:val="left" w:pos="709"/>
        </w:tabs>
        <w:ind w:firstLine="709"/>
        <w:jc w:val="both"/>
        <w:rPr>
          <w:szCs w:val="24"/>
        </w:rPr>
      </w:pPr>
      <w:r>
        <w:rPr>
          <w:lang w:eastAsia="lt-LT"/>
        </w:rPr>
        <w:drawing>
          <wp:inline distT="0" distB="0" distL="0" distR="0">
            <wp:extent cx="5076825" cy="695325"/>
            <wp:effectExtent l="0" t="0" r="9525" b="95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076825" cy="695325"/>
                    </a:xfrm>
                    <a:prstGeom prst="rect">
                      <a:avLst/>
                    </a:prstGeom>
                  </pic:spPr>
                </pic:pic>
              </a:graphicData>
            </a:graphic>
          </wp:inline>
        </w:drawing>
      </w:r>
    </w:p>
    <w:p>
      <w:pPr>
        <w:tabs>
          <w:tab w:val="left" w:pos="709"/>
        </w:tabs>
        <w:jc w:val="right"/>
        <w:rPr>
          <w:szCs w:val="24"/>
        </w:rPr>
      </w:pPr>
    </w:p>
    <w:p>
      <w:pPr>
        <w:tabs>
          <w:tab w:val="left" w:pos="709"/>
        </w:tabs>
        <w:ind w:firstLine="709"/>
        <w:jc w:val="both"/>
        <w:rPr>
          <w:szCs w:val="24"/>
        </w:rPr>
      </w:pPr>
      <w:r>
        <w:rPr>
          <w:szCs w:val="22"/>
        </w:rPr>
        <w:t>11</w:t>
      </w:r>
      <w:r>
        <w:rPr>
          <w:szCs w:val="22"/>
        </w:rPr>
        <w:t xml:space="preserve">. </w:t>
      </w:r>
      <w:r>
        <w:rPr>
          <w:szCs w:val="24"/>
        </w:rPr>
        <w:t xml:space="preserve">Kuro sąnaudų karšto vandens temperatūrai palaikyti (cirkuliacijai) per mėn. normatyvas </w:t>
        <w:br/>
        <w:t>(</w:t>
      </w:r>
      <w:r>
        <w:rPr>
          <w:position w:val="-10"/>
          <w:szCs w:val="24"/>
          <w:lang w:eastAsia="lt-LT"/>
        </w:rPr>
        <w:drawing>
          <wp:inline distT="0" distB="0" distL="0" distR="0">
            <wp:extent cx="200660" cy="210820"/>
            <wp:effectExtent l="0" t="0" r="889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0660" cy="210820"/>
                    </a:xfrm>
                    <a:prstGeom prst="rect">
                      <a:avLst/>
                    </a:prstGeom>
                    <a:noFill/>
                    <a:ln>
                      <a:noFill/>
                    </a:ln>
                  </pic:spPr>
                </pic:pic>
              </a:graphicData>
            </a:graphic>
          </wp:inline>
        </w:drawing>
      </w:r>
      <w:r>
        <w:rPr>
          <w:szCs w:val="24"/>
        </w:rPr>
        <w:t>) nustatomas:</w:t>
      </w:r>
    </w:p>
    <w:p>
      <w:pPr>
        <w:tabs>
          <w:tab w:val="left" w:pos="709"/>
        </w:tabs>
        <w:ind w:firstLine="709"/>
        <w:jc w:val="both"/>
        <w:rPr>
          <w:szCs w:val="24"/>
        </w:rPr>
      </w:pPr>
      <w:r>
        <w:rPr>
          <w:lang w:eastAsia="lt-LT"/>
        </w:rPr>
        <w:drawing>
          <wp:inline distT="0" distB="0" distL="0" distR="0">
            <wp:extent cx="5095875" cy="742950"/>
            <wp:effectExtent l="0" t="0" r="952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095875" cy="742950"/>
                    </a:xfrm>
                    <a:prstGeom prst="rect">
                      <a:avLst/>
                    </a:prstGeom>
                  </pic:spPr>
                </pic:pic>
              </a:graphicData>
            </a:graphic>
          </wp:inline>
        </w:drawing>
      </w:r>
    </w:p>
    <w:p>
      <w:pPr>
        <w:ind w:left="6521" w:hanging="6663"/>
        <w:jc w:val="center"/>
        <w:rPr>
          <w:color w:val="000000"/>
          <w:szCs w:val="24"/>
        </w:rPr>
      </w:pPr>
    </w:p>
    <w:p>
      <w:pPr>
        <w:ind w:left="6521" w:hanging="6663"/>
        <w:jc w:val="center"/>
      </w:pPr>
      <w:r>
        <w:rPr>
          <w:color w:val="000000"/>
          <w:szCs w:val="24"/>
        </w:rPr>
        <w:t>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1C8E4395DA">
        <w:r w:rsidRPr="00532B9F">
          <w:rPr>
            <w:rFonts w:ascii="Times New Roman" w:eastAsia="MS Mincho" w:hAnsi="Times New Roman"/>
            <w:sz w:val="20"/>
            <w:i/>
            <w:iCs/>
            <w:color w:val="0000FF" w:themeColor="hyperlink"/>
            <w:u w:val="single"/>
          </w:rPr>
          <w:t>O3-5</w:t>
        </w:r>
      </w:fldSimple>
      <w:r>
        <w:rPr>
          <w:rFonts w:ascii="Times New Roman" w:eastAsia="MS Mincho" w:hAnsi="Times New Roman"/>
          <w:sz w:val="20"/>
          <w:i/>
          <w:iCs/>
        </w:rPr>
        <w:t>,
2007-01-29,
Žin., 2007, Nr.
15-579 (2007-02-03), i. k. 107106ANUTA0000O3-5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945bb0d14011e8bea9885f77677ec1">
        <w:r w:rsidRPr="00532B9F">
          <w:rPr>
            <w:rFonts w:ascii="Times New Roman" w:eastAsia="MS Mincho" w:hAnsi="Times New Roman"/>
            <w:sz w:val="20"/>
            <w:i/>
            <w:iCs/>
            <w:color w:val="0000FF" w:themeColor="hyperlink"/>
            <w:u w:val="single"/>
          </w:rPr>
          <w:t>O3E-329</w:t>
        </w:r>
      </w:fldSimple>
      <w:r>
        <w:rPr>
          <w:rFonts w:ascii="Times New Roman" w:eastAsia="MS Mincho" w:hAnsi="Times New Roman"/>
          <w:sz w:val="20"/>
          <w:i/>
          <w:iCs/>
        </w:rPr>
        <w:t>,
2018-10-16,
paskelbta TAR 2018-10-16, i. k. 2018-16263            </w:t>
      </w:r>
    </w:p>
    <w:p/>
    <w:p>
      <w:pPr>
        <w:tabs>
          <w:tab w:val="left" w:pos="709"/>
        </w:tabs>
        <w:ind w:left="4820"/>
        <w:sectPr>
          <w:pgSz w:w="11906" w:h="16838"/>
          <w:pgMar w:top="1701" w:right="567" w:bottom="1134" w:left="1701" w:header="567" w:footer="567" w:gutter="0"/>
          <w:pgNumType w:start="1"/>
          <w:cols w:space="1296"/>
          <w:titlePg/>
          <w:docGrid w:linePitch="360"/>
        </w:sectPr>
      </w:pPr>
    </w:p>
    <w:p>
      <w:pPr>
        <w:tabs>
          <w:tab w:val="left" w:pos="709"/>
        </w:tabs>
        <w:ind w:left="4820"/>
        <w:rPr>
          <w:bCs/>
          <w:szCs w:val="24"/>
        </w:rPr>
      </w:pPr>
      <w:r>
        <w:rPr>
          <w:bCs/>
          <w:szCs w:val="24"/>
        </w:rPr>
        <w:t>Atskirų energijos ir kuro rūšių sąnaudų</w:t>
      </w:r>
    </w:p>
    <w:p>
      <w:pPr>
        <w:tabs>
          <w:tab w:val="left" w:pos="709"/>
        </w:tabs>
        <w:ind w:left="4820"/>
        <w:rPr>
          <w:bCs/>
          <w:szCs w:val="24"/>
        </w:rPr>
      </w:pPr>
      <w:r>
        <w:rPr>
          <w:bCs/>
          <w:szCs w:val="24"/>
        </w:rPr>
        <w:t>normatyvų būstui šildyti ir karštam vandeniui</w:t>
      </w:r>
    </w:p>
    <w:p>
      <w:pPr>
        <w:tabs>
          <w:tab w:val="left" w:pos="709"/>
        </w:tabs>
        <w:ind w:left="4820"/>
        <w:rPr>
          <w:bCs/>
          <w:szCs w:val="24"/>
        </w:rPr>
      </w:pPr>
      <w:r>
        <w:rPr>
          <w:bCs/>
          <w:szCs w:val="24"/>
        </w:rPr>
        <w:t xml:space="preserve">ruošti nustatymo bei taikymo metodikos </w:t>
      </w:r>
    </w:p>
    <w:p>
      <w:pPr>
        <w:tabs>
          <w:tab w:val="left" w:pos="709"/>
        </w:tabs>
        <w:ind w:left="4820"/>
        <w:rPr>
          <w:bCs/>
          <w:szCs w:val="24"/>
        </w:rPr>
      </w:pPr>
      <w:r>
        <w:rPr>
          <w:bCs/>
          <w:szCs w:val="24"/>
        </w:rPr>
        <w:t>1</w:t>
      </w:r>
      <w:r>
        <w:rPr>
          <w:bCs/>
          <w:szCs w:val="24"/>
        </w:rPr>
        <w:t xml:space="preserve"> priedas</w:t>
      </w:r>
    </w:p>
    <w:p>
      <w:pPr>
        <w:tabs>
          <w:tab w:val="left" w:pos="709"/>
        </w:tabs>
        <w:ind w:left="4820"/>
        <w:jc w:val="both"/>
        <w:rPr>
          <w:bCs/>
          <w:szCs w:val="24"/>
        </w:rPr>
      </w:pPr>
    </w:p>
    <w:p>
      <w:pPr>
        <w:tabs>
          <w:tab w:val="left" w:pos="709"/>
        </w:tabs>
        <w:jc w:val="center"/>
        <w:rPr>
          <w:b/>
          <w:szCs w:val="24"/>
        </w:rPr>
      </w:pPr>
      <w:r>
        <w:rPr>
          <w:b/>
          <w:szCs w:val="24"/>
        </w:rPr>
        <w:t>VIDUTINIAI IR MAKSIMALŪS ENERGIJOS SĄNAUDŲ NORMATYVAI BŪSTUI ŠILDYTI, ESANT STANDARTINĖMS SĄLYGOMS</w:t>
      </w:r>
    </w:p>
    <w:p>
      <w:pPr>
        <w:tabs>
          <w:tab w:val="left" w:pos="709"/>
        </w:tabs>
        <w:jc w:val="center"/>
        <w:rPr>
          <w:b/>
          <w:szCs w:val="24"/>
        </w:rPr>
      </w:pPr>
    </w:p>
    <w:p>
      <w:pPr>
        <w:tabs>
          <w:tab w:val="left" w:pos="709"/>
        </w:tabs>
        <w:ind w:firstLine="709"/>
        <w:jc w:val="both"/>
        <w:rPr>
          <w:szCs w:val="24"/>
        </w:rPr>
      </w:pPr>
      <w:r>
        <w:rPr>
          <w:szCs w:val="24"/>
        </w:rPr>
        <w:t>1</w:t>
      </w:r>
      <w:r>
        <w:rPr>
          <w:szCs w:val="24"/>
        </w:rPr>
        <w:t>. Vidutiniai (</w:t>
      </w:r>
      <w:r>
        <w:rPr>
          <w:position w:val="-12"/>
          <w:szCs w:val="24"/>
          <w:lang w:eastAsia="lt-LT"/>
        </w:rPr>
        <w:drawing>
          <wp:inline distT="0" distB="0" distL="0" distR="0">
            <wp:extent cx="351790" cy="231140"/>
            <wp:effectExtent l="0" t="0" r="0" b="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1790" cy="231140"/>
                    </a:xfrm>
                    <a:prstGeom prst="rect">
                      <a:avLst/>
                    </a:prstGeom>
                    <a:noFill/>
                    <a:ln>
                      <a:noFill/>
                    </a:ln>
                  </pic:spPr>
                </pic:pic>
              </a:graphicData>
            </a:graphic>
          </wp:inline>
        </w:drawing>
      </w:r>
      <w:r>
        <w:rPr>
          <w:szCs w:val="24"/>
        </w:rPr>
        <w:t>) ir maksimalūs (</w:t>
      </w:r>
      <w:r>
        <w:rPr>
          <w:position w:val="-12"/>
          <w:szCs w:val="24"/>
          <w:lang w:eastAsia="lt-LT"/>
        </w:rPr>
        <w:drawing>
          <wp:inline distT="0" distB="0" distL="0" distR="0">
            <wp:extent cx="401955" cy="231140"/>
            <wp:effectExtent l="0" t="0" r="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01955" cy="231140"/>
                    </a:xfrm>
                    <a:prstGeom prst="rect">
                      <a:avLst/>
                    </a:prstGeom>
                    <a:noFill/>
                    <a:ln>
                      <a:noFill/>
                    </a:ln>
                  </pic:spPr>
                </pic:pic>
              </a:graphicData>
            </a:graphic>
          </wp:inline>
        </w:drawing>
      </w:r>
      <w:r>
        <w:rPr>
          <w:szCs w:val="24"/>
        </w:rPr>
        <w:t>) energijos sąnaudų normatyvai būstui šildyti, esant standartinėms sąlygoms, pateikti šio priedo 1 ir 2 lentelėse.</w:t>
      </w:r>
    </w:p>
    <w:p>
      <w:pPr>
        <w:tabs>
          <w:tab w:val="left" w:pos="709"/>
        </w:tabs>
        <w:jc w:val="both"/>
        <w:rPr>
          <w:szCs w:val="24"/>
        </w:rPr>
      </w:pPr>
    </w:p>
    <w:p>
      <w:pPr>
        <w:tabs>
          <w:tab w:val="left" w:pos="709"/>
        </w:tabs>
        <w:ind w:firstLine="709"/>
        <w:jc w:val="both"/>
        <w:rPr>
          <w:szCs w:val="24"/>
        </w:rPr>
      </w:pPr>
      <w:r>
        <w:rPr>
          <w:szCs w:val="24"/>
        </w:rPr>
        <w:t xml:space="preserve">1 lentelė. Vidutiniai energijos sąnaudų normatyvai būstui šildyti, esant standartinėms sąlygoms </w:t>
      </w:r>
    </w:p>
    <w:p>
      <w:pPr>
        <w:rPr>
          <w:sz w:val="10"/>
          <w:szCs w:val="1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1559"/>
        <w:gridCol w:w="2268"/>
        <w:gridCol w:w="1701"/>
        <w:gridCol w:w="2268"/>
      </w:tblGrid>
      <w:tr>
        <w:trPr>
          <w:trHeight w:val="20"/>
        </w:trPr>
        <w:tc>
          <w:tcPr>
            <w:tcW w:w="704" w:type="dxa"/>
            <w:vMerge w:val="restart"/>
            <w:noWrap/>
            <w:vAlign w:val="center"/>
            <w:hideMark/>
          </w:tcPr>
          <w:p>
            <w:pPr>
              <w:tabs>
                <w:tab w:val="left" w:pos="709"/>
              </w:tabs>
              <w:jc w:val="center"/>
              <w:rPr>
                <w:sz w:val="22"/>
                <w:szCs w:val="22"/>
              </w:rPr>
            </w:pPr>
            <w:r>
              <w:rPr>
                <w:sz w:val="22"/>
                <w:szCs w:val="22"/>
              </w:rPr>
              <w:t>Eilės Nr.</w:t>
            </w:r>
          </w:p>
        </w:tc>
        <w:tc>
          <w:tcPr>
            <w:tcW w:w="1276" w:type="dxa"/>
            <w:vMerge w:val="restart"/>
            <w:vAlign w:val="center"/>
            <w:hideMark/>
          </w:tcPr>
          <w:p>
            <w:pPr>
              <w:tabs>
                <w:tab w:val="left" w:pos="709"/>
              </w:tabs>
              <w:jc w:val="both"/>
              <w:rPr>
                <w:sz w:val="22"/>
                <w:szCs w:val="22"/>
              </w:rPr>
            </w:pPr>
            <w:r>
              <w:rPr>
                <w:sz w:val="22"/>
                <w:szCs w:val="22"/>
              </w:rPr>
              <w:t>Namų tipas</w:t>
            </w:r>
          </w:p>
        </w:tc>
        <w:tc>
          <w:tcPr>
            <w:tcW w:w="7796" w:type="dxa"/>
            <w:gridSpan w:val="4"/>
            <w:vAlign w:val="center"/>
            <w:hideMark/>
          </w:tcPr>
          <w:p>
            <w:pPr>
              <w:tabs>
                <w:tab w:val="left" w:pos="709"/>
              </w:tabs>
              <w:jc w:val="center"/>
              <w:rPr>
                <w:sz w:val="22"/>
                <w:szCs w:val="22"/>
              </w:rPr>
            </w:pPr>
            <w:r>
              <w:rPr>
                <w:sz w:val="22"/>
                <w:szCs w:val="22"/>
              </w:rPr>
              <w:t>Vidutiniai energijos sąnaudų normatyvai būstui šildyti, kWh/m</w:t>
            </w:r>
            <w:r>
              <w:rPr>
                <w:sz w:val="22"/>
                <w:szCs w:val="22"/>
                <w:vertAlign w:val="superscript"/>
              </w:rPr>
              <w:t xml:space="preserve">2 </w:t>
            </w:r>
            <w:r>
              <w:rPr>
                <w:sz w:val="22"/>
                <w:szCs w:val="22"/>
              </w:rPr>
              <w:t>per mėn.</w:t>
            </w:r>
          </w:p>
        </w:tc>
      </w:tr>
      <w:tr>
        <w:trPr>
          <w:trHeight w:val="20"/>
        </w:trPr>
        <w:tc>
          <w:tcPr>
            <w:tcW w:w="704" w:type="dxa"/>
            <w:vMerge/>
            <w:vAlign w:val="center"/>
            <w:hideMark/>
          </w:tcPr>
          <w:p>
            <w:pPr>
              <w:tabs>
                <w:tab w:val="left" w:pos="709"/>
              </w:tabs>
              <w:jc w:val="center"/>
              <w:rPr>
                <w:sz w:val="22"/>
                <w:szCs w:val="22"/>
              </w:rPr>
            </w:pPr>
          </w:p>
        </w:tc>
        <w:tc>
          <w:tcPr>
            <w:tcW w:w="1276" w:type="dxa"/>
            <w:vMerge/>
            <w:vAlign w:val="center"/>
            <w:hideMark/>
          </w:tcPr>
          <w:p>
            <w:pPr>
              <w:tabs>
                <w:tab w:val="left" w:pos="709"/>
              </w:tabs>
              <w:jc w:val="both"/>
              <w:rPr>
                <w:sz w:val="22"/>
                <w:szCs w:val="22"/>
              </w:rPr>
            </w:pPr>
          </w:p>
        </w:tc>
        <w:tc>
          <w:tcPr>
            <w:tcW w:w="1559" w:type="dxa"/>
            <w:vAlign w:val="center"/>
            <w:hideMark/>
          </w:tcPr>
          <w:p>
            <w:pPr>
              <w:tabs>
                <w:tab w:val="left" w:pos="709"/>
              </w:tabs>
              <w:jc w:val="center"/>
              <w:rPr>
                <w:sz w:val="22"/>
                <w:szCs w:val="22"/>
              </w:rPr>
            </w:pPr>
            <w:r>
              <w:rPr>
                <w:sz w:val="22"/>
                <w:szCs w:val="22"/>
              </w:rPr>
              <w:t>Pastatyti iki 1992 m.</w:t>
            </w:r>
          </w:p>
        </w:tc>
        <w:tc>
          <w:tcPr>
            <w:tcW w:w="2268" w:type="dxa"/>
            <w:vAlign w:val="center"/>
            <w:hideMark/>
          </w:tcPr>
          <w:p>
            <w:pPr>
              <w:tabs>
                <w:tab w:val="left" w:pos="709"/>
              </w:tabs>
              <w:jc w:val="center"/>
              <w:rPr>
                <w:sz w:val="22"/>
                <w:szCs w:val="22"/>
              </w:rPr>
            </w:pPr>
            <w:r>
              <w:rPr>
                <w:sz w:val="22"/>
                <w:szCs w:val="22"/>
              </w:rPr>
              <w:t xml:space="preserve">Pastatyti nuo 1993 m. iki 2005 m. </w:t>
              <w:br/>
              <w:t>(pagal RSN 143-92 arba STR 2.05.01:1999)</w:t>
            </w:r>
          </w:p>
        </w:tc>
        <w:tc>
          <w:tcPr>
            <w:tcW w:w="1701" w:type="dxa"/>
            <w:vAlign w:val="center"/>
            <w:hideMark/>
          </w:tcPr>
          <w:p>
            <w:pPr>
              <w:tabs>
                <w:tab w:val="left" w:pos="709"/>
              </w:tabs>
              <w:jc w:val="center"/>
              <w:rPr>
                <w:sz w:val="22"/>
                <w:szCs w:val="22"/>
              </w:rPr>
            </w:pPr>
            <w:r>
              <w:rPr>
                <w:sz w:val="22"/>
                <w:szCs w:val="22"/>
              </w:rPr>
              <w:t xml:space="preserve">Pastatyti nuo 2006 m. iki 2013 m. </w:t>
              <w:br/>
              <w:t>(pagal STR 2.05.01:2005)</w:t>
            </w:r>
            <w:r>
              <w:rPr>
                <w:sz w:val="22"/>
                <w:szCs w:val="22"/>
                <w:lang w:val="en-US"/>
              </w:rPr>
              <w:t xml:space="preserve"> *</w:t>
            </w:r>
          </w:p>
        </w:tc>
        <w:tc>
          <w:tcPr>
            <w:tcW w:w="2268" w:type="dxa"/>
            <w:vAlign w:val="center"/>
            <w:hideMark/>
          </w:tcPr>
          <w:p>
            <w:pPr>
              <w:tabs>
                <w:tab w:val="left" w:pos="709"/>
              </w:tabs>
              <w:jc w:val="center"/>
              <w:rPr>
                <w:sz w:val="22"/>
                <w:szCs w:val="22"/>
              </w:rPr>
            </w:pPr>
            <w:r>
              <w:rPr>
                <w:sz w:val="22"/>
                <w:szCs w:val="22"/>
              </w:rPr>
              <w:t xml:space="preserve">Pastatyti nuo 2014 m. </w:t>
              <w:br/>
              <w:t>(mažiausiai B energinio naudingumo klasės)</w:t>
            </w:r>
          </w:p>
        </w:tc>
      </w:tr>
      <w:tr>
        <w:trPr>
          <w:trHeight w:val="20"/>
        </w:trPr>
        <w:tc>
          <w:tcPr>
            <w:tcW w:w="704" w:type="dxa"/>
            <w:noWrap/>
            <w:vAlign w:val="center"/>
            <w:hideMark/>
          </w:tcPr>
          <w:p>
            <w:pPr>
              <w:tabs>
                <w:tab w:val="left" w:pos="709"/>
              </w:tabs>
              <w:jc w:val="center"/>
              <w:rPr>
                <w:sz w:val="22"/>
                <w:szCs w:val="22"/>
              </w:rPr>
            </w:pPr>
            <w:r>
              <w:rPr>
                <w:sz w:val="22"/>
                <w:szCs w:val="22"/>
              </w:rPr>
              <w:t>1.</w:t>
            </w:r>
          </w:p>
        </w:tc>
        <w:tc>
          <w:tcPr>
            <w:tcW w:w="1276" w:type="dxa"/>
            <w:vAlign w:val="center"/>
            <w:hideMark/>
          </w:tcPr>
          <w:p>
            <w:pPr>
              <w:tabs>
                <w:tab w:val="left" w:pos="709"/>
              </w:tabs>
              <w:rPr>
                <w:sz w:val="22"/>
                <w:szCs w:val="22"/>
              </w:rPr>
            </w:pPr>
            <w:r>
              <w:rPr>
                <w:sz w:val="22"/>
                <w:szCs w:val="22"/>
              </w:rPr>
              <w:t>1 aukšto</w:t>
            </w:r>
          </w:p>
        </w:tc>
        <w:tc>
          <w:tcPr>
            <w:tcW w:w="1559" w:type="dxa"/>
            <w:vAlign w:val="center"/>
            <w:hideMark/>
          </w:tcPr>
          <w:p>
            <w:pPr>
              <w:tabs>
                <w:tab w:val="left" w:pos="709"/>
              </w:tabs>
              <w:jc w:val="center"/>
              <w:rPr>
                <w:sz w:val="22"/>
                <w:szCs w:val="22"/>
              </w:rPr>
            </w:pPr>
            <w:r>
              <w:rPr>
                <w:sz w:val="22"/>
                <w:szCs w:val="22"/>
              </w:rPr>
              <w:t>25,9</w:t>
            </w:r>
          </w:p>
        </w:tc>
        <w:tc>
          <w:tcPr>
            <w:tcW w:w="2268" w:type="dxa"/>
            <w:vAlign w:val="center"/>
            <w:hideMark/>
          </w:tcPr>
          <w:p>
            <w:pPr>
              <w:tabs>
                <w:tab w:val="left" w:pos="709"/>
              </w:tabs>
              <w:jc w:val="center"/>
              <w:rPr>
                <w:sz w:val="22"/>
                <w:szCs w:val="22"/>
              </w:rPr>
            </w:pPr>
            <w:r>
              <w:rPr>
                <w:sz w:val="22"/>
                <w:szCs w:val="22"/>
              </w:rPr>
              <w:t>15,2</w:t>
            </w:r>
          </w:p>
        </w:tc>
        <w:tc>
          <w:tcPr>
            <w:tcW w:w="1701" w:type="dxa"/>
            <w:vAlign w:val="center"/>
            <w:hideMark/>
          </w:tcPr>
          <w:p>
            <w:pPr>
              <w:tabs>
                <w:tab w:val="left" w:pos="709"/>
              </w:tabs>
              <w:jc w:val="center"/>
              <w:rPr>
                <w:sz w:val="22"/>
                <w:szCs w:val="22"/>
              </w:rPr>
            </w:pPr>
            <w:r>
              <w:rPr>
                <w:sz w:val="22"/>
                <w:szCs w:val="22"/>
              </w:rPr>
              <w:t>13,4</w:t>
            </w:r>
          </w:p>
        </w:tc>
        <w:tc>
          <w:tcPr>
            <w:tcW w:w="2268" w:type="dxa"/>
            <w:noWrap/>
            <w:vAlign w:val="center"/>
            <w:hideMark/>
          </w:tcPr>
          <w:p>
            <w:pPr>
              <w:tabs>
                <w:tab w:val="left" w:pos="709"/>
              </w:tabs>
              <w:jc w:val="center"/>
              <w:rPr>
                <w:sz w:val="22"/>
                <w:szCs w:val="22"/>
              </w:rPr>
            </w:pPr>
            <w:r>
              <w:rPr>
                <w:sz w:val="22"/>
                <w:szCs w:val="22"/>
              </w:rPr>
              <w:t>9,8</w:t>
            </w:r>
          </w:p>
        </w:tc>
      </w:tr>
      <w:tr>
        <w:trPr>
          <w:trHeight w:val="20"/>
        </w:trPr>
        <w:tc>
          <w:tcPr>
            <w:tcW w:w="704" w:type="dxa"/>
            <w:noWrap/>
            <w:vAlign w:val="center"/>
            <w:hideMark/>
          </w:tcPr>
          <w:p>
            <w:pPr>
              <w:tabs>
                <w:tab w:val="left" w:pos="709"/>
              </w:tabs>
              <w:jc w:val="center"/>
              <w:rPr>
                <w:sz w:val="22"/>
                <w:szCs w:val="22"/>
              </w:rPr>
            </w:pPr>
            <w:r>
              <w:rPr>
                <w:sz w:val="22"/>
                <w:szCs w:val="22"/>
              </w:rPr>
              <w:t>2.</w:t>
            </w:r>
          </w:p>
        </w:tc>
        <w:tc>
          <w:tcPr>
            <w:tcW w:w="1276" w:type="dxa"/>
            <w:vAlign w:val="center"/>
            <w:hideMark/>
          </w:tcPr>
          <w:p>
            <w:pPr>
              <w:tabs>
                <w:tab w:val="left" w:pos="709"/>
              </w:tabs>
              <w:rPr>
                <w:sz w:val="22"/>
                <w:szCs w:val="22"/>
              </w:rPr>
            </w:pPr>
            <w:r>
              <w:rPr>
                <w:sz w:val="22"/>
                <w:szCs w:val="22"/>
              </w:rPr>
              <w:t>2 aukštų</w:t>
            </w:r>
          </w:p>
        </w:tc>
        <w:tc>
          <w:tcPr>
            <w:tcW w:w="1559" w:type="dxa"/>
            <w:vAlign w:val="center"/>
            <w:hideMark/>
          </w:tcPr>
          <w:p>
            <w:pPr>
              <w:tabs>
                <w:tab w:val="left" w:pos="709"/>
              </w:tabs>
              <w:jc w:val="center"/>
              <w:rPr>
                <w:sz w:val="22"/>
                <w:szCs w:val="22"/>
              </w:rPr>
            </w:pPr>
            <w:r>
              <w:rPr>
                <w:sz w:val="22"/>
                <w:szCs w:val="22"/>
              </w:rPr>
              <w:t>24,7</w:t>
            </w:r>
          </w:p>
        </w:tc>
        <w:tc>
          <w:tcPr>
            <w:tcW w:w="2268" w:type="dxa"/>
            <w:vAlign w:val="center"/>
            <w:hideMark/>
          </w:tcPr>
          <w:p>
            <w:pPr>
              <w:tabs>
                <w:tab w:val="left" w:pos="709"/>
              </w:tabs>
              <w:jc w:val="center"/>
              <w:rPr>
                <w:sz w:val="22"/>
                <w:szCs w:val="22"/>
              </w:rPr>
            </w:pPr>
            <w:r>
              <w:rPr>
                <w:sz w:val="22"/>
                <w:szCs w:val="22"/>
              </w:rPr>
              <w:t>14,5</w:t>
            </w:r>
          </w:p>
        </w:tc>
        <w:tc>
          <w:tcPr>
            <w:tcW w:w="1701" w:type="dxa"/>
            <w:vAlign w:val="center"/>
            <w:hideMark/>
          </w:tcPr>
          <w:p>
            <w:pPr>
              <w:tabs>
                <w:tab w:val="left" w:pos="709"/>
              </w:tabs>
              <w:jc w:val="center"/>
              <w:rPr>
                <w:sz w:val="22"/>
                <w:szCs w:val="22"/>
              </w:rPr>
            </w:pPr>
            <w:r>
              <w:rPr>
                <w:sz w:val="22"/>
                <w:szCs w:val="22"/>
              </w:rPr>
              <w:t>12,0</w:t>
            </w:r>
          </w:p>
        </w:tc>
        <w:tc>
          <w:tcPr>
            <w:tcW w:w="2268" w:type="dxa"/>
            <w:noWrap/>
            <w:vAlign w:val="center"/>
            <w:hideMark/>
          </w:tcPr>
          <w:p>
            <w:pPr>
              <w:tabs>
                <w:tab w:val="left" w:pos="709"/>
              </w:tabs>
              <w:jc w:val="center"/>
              <w:rPr>
                <w:sz w:val="22"/>
                <w:szCs w:val="22"/>
              </w:rPr>
            </w:pPr>
            <w:r>
              <w:rPr>
                <w:sz w:val="22"/>
                <w:szCs w:val="22"/>
              </w:rPr>
              <w:t>9,2</w:t>
            </w:r>
          </w:p>
        </w:tc>
      </w:tr>
      <w:tr>
        <w:trPr>
          <w:trHeight w:val="20"/>
        </w:trPr>
        <w:tc>
          <w:tcPr>
            <w:tcW w:w="704" w:type="dxa"/>
            <w:noWrap/>
            <w:vAlign w:val="center"/>
            <w:hideMark/>
          </w:tcPr>
          <w:p>
            <w:pPr>
              <w:tabs>
                <w:tab w:val="left" w:pos="709"/>
              </w:tabs>
              <w:jc w:val="center"/>
              <w:rPr>
                <w:sz w:val="22"/>
                <w:szCs w:val="22"/>
              </w:rPr>
            </w:pPr>
            <w:r>
              <w:rPr>
                <w:sz w:val="22"/>
                <w:szCs w:val="22"/>
              </w:rPr>
              <w:t>3.</w:t>
            </w:r>
          </w:p>
        </w:tc>
        <w:tc>
          <w:tcPr>
            <w:tcW w:w="1276" w:type="dxa"/>
            <w:vAlign w:val="center"/>
            <w:hideMark/>
          </w:tcPr>
          <w:p>
            <w:pPr>
              <w:tabs>
                <w:tab w:val="left" w:pos="709"/>
              </w:tabs>
              <w:rPr>
                <w:sz w:val="22"/>
                <w:szCs w:val="22"/>
              </w:rPr>
            </w:pPr>
            <w:r>
              <w:rPr>
                <w:sz w:val="22"/>
                <w:szCs w:val="22"/>
              </w:rPr>
              <w:t>3 aukštų</w:t>
            </w:r>
          </w:p>
        </w:tc>
        <w:tc>
          <w:tcPr>
            <w:tcW w:w="1559" w:type="dxa"/>
            <w:vAlign w:val="center"/>
            <w:hideMark/>
          </w:tcPr>
          <w:p>
            <w:pPr>
              <w:tabs>
                <w:tab w:val="left" w:pos="709"/>
              </w:tabs>
              <w:jc w:val="center"/>
              <w:rPr>
                <w:sz w:val="22"/>
                <w:szCs w:val="22"/>
              </w:rPr>
            </w:pPr>
            <w:r>
              <w:rPr>
                <w:sz w:val="22"/>
                <w:szCs w:val="22"/>
              </w:rPr>
              <w:t>22,5</w:t>
            </w:r>
          </w:p>
        </w:tc>
        <w:tc>
          <w:tcPr>
            <w:tcW w:w="2268" w:type="dxa"/>
            <w:vAlign w:val="center"/>
            <w:hideMark/>
          </w:tcPr>
          <w:p>
            <w:pPr>
              <w:tabs>
                <w:tab w:val="left" w:pos="709"/>
              </w:tabs>
              <w:jc w:val="center"/>
              <w:rPr>
                <w:sz w:val="22"/>
                <w:szCs w:val="22"/>
              </w:rPr>
            </w:pPr>
            <w:r>
              <w:rPr>
                <w:sz w:val="22"/>
                <w:szCs w:val="22"/>
              </w:rPr>
              <w:t>13,8</w:t>
            </w:r>
          </w:p>
        </w:tc>
        <w:tc>
          <w:tcPr>
            <w:tcW w:w="1701" w:type="dxa"/>
            <w:vAlign w:val="center"/>
            <w:hideMark/>
          </w:tcPr>
          <w:p>
            <w:pPr>
              <w:tabs>
                <w:tab w:val="left" w:pos="709"/>
              </w:tabs>
              <w:jc w:val="center"/>
              <w:rPr>
                <w:sz w:val="22"/>
                <w:szCs w:val="22"/>
              </w:rPr>
            </w:pPr>
            <w:r>
              <w:rPr>
                <w:sz w:val="22"/>
                <w:szCs w:val="22"/>
              </w:rPr>
              <w:t>10,3</w:t>
            </w:r>
          </w:p>
        </w:tc>
        <w:tc>
          <w:tcPr>
            <w:tcW w:w="2268" w:type="dxa"/>
            <w:noWrap/>
            <w:vAlign w:val="center"/>
            <w:hideMark/>
          </w:tcPr>
          <w:p>
            <w:pPr>
              <w:tabs>
                <w:tab w:val="left" w:pos="709"/>
              </w:tabs>
              <w:jc w:val="center"/>
              <w:rPr>
                <w:sz w:val="22"/>
                <w:szCs w:val="22"/>
              </w:rPr>
            </w:pPr>
            <w:r>
              <w:rPr>
                <w:sz w:val="22"/>
                <w:szCs w:val="22"/>
              </w:rPr>
              <w:t>7,9</w:t>
            </w:r>
          </w:p>
        </w:tc>
      </w:tr>
      <w:tr>
        <w:trPr>
          <w:trHeight w:val="20"/>
        </w:trPr>
        <w:tc>
          <w:tcPr>
            <w:tcW w:w="704" w:type="dxa"/>
            <w:noWrap/>
            <w:vAlign w:val="center"/>
            <w:hideMark/>
          </w:tcPr>
          <w:p>
            <w:pPr>
              <w:tabs>
                <w:tab w:val="left" w:pos="709"/>
              </w:tabs>
              <w:jc w:val="center"/>
              <w:rPr>
                <w:sz w:val="22"/>
                <w:szCs w:val="22"/>
              </w:rPr>
            </w:pPr>
            <w:r>
              <w:rPr>
                <w:sz w:val="22"/>
                <w:szCs w:val="22"/>
              </w:rPr>
              <w:t>4.</w:t>
            </w:r>
          </w:p>
        </w:tc>
        <w:tc>
          <w:tcPr>
            <w:tcW w:w="1276" w:type="dxa"/>
            <w:vAlign w:val="center"/>
            <w:hideMark/>
          </w:tcPr>
          <w:p>
            <w:pPr>
              <w:tabs>
                <w:tab w:val="left" w:pos="709"/>
              </w:tabs>
              <w:rPr>
                <w:sz w:val="22"/>
                <w:szCs w:val="22"/>
              </w:rPr>
            </w:pPr>
            <w:r>
              <w:rPr>
                <w:sz w:val="22"/>
                <w:szCs w:val="22"/>
              </w:rPr>
              <w:t>4 aukštų</w:t>
            </w:r>
          </w:p>
        </w:tc>
        <w:tc>
          <w:tcPr>
            <w:tcW w:w="1559" w:type="dxa"/>
            <w:vAlign w:val="center"/>
            <w:hideMark/>
          </w:tcPr>
          <w:p>
            <w:pPr>
              <w:tabs>
                <w:tab w:val="left" w:pos="709"/>
              </w:tabs>
              <w:jc w:val="center"/>
              <w:rPr>
                <w:sz w:val="22"/>
                <w:szCs w:val="22"/>
              </w:rPr>
            </w:pPr>
            <w:r>
              <w:rPr>
                <w:sz w:val="22"/>
                <w:szCs w:val="22"/>
              </w:rPr>
              <w:t>20,3</w:t>
            </w:r>
          </w:p>
        </w:tc>
        <w:tc>
          <w:tcPr>
            <w:tcW w:w="2268" w:type="dxa"/>
            <w:vAlign w:val="center"/>
            <w:hideMark/>
          </w:tcPr>
          <w:p>
            <w:pPr>
              <w:tabs>
                <w:tab w:val="left" w:pos="709"/>
              </w:tabs>
              <w:jc w:val="center"/>
              <w:rPr>
                <w:sz w:val="22"/>
                <w:szCs w:val="22"/>
              </w:rPr>
            </w:pPr>
            <w:r>
              <w:rPr>
                <w:sz w:val="22"/>
                <w:szCs w:val="22"/>
              </w:rPr>
              <w:t>15,3</w:t>
            </w:r>
          </w:p>
        </w:tc>
        <w:tc>
          <w:tcPr>
            <w:tcW w:w="1701" w:type="dxa"/>
            <w:vAlign w:val="center"/>
            <w:hideMark/>
          </w:tcPr>
          <w:p>
            <w:pPr>
              <w:tabs>
                <w:tab w:val="left" w:pos="709"/>
              </w:tabs>
              <w:jc w:val="center"/>
              <w:rPr>
                <w:sz w:val="22"/>
                <w:szCs w:val="22"/>
              </w:rPr>
            </w:pPr>
            <w:r>
              <w:rPr>
                <w:sz w:val="22"/>
                <w:szCs w:val="22"/>
              </w:rPr>
              <w:t>9,6</w:t>
            </w:r>
          </w:p>
        </w:tc>
        <w:tc>
          <w:tcPr>
            <w:tcW w:w="2268" w:type="dxa"/>
            <w:noWrap/>
            <w:vAlign w:val="center"/>
            <w:hideMark/>
          </w:tcPr>
          <w:p>
            <w:pPr>
              <w:tabs>
                <w:tab w:val="left" w:pos="709"/>
              </w:tabs>
              <w:jc w:val="center"/>
              <w:rPr>
                <w:sz w:val="22"/>
                <w:szCs w:val="22"/>
              </w:rPr>
            </w:pPr>
            <w:r>
              <w:rPr>
                <w:sz w:val="22"/>
                <w:szCs w:val="22"/>
              </w:rPr>
              <w:t>7,5</w:t>
            </w:r>
          </w:p>
        </w:tc>
      </w:tr>
      <w:tr>
        <w:trPr>
          <w:trHeight w:val="20"/>
        </w:trPr>
        <w:tc>
          <w:tcPr>
            <w:tcW w:w="704" w:type="dxa"/>
            <w:noWrap/>
            <w:vAlign w:val="center"/>
            <w:hideMark/>
          </w:tcPr>
          <w:p>
            <w:pPr>
              <w:tabs>
                <w:tab w:val="left" w:pos="709"/>
              </w:tabs>
              <w:jc w:val="center"/>
              <w:rPr>
                <w:sz w:val="22"/>
                <w:szCs w:val="22"/>
              </w:rPr>
            </w:pPr>
            <w:r>
              <w:rPr>
                <w:sz w:val="22"/>
                <w:szCs w:val="22"/>
              </w:rPr>
              <w:t>5.</w:t>
            </w:r>
          </w:p>
        </w:tc>
        <w:tc>
          <w:tcPr>
            <w:tcW w:w="1276" w:type="dxa"/>
            <w:vAlign w:val="center"/>
            <w:hideMark/>
          </w:tcPr>
          <w:p>
            <w:pPr>
              <w:tabs>
                <w:tab w:val="left" w:pos="709"/>
              </w:tabs>
              <w:rPr>
                <w:sz w:val="22"/>
                <w:szCs w:val="22"/>
              </w:rPr>
            </w:pPr>
            <w:r>
              <w:rPr>
                <w:sz w:val="22"/>
                <w:szCs w:val="22"/>
              </w:rPr>
              <w:t>5 aukštų</w:t>
            </w:r>
          </w:p>
        </w:tc>
        <w:tc>
          <w:tcPr>
            <w:tcW w:w="1559" w:type="dxa"/>
            <w:vAlign w:val="center"/>
            <w:hideMark/>
          </w:tcPr>
          <w:p>
            <w:pPr>
              <w:tabs>
                <w:tab w:val="left" w:pos="709"/>
              </w:tabs>
              <w:jc w:val="center"/>
              <w:rPr>
                <w:sz w:val="22"/>
                <w:szCs w:val="22"/>
              </w:rPr>
            </w:pPr>
            <w:r>
              <w:rPr>
                <w:sz w:val="22"/>
                <w:szCs w:val="22"/>
              </w:rPr>
              <w:t>16,6</w:t>
            </w:r>
          </w:p>
        </w:tc>
        <w:tc>
          <w:tcPr>
            <w:tcW w:w="2268" w:type="dxa"/>
            <w:vAlign w:val="center"/>
            <w:hideMark/>
          </w:tcPr>
          <w:p>
            <w:pPr>
              <w:tabs>
                <w:tab w:val="left" w:pos="709"/>
              </w:tabs>
              <w:jc w:val="center"/>
              <w:rPr>
                <w:sz w:val="22"/>
                <w:szCs w:val="22"/>
              </w:rPr>
            </w:pPr>
            <w:r>
              <w:rPr>
                <w:sz w:val="22"/>
                <w:szCs w:val="22"/>
              </w:rPr>
              <w:t>14,5</w:t>
            </w:r>
          </w:p>
        </w:tc>
        <w:tc>
          <w:tcPr>
            <w:tcW w:w="1701" w:type="dxa"/>
            <w:vAlign w:val="center"/>
            <w:hideMark/>
          </w:tcPr>
          <w:p>
            <w:pPr>
              <w:tabs>
                <w:tab w:val="left" w:pos="709"/>
              </w:tabs>
              <w:jc w:val="center"/>
              <w:rPr>
                <w:sz w:val="22"/>
                <w:szCs w:val="22"/>
              </w:rPr>
            </w:pPr>
            <w:r>
              <w:rPr>
                <w:sz w:val="22"/>
                <w:szCs w:val="22"/>
              </w:rPr>
              <w:t>9,2</w:t>
            </w:r>
          </w:p>
        </w:tc>
        <w:tc>
          <w:tcPr>
            <w:tcW w:w="2268" w:type="dxa"/>
            <w:noWrap/>
            <w:vAlign w:val="center"/>
            <w:hideMark/>
          </w:tcPr>
          <w:p>
            <w:pPr>
              <w:tabs>
                <w:tab w:val="left" w:pos="709"/>
              </w:tabs>
              <w:jc w:val="center"/>
              <w:rPr>
                <w:sz w:val="22"/>
                <w:szCs w:val="22"/>
              </w:rPr>
            </w:pPr>
            <w:r>
              <w:rPr>
                <w:sz w:val="22"/>
                <w:szCs w:val="22"/>
              </w:rPr>
              <w:t>6,9</w:t>
            </w:r>
          </w:p>
        </w:tc>
      </w:tr>
      <w:tr>
        <w:trPr>
          <w:trHeight w:val="20"/>
        </w:trPr>
        <w:tc>
          <w:tcPr>
            <w:tcW w:w="704" w:type="dxa"/>
            <w:noWrap/>
            <w:vAlign w:val="center"/>
            <w:hideMark/>
          </w:tcPr>
          <w:p>
            <w:pPr>
              <w:tabs>
                <w:tab w:val="left" w:pos="709"/>
              </w:tabs>
              <w:jc w:val="center"/>
              <w:rPr>
                <w:sz w:val="22"/>
                <w:szCs w:val="22"/>
              </w:rPr>
            </w:pPr>
            <w:r>
              <w:rPr>
                <w:sz w:val="22"/>
                <w:szCs w:val="22"/>
              </w:rPr>
              <w:t>6.</w:t>
            </w:r>
          </w:p>
        </w:tc>
        <w:tc>
          <w:tcPr>
            <w:tcW w:w="1276" w:type="dxa"/>
            <w:vAlign w:val="center"/>
            <w:hideMark/>
          </w:tcPr>
          <w:p>
            <w:pPr>
              <w:tabs>
                <w:tab w:val="left" w:pos="709"/>
              </w:tabs>
              <w:rPr>
                <w:sz w:val="22"/>
                <w:szCs w:val="22"/>
              </w:rPr>
            </w:pPr>
            <w:r>
              <w:rPr>
                <w:sz w:val="22"/>
                <w:szCs w:val="22"/>
              </w:rPr>
              <w:t>6 aukštų ir aukštesni</w:t>
            </w:r>
          </w:p>
        </w:tc>
        <w:tc>
          <w:tcPr>
            <w:tcW w:w="1559" w:type="dxa"/>
            <w:vAlign w:val="center"/>
            <w:hideMark/>
          </w:tcPr>
          <w:p>
            <w:pPr>
              <w:tabs>
                <w:tab w:val="left" w:pos="709"/>
              </w:tabs>
              <w:jc w:val="center"/>
              <w:rPr>
                <w:sz w:val="22"/>
                <w:szCs w:val="22"/>
              </w:rPr>
            </w:pPr>
            <w:r>
              <w:rPr>
                <w:sz w:val="22"/>
                <w:szCs w:val="22"/>
              </w:rPr>
              <w:t>17,1</w:t>
            </w:r>
          </w:p>
        </w:tc>
        <w:tc>
          <w:tcPr>
            <w:tcW w:w="2268" w:type="dxa"/>
            <w:vAlign w:val="center"/>
            <w:hideMark/>
          </w:tcPr>
          <w:p>
            <w:pPr>
              <w:tabs>
                <w:tab w:val="left" w:pos="709"/>
              </w:tabs>
              <w:jc w:val="center"/>
              <w:rPr>
                <w:sz w:val="22"/>
                <w:szCs w:val="22"/>
              </w:rPr>
            </w:pPr>
            <w:r>
              <w:rPr>
                <w:sz w:val="22"/>
                <w:szCs w:val="22"/>
              </w:rPr>
              <w:t>12,7</w:t>
            </w:r>
          </w:p>
        </w:tc>
        <w:tc>
          <w:tcPr>
            <w:tcW w:w="1701" w:type="dxa"/>
            <w:vAlign w:val="center"/>
            <w:hideMark/>
          </w:tcPr>
          <w:p>
            <w:pPr>
              <w:tabs>
                <w:tab w:val="left" w:pos="709"/>
              </w:tabs>
              <w:jc w:val="center"/>
              <w:rPr>
                <w:sz w:val="22"/>
                <w:szCs w:val="22"/>
              </w:rPr>
            </w:pPr>
            <w:r>
              <w:rPr>
                <w:sz w:val="22"/>
                <w:szCs w:val="22"/>
              </w:rPr>
              <w:t>8,5</w:t>
            </w:r>
          </w:p>
        </w:tc>
        <w:tc>
          <w:tcPr>
            <w:tcW w:w="2268" w:type="dxa"/>
            <w:noWrap/>
            <w:vAlign w:val="center"/>
            <w:hideMark/>
          </w:tcPr>
          <w:p>
            <w:pPr>
              <w:tabs>
                <w:tab w:val="left" w:pos="709"/>
              </w:tabs>
              <w:jc w:val="center"/>
              <w:rPr>
                <w:sz w:val="22"/>
                <w:szCs w:val="22"/>
              </w:rPr>
            </w:pPr>
            <w:r>
              <w:rPr>
                <w:sz w:val="22"/>
                <w:szCs w:val="22"/>
              </w:rPr>
              <w:t>6,4</w:t>
            </w:r>
          </w:p>
        </w:tc>
      </w:tr>
    </w:tbl>
    <w:p>
      <w:pPr>
        <w:rPr>
          <w:sz w:val="10"/>
          <w:szCs w:val="10"/>
        </w:rPr>
      </w:pPr>
    </w:p>
    <w:p>
      <w:pPr>
        <w:tabs>
          <w:tab w:val="left" w:pos="709"/>
        </w:tabs>
        <w:jc w:val="both"/>
        <w:rPr>
          <w:szCs w:val="24"/>
        </w:rPr>
      </w:pPr>
      <w:r>
        <w:rPr>
          <w:szCs w:val="24"/>
        </w:rPr>
        <w:t>* – taip pat renovuoti pastatai.</w:t>
      </w:r>
    </w:p>
    <w:p>
      <w:pPr>
        <w:tabs>
          <w:tab w:val="left" w:pos="709"/>
        </w:tabs>
        <w:jc w:val="both"/>
        <w:rPr>
          <w:szCs w:val="24"/>
        </w:rPr>
      </w:pPr>
    </w:p>
    <w:p>
      <w:pPr>
        <w:tabs>
          <w:tab w:val="left" w:pos="709"/>
        </w:tabs>
        <w:ind w:firstLine="709"/>
        <w:jc w:val="both"/>
        <w:rPr>
          <w:szCs w:val="24"/>
        </w:rPr>
      </w:pPr>
      <w:r>
        <w:rPr>
          <w:szCs w:val="24"/>
        </w:rPr>
        <w:t xml:space="preserve">2 lentelė. Maksimalūs energijos sąnaudų normatyvai būstui šildyti, esant standartinėms sąlygoms </w:t>
      </w:r>
    </w:p>
    <w:p>
      <w:pPr>
        <w:rPr>
          <w:sz w:val="10"/>
          <w:szCs w:val="1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1559"/>
        <w:gridCol w:w="2268"/>
        <w:gridCol w:w="1701"/>
        <w:gridCol w:w="2268"/>
      </w:tblGrid>
      <w:tr>
        <w:trPr>
          <w:trHeight w:val="20"/>
        </w:trPr>
        <w:tc>
          <w:tcPr>
            <w:tcW w:w="704" w:type="dxa"/>
            <w:vMerge w:val="restart"/>
            <w:noWrap/>
            <w:vAlign w:val="center"/>
            <w:hideMark/>
          </w:tcPr>
          <w:p>
            <w:pPr>
              <w:tabs>
                <w:tab w:val="left" w:pos="709"/>
              </w:tabs>
              <w:jc w:val="center"/>
              <w:rPr>
                <w:sz w:val="22"/>
                <w:szCs w:val="22"/>
              </w:rPr>
            </w:pPr>
            <w:r>
              <w:rPr>
                <w:sz w:val="22"/>
                <w:szCs w:val="22"/>
              </w:rPr>
              <w:t>Eilės Nr.</w:t>
            </w:r>
          </w:p>
        </w:tc>
        <w:tc>
          <w:tcPr>
            <w:tcW w:w="1276" w:type="dxa"/>
            <w:vMerge w:val="restart"/>
            <w:vAlign w:val="center"/>
            <w:hideMark/>
          </w:tcPr>
          <w:p>
            <w:pPr>
              <w:tabs>
                <w:tab w:val="left" w:pos="709"/>
              </w:tabs>
              <w:jc w:val="both"/>
              <w:rPr>
                <w:sz w:val="22"/>
                <w:szCs w:val="22"/>
              </w:rPr>
            </w:pPr>
            <w:r>
              <w:rPr>
                <w:sz w:val="22"/>
                <w:szCs w:val="22"/>
              </w:rPr>
              <w:t>Namų tipas</w:t>
            </w:r>
          </w:p>
        </w:tc>
        <w:tc>
          <w:tcPr>
            <w:tcW w:w="7796" w:type="dxa"/>
            <w:gridSpan w:val="4"/>
            <w:vAlign w:val="center"/>
            <w:hideMark/>
          </w:tcPr>
          <w:p>
            <w:pPr>
              <w:tabs>
                <w:tab w:val="left" w:pos="709"/>
              </w:tabs>
              <w:jc w:val="center"/>
              <w:rPr>
                <w:sz w:val="22"/>
                <w:szCs w:val="22"/>
              </w:rPr>
            </w:pPr>
            <w:r>
              <w:rPr>
                <w:sz w:val="22"/>
                <w:szCs w:val="22"/>
              </w:rPr>
              <w:t>Maksimalūs energijos sąnaudų normatyvai būstui šildyti, kWh/m</w:t>
            </w:r>
            <w:r>
              <w:rPr>
                <w:sz w:val="22"/>
                <w:szCs w:val="22"/>
                <w:vertAlign w:val="superscript"/>
              </w:rPr>
              <w:t xml:space="preserve">2 </w:t>
            </w:r>
            <w:r>
              <w:rPr>
                <w:sz w:val="22"/>
                <w:szCs w:val="22"/>
              </w:rPr>
              <w:t>per mėn.</w:t>
            </w:r>
          </w:p>
        </w:tc>
      </w:tr>
      <w:tr>
        <w:trPr>
          <w:trHeight w:val="20"/>
        </w:trPr>
        <w:tc>
          <w:tcPr>
            <w:tcW w:w="704" w:type="dxa"/>
            <w:vMerge/>
            <w:vAlign w:val="center"/>
            <w:hideMark/>
          </w:tcPr>
          <w:p>
            <w:pPr>
              <w:tabs>
                <w:tab w:val="left" w:pos="709"/>
              </w:tabs>
              <w:jc w:val="center"/>
              <w:rPr>
                <w:sz w:val="22"/>
                <w:szCs w:val="22"/>
              </w:rPr>
            </w:pPr>
          </w:p>
        </w:tc>
        <w:tc>
          <w:tcPr>
            <w:tcW w:w="1276" w:type="dxa"/>
            <w:vMerge/>
            <w:vAlign w:val="center"/>
            <w:hideMark/>
          </w:tcPr>
          <w:p>
            <w:pPr>
              <w:tabs>
                <w:tab w:val="left" w:pos="709"/>
              </w:tabs>
              <w:jc w:val="both"/>
              <w:rPr>
                <w:sz w:val="22"/>
                <w:szCs w:val="22"/>
              </w:rPr>
            </w:pPr>
          </w:p>
        </w:tc>
        <w:tc>
          <w:tcPr>
            <w:tcW w:w="1559" w:type="dxa"/>
            <w:vAlign w:val="center"/>
            <w:hideMark/>
          </w:tcPr>
          <w:p>
            <w:pPr>
              <w:tabs>
                <w:tab w:val="left" w:pos="709"/>
              </w:tabs>
              <w:jc w:val="center"/>
              <w:rPr>
                <w:sz w:val="22"/>
                <w:szCs w:val="22"/>
              </w:rPr>
            </w:pPr>
            <w:r>
              <w:rPr>
                <w:sz w:val="22"/>
                <w:szCs w:val="22"/>
              </w:rPr>
              <w:t xml:space="preserve">Pastatyti iki 1992 m. </w:t>
            </w:r>
          </w:p>
        </w:tc>
        <w:tc>
          <w:tcPr>
            <w:tcW w:w="2268" w:type="dxa"/>
            <w:vAlign w:val="center"/>
            <w:hideMark/>
          </w:tcPr>
          <w:p>
            <w:pPr>
              <w:tabs>
                <w:tab w:val="left" w:pos="709"/>
              </w:tabs>
              <w:jc w:val="center"/>
              <w:rPr>
                <w:sz w:val="22"/>
                <w:szCs w:val="22"/>
              </w:rPr>
            </w:pPr>
            <w:r>
              <w:rPr>
                <w:sz w:val="22"/>
                <w:szCs w:val="22"/>
              </w:rPr>
              <w:t xml:space="preserve">Pastatyti nuo 1993 m. iki 2005 m. </w:t>
              <w:br/>
              <w:t>(pagal RSN 143-92 arba STR 2.05.01:1999)</w:t>
            </w:r>
          </w:p>
        </w:tc>
        <w:tc>
          <w:tcPr>
            <w:tcW w:w="1701" w:type="dxa"/>
            <w:vAlign w:val="center"/>
            <w:hideMark/>
          </w:tcPr>
          <w:p>
            <w:pPr>
              <w:tabs>
                <w:tab w:val="left" w:pos="709"/>
              </w:tabs>
              <w:jc w:val="center"/>
              <w:rPr>
                <w:sz w:val="22"/>
                <w:szCs w:val="22"/>
                <w:lang w:val="en-US"/>
              </w:rPr>
            </w:pPr>
            <w:r>
              <w:rPr>
                <w:sz w:val="22"/>
                <w:szCs w:val="22"/>
              </w:rPr>
              <w:t xml:space="preserve">Pastatyti nuo 2006 m. iki 2013 m. </w:t>
              <w:br/>
              <w:t xml:space="preserve">(pagal STR 2.05.01:2005) </w:t>
            </w:r>
            <w:r>
              <w:rPr>
                <w:sz w:val="22"/>
                <w:szCs w:val="22"/>
                <w:lang w:val="en-US"/>
              </w:rPr>
              <w:t>*</w:t>
            </w:r>
          </w:p>
        </w:tc>
        <w:tc>
          <w:tcPr>
            <w:tcW w:w="2268" w:type="dxa"/>
            <w:vAlign w:val="center"/>
            <w:hideMark/>
          </w:tcPr>
          <w:p>
            <w:pPr>
              <w:tabs>
                <w:tab w:val="left" w:pos="709"/>
              </w:tabs>
              <w:jc w:val="center"/>
              <w:rPr>
                <w:sz w:val="22"/>
                <w:szCs w:val="22"/>
              </w:rPr>
            </w:pPr>
            <w:r>
              <w:rPr>
                <w:sz w:val="22"/>
                <w:szCs w:val="22"/>
              </w:rPr>
              <w:t xml:space="preserve">Pastatyti nuo 2014 m. </w:t>
              <w:br/>
              <w:t>(mažiausiai B energinio naudingumo klasės)</w:t>
            </w:r>
          </w:p>
        </w:tc>
      </w:tr>
      <w:tr>
        <w:trPr>
          <w:trHeight w:val="20"/>
        </w:trPr>
        <w:tc>
          <w:tcPr>
            <w:tcW w:w="704" w:type="dxa"/>
            <w:noWrap/>
            <w:vAlign w:val="center"/>
            <w:hideMark/>
          </w:tcPr>
          <w:p>
            <w:pPr>
              <w:tabs>
                <w:tab w:val="left" w:pos="709"/>
              </w:tabs>
              <w:jc w:val="center"/>
              <w:rPr>
                <w:sz w:val="22"/>
                <w:szCs w:val="22"/>
              </w:rPr>
            </w:pPr>
            <w:r>
              <w:rPr>
                <w:sz w:val="22"/>
                <w:szCs w:val="22"/>
              </w:rPr>
              <w:t>1.</w:t>
            </w:r>
          </w:p>
        </w:tc>
        <w:tc>
          <w:tcPr>
            <w:tcW w:w="1276" w:type="dxa"/>
            <w:vAlign w:val="center"/>
            <w:hideMark/>
          </w:tcPr>
          <w:p>
            <w:pPr>
              <w:tabs>
                <w:tab w:val="left" w:pos="709"/>
              </w:tabs>
              <w:rPr>
                <w:sz w:val="22"/>
                <w:szCs w:val="22"/>
              </w:rPr>
            </w:pPr>
            <w:r>
              <w:rPr>
                <w:sz w:val="22"/>
                <w:szCs w:val="22"/>
              </w:rPr>
              <w:t>1 aukšto</w:t>
            </w:r>
          </w:p>
        </w:tc>
        <w:tc>
          <w:tcPr>
            <w:tcW w:w="1559" w:type="dxa"/>
            <w:vAlign w:val="center"/>
            <w:hideMark/>
          </w:tcPr>
          <w:p>
            <w:pPr>
              <w:jc w:val="center"/>
              <w:rPr>
                <w:sz w:val="22"/>
                <w:szCs w:val="22"/>
              </w:rPr>
            </w:pPr>
            <w:r>
              <w:rPr>
                <w:sz w:val="22"/>
                <w:szCs w:val="22"/>
              </w:rPr>
              <w:t>36,1</w:t>
            </w:r>
          </w:p>
        </w:tc>
        <w:tc>
          <w:tcPr>
            <w:tcW w:w="2268" w:type="dxa"/>
            <w:vAlign w:val="center"/>
            <w:hideMark/>
          </w:tcPr>
          <w:p>
            <w:pPr>
              <w:jc w:val="center"/>
              <w:rPr>
                <w:sz w:val="22"/>
                <w:szCs w:val="22"/>
              </w:rPr>
            </w:pPr>
            <w:r>
              <w:rPr>
                <w:sz w:val="22"/>
                <w:szCs w:val="22"/>
              </w:rPr>
              <w:t>25,7</w:t>
            </w:r>
          </w:p>
        </w:tc>
        <w:tc>
          <w:tcPr>
            <w:tcW w:w="1701" w:type="dxa"/>
            <w:vAlign w:val="center"/>
            <w:hideMark/>
          </w:tcPr>
          <w:p>
            <w:pPr>
              <w:jc w:val="center"/>
              <w:rPr>
                <w:sz w:val="22"/>
                <w:szCs w:val="22"/>
              </w:rPr>
            </w:pPr>
            <w:r>
              <w:rPr>
                <w:sz w:val="22"/>
                <w:szCs w:val="22"/>
              </w:rPr>
              <w:t>17,8</w:t>
            </w:r>
          </w:p>
        </w:tc>
        <w:tc>
          <w:tcPr>
            <w:tcW w:w="2268" w:type="dxa"/>
            <w:noWrap/>
            <w:vAlign w:val="center"/>
            <w:hideMark/>
          </w:tcPr>
          <w:p>
            <w:pPr>
              <w:jc w:val="center"/>
              <w:rPr>
                <w:sz w:val="22"/>
                <w:szCs w:val="22"/>
              </w:rPr>
            </w:pPr>
            <w:r>
              <w:rPr>
                <w:sz w:val="22"/>
                <w:szCs w:val="22"/>
              </w:rPr>
              <w:t>13,3</w:t>
            </w:r>
          </w:p>
        </w:tc>
      </w:tr>
      <w:tr>
        <w:trPr>
          <w:trHeight w:val="20"/>
        </w:trPr>
        <w:tc>
          <w:tcPr>
            <w:tcW w:w="704" w:type="dxa"/>
            <w:noWrap/>
            <w:vAlign w:val="center"/>
            <w:hideMark/>
          </w:tcPr>
          <w:p>
            <w:pPr>
              <w:tabs>
                <w:tab w:val="left" w:pos="709"/>
              </w:tabs>
              <w:jc w:val="center"/>
              <w:rPr>
                <w:sz w:val="22"/>
                <w:szCs w:val="22"/>
              </w:rPr>
            </w:pPr>
            <w:r>
              <w:rPr>
                <w:sz w:val="22"/>
                <w:szCs w:val="22"/>
              </w:rPr>
              <w:t>2.</w:t>
            </w:r>
          </w:p>
        </w:tc>
        <w:tc>
          <w:tcPr>
            <w:tcW w:w="1276" w:type="dxa"/>
            <w:vAlign w:val="center"/>
            <w:hideMark/>
          </w:tcPr>
          <w:p>
            <w:pPr>
              <w:tabs>
                <w:tab w:val="left" w:pos="709"/>
              </w:tabs>
              <w:rPr>
                <w:sz w:val="22"/>
                <w:szCs w:val="22"/>
              </w:rPr>
            </w:pPr>
            <w:r>
              <w:rPr>
                <w:sz w:val="22"/>
                <w:szCs w:val="22"/>
              </w:rPr>
              <w:t>2 aukštų</w:t>
            </w:r>
          </w:p>
        </w:tc>
        <w:tc>
          <w:tcPr>
            <w:tcW w:w="1559" w:type="dxa"/>
            <w:vAlign w:val="center"/>
            <w:hideMark/>
          </w:tcPr>
          <w:p>
            <w:pPr>
              <w:jc w:val="center"/>
              <w:rPr>
                <w:sz w:val="22"/>
                <w:szCs w:val="22"/>
              </w:rPr>
            </w:pPr>
            <w:r>
              <w:rPr>
                <w:sz w:val="22"/>
                <w:szCs w:val="22"/>
              </w:rPr>
              <w:t>32,6</w:t>
            </w:r>
          </w:p>
        </w:tc>
        <w:tc>
          <w:tcPr>
            <w:tcW w:w="2268" w:type="dxa"/>
            <w:vAlign w:val="center"/>
            <w:hideMark/>
          </w:tcPr>
          <w:p>
            <w:pPr>
              <w:jc w:val="center"/>
              <w:rPr>
                <w:sz w:val="22"/>
                <w:szCs w:val="22"/>
              </w:rPr>
            </w:pPr>
            <w:r>
              <w:rPr>
                <w:sz w:val="22"/>
                <w:szCs w:val="22"/>
              </w:rPr>
              <w:t>23,2</w:t>
            </w:r>
          </w:p>
        </w:tc>
        <w:tc>
          <w:tcPr>
            <w:tcW w:w="1701" w:type="dxa"/>
            <w:vAlign w:val="center"/>
            <w:hideMark/>
          </w:tcPr>
          <w:p>
            <w:pPr>
              <w:jc w:val="center"/>
              <w:rPr>
                <w:sz w:val="22"/>
                <w:szCs w:val="22"/>
              </w:rPr>
            </w:pPr>
            <w:r>
              <w:rPr>
                <w:sz w:val="22"/>
                <w:szCs w:val="22"/>
              </w:rPr>
              <w:t>18,6</w:t>
            </w:r>
          </w:p>
        </w:tc>
        <w:tc>
          <w:tcPr>
            <w:tcW w:w="2268" w:type="dxa"/>
            <w:noWrap/>
            <w:vAlign w:val="center"/>
            <w:hideMark/>
          </w:tcPr>
          <w:p>
            <w:pPr>
              <w:jc w:val="center"/>
              <w:rPr>
                <w:sz w:val="22"/>
                <w:szCs w:val="22"/>
              </w:rPr>
            </w:pPr>
            <w:r>
              <w:rPr>
                <w:sz w:val="22"/>
                <w:szCs w:val="22"/>
              </w:rPr>
              <w:t>12,4</w:t>
            </w:r>
          </w:p>
        </w:tc>
      </w:tr>
      <w:tr>
        <w:trPr>
          <w:trHeight w:val="20"/>
        </w:trPr>
        <w:tc>
          <w:tcPr>
            <w:tcW w:w="704" w:type="dxa"/>
            <w:noWrap/>
            <w:vAlign w:val="center"/>
            <w:hideMark/>
          </w:tcPr>
          <w:p>
            <w:pPr>
              <w:tabs>
                <w:tab w:val="left" w:pos="709"/>
              </w:tabs>
              <w:jc w:val="center"/>
              <w:rPr>
                <w:sz w:val="22"/>
                <w:szCs w:val="22"/>
              </w:rPr>
            </w:pPr>
            <w:r>
              <w:rPr>
                <w:sz w:val="22"/>
                <w:szCs w:val="22"/>
              </w:rPr>
              <w:t>3.</w:t>
            </w:r>
          </w:p>
        </w:tc>
        <w:tc>
          <w:tcPr>
            <w:tcW w:w="1276" w:type="dxa"/>
            <w:vAlign w:val="center"/>
            <w:hideMark/>
          </w:tcPr>
          <w:p>
            <w:pPr>
              <w:tabs>
                <w:tab w:val="left" w:pos="709"/>
              </w:tabs>
              <w:rPr>
                <w:sz w:val="22"/>
                <w:szCs w:val="22"/>
              </w:rPr>
            </w:pPr>
            <w:r>
              <w:rPr>
                <w:sz w:val="22"/>
                <w:szCs w:val="22"/>
              </w:rPr>
              <w:t>3 aukštų</w:t>
            </w:r>
          </w:p>
        </w:tc>
        <w:tc>
          <w:tcPr>
            <w:tcW w:w="1559" w:type="dxa"/>
            <w:vAlign w:val="center"/>
            <w:hideMark/>
          </w:tcPr>
          <w:p>
            <w:pPr>
              <w:jc w:val="center"/>
              <w:rPr>
                <w:sz w:val="22"/>
                <w:szCs w:val="22"/>
              </w:rPr>
            </w:pPr>
            <w:r>
              <w:rPr>
                <w:sz w:val="22"/>
                <w:szCs w:val="22"/>
              </w:rPr>
              <w:t>29,6</w:t>
            </w:r>
          </w:p>
        </w:tc>
        <w:tc>
          <w:tcPr>
            <w:tcW w:w="2268" w:type="dxa"/>
            <w:vAlign w:val="center"/>
            <w:hideMark/>
          </w:tcPr>
          <w:p>
            <w:pPr>
              <w:jc w:val="center"/>
              <w:rPr>
                <w:sz w:val="22"/>
                <w:szCs w:val="22"/>
              </w:rPr>
            </w:pPr>
            <w:r>
              <w:rPr>
                <w:sz w:val="22"/>
                <w:szCs w:val="22"/>
              </w:rPr>
              <w:t>21,5</w:t>
            </w:r>
          </w:p>
        </w:tc>
        <w:tc>
          <w:tcPr>
            <w:tcW w:w="1701" w:type="dxa"/>
            <w:vAlign w:val="center"/>
            <w:hideMark/>
          </w:tcPr>
          <w:p>
            <w:pPr>
              <w:jc w:val="center"/>
              <w:rPr>
                <w:sz w:val="22"/>
                <w:szCs w:val="22"/>
              </w:rPr>
            </w:pPr>
            <w:r>
              <w:rPr>
                <w:sz w:val="22"/>
                <w:szCs w:val="22"/>
              </w:rPr>
              <w:t>12,6</w:t>
            </w:r>
          </w:p>
        </w:tc>
        <w:tc>
          <w:tcPr>
            <w:tcW w:w="2268" w:type="dxa"/>
            <w:noWrap/>
            <w:vAlign w:val="center"/>
            <w:hideMark/>
          </w:tcPr>
          <w:p>
            <w:pPr>
              <w:jc w:val="center"/>
              <w:rPr>
                <w:sz w:val="22"/>
                <w:szCs w:val="22"/>
              </w:rPr>
            </w:pPr>
            <w:r>
              <w:rPr>
                <w:sz w:val="22"/>
                <w:szCs w:val="22"/>
              </w:rPr>
              <w:t>10,6</w:t>
            </w:r>
          </w:p>
        </w:tc>
      </w:tr>
      <w:tr>
        <w:trPr>
          <w:trHeight w:val="20"/>
        </w:trPr>
        <w:tc>
          <w:tcPr>
            <w:tcW w:w="704" w:type="dxa"/>
            <w:noWrap/>
            <w:vAlign w:val="center"/>
            <w:hideMark/>
          </w:tcPr>
          <w:p>
            <w:pPr>
              <w:tabs>
                <w:tab w:val="left" w:pos="709"/>
              </w:tabs>
              <w:jc w:val="center"/>
              <w:rPr>
                <w:sz w:val="22"/>
                <w:szCs w:val="22"/>
              </w:rPr>
            </w:pPr>
            <w:r>
              <w:rPr>
                <w:sz w:val="22"/>
                <w:szCs w:val="22"/>
              </w:rPr>
              <w:t>4.</w:t>
            </w:r>
          </w:p>
        </w:tc>
        <w:tc>
          <w:tcPr>
            <w:tcW w:w="1276" w:type="dxa"/>
            <w:vAlign w:val="center"/>
            <w:hideMark/>
          </w:tcPr>
          <w:p>
            <w:pPr>
              <w:tabs>
                <w:tab w:val="left" w:pos="709"/>
              </w:tabs>
              <w:rPr>
                <w:sz w:val="22"/>
                <w:szCs w:val="22"/>
              </w:rPr>
            </w:pPr>
            <w:r>
              <w:rPr>
                <w:sz w:val="22"/>
                <w:szCs w:val="22"/>
              </w:rPr>
              <w:t>4 aukštų</w:t>
            </w:r>
          </w:p>
        </w:tc>
        <w:tc>
          <w:tcPr>
            <w:tcW w:w="1559" w:type="dxa"/>
            <w:vAlign w:val="center"/>
            <w:hideMark/>
          </w:tcPr>
          <w:p>
            <w:pPr>
              <w:jc w:val="center"/>
              <w:rPr>
                <w:sz w:val="22"/>
                <w:szCs w:val="22"/>
              </w:rPr>
            </w:pPr>
            <w:r>
              <w:rPr>
                <w:sz w:val="22"/>
                <w:szCs w:val="22"/>
              </w:rPr>
              <w:t>25,4</w:t>
            </w:r>
          </w:p>
        </w:tc>
        <w:tc>
          <w:tcPr>
            <w:tcW w:w="2268" w:type="dxa"/>
            <w:vAlign w:val="center"/>
            <w:hideMark/>
          </w:tcPr>
          <w:p>
            <w:pPr>
              <w:jc w:val="center"/>
              <w:rPr>
                <w:sz w:val="22"/>
                <w:szCs w:val="22"/>
              </w:rPr>
            </w:pPr>
            <w:r>
              <w:rPr>
                <w:sz w:val="22"/>
                <w:szCs w:val="22"/>
              </w:rPr>
              <w:t>21,4</w:t>
            </w:r>
          </w:p>
        </w:tc>
        <w:tc>
          <w:tcPr>
            <w:tcW w:w="1701" w:type="dxa"/>
            <w:vAlign w:val="center"/>
            <w:hideMark/>
          </w:tcPr>
          <w:p>
            <w:pPr>
              <w:jc w:val="center"/>
              <w:rPr>
                <w:sz w:val="22"/>
                <w:szCs w:val="22"/>
              </w:rPr>
            </w:pPr>
            <w:r>
              <w:rPr>
                <w:sz w:val="22"/>
                <w:szCs w:val="22"/>
              </w:rPr>
              <w:t>14,3</w:t>
            </w:r>
          </w:p>
        </w:tc>
        <w:tc>
          <w:tcPr>
            <w:tcW w:w="2268" w:type="dxa"/>
            <w:noWrap/>
            <w:vAlign w:val="center"/>
            <w:hideMark/>
          </w:tcPr>
          <w:p>
            <w:pPr>
              <w:jc w:val="center"/>
              <w:rPr>
                <w:sz w:val="22"/>
                <w:szCs w:val="22"/>
              </w:rPr>
            </w:pPr>
            <w:r>
              <w:rPr>
                <w:sz w:val="22"/>
                <w:szCs w:val="22"/>
              </w:rPr>
              <w:t>10,1</w:t>
            </w:r>
          </w:p>
        </w:tc>
      </w:tr>
      <w:tr>
        <w:trPr>
          <w:trHeight w:val="20"/>
        </w:trPr>
        <w:tc>
          <w:tcPr>
            <w:tcW w:w="704" w:type="dxa"/>
            <w:noWrap/>
            <w:vAlign w:val="center"/>
            <w:hideMark/>
          </w:tcPr>
          <w:p>
            <w:pPr>
              <w:tabs>
                <w:tab w:val="left" w:pos="709"/>
              </w:tabs>
              <w:jc w:val="center"/>
              <w:rPr>
                <w:sz w:val="22"/>
                <w:szCs w:val="22"/>
              </w:rPr>
            </w:pPr>
            <w:r>
              <w:rPr>
                <w:sz w:val="22"/>
                <w:szCs w:val="22"/>
              </w:rPr>
              <w:t>5.</w:t>
            </w:r>
          </w:p>
        </w:tc>
        <w:tc>
          <w:tcPr>
            <w:tcW w:w="1276" w:type="dxa"/>
            <w:vAlign w:val="center"/>
            <w:hideMark/>
          </w:tcPr>
          <w:p>
            <w:pPr>
              <w:tabs>
                <w:tab w:val="left" w:pos="709"/>
              </w:tabs>
              <w:rPr>
                <w:sz w:val="22"/>
                <w:szCs w:val="22"/>
              </w:rPr>
            </w:pPr>
            <w:r>
              <w:rPr>
                <w:sz w:val="22"/>
                <w:szCs w:val="22"/>
              </w:rPr>
              <w:t>5 aukštų</w:t>
            </w:r>
          </w:p>
        </w:tc>
        <w:tc>
          <w:tcPr>
            <w:tcW w:w="1559" w:type="dxa"/>
            <w:vAlign w:val="center"/>
            <w:hideMark/>
          </w:tcPr>
          <w:p>
            <w:pPr>
              <w:jc w:val="center"/>
              <w:rPr>
                <w:sz w:val="22"/>
                <w:szCs w:val="22"/>
              </w:rPr>
            </w:pPr>
            <w:r>
              <w:rPr>
                <w:sz w:val="22"/>
                <w:szCs w:val="22"/>
              </w:rPr>
              <w:t>20,7</w:t>
            </w:r>
          </w:p>
        </w:tc>
        <w:tc>
          <w:tcPr>
            <w:tcW w:w="2268" w:type="dxa"/>
            <w:vAlign w:val="center"/>
            <w:hideMark/>
          </w:tcPr>
          <w:p>
            <w:pPr>
              <w:jc w:val="center"/>
              <w:rPr>
                <w:sz w:val="22"/>
                <w:szCs w:val="22"/>
              </w:rPr>
            </w:pPr>
            <w:r>
              <w:rPr>
                <w:sz w:val="22"/>
                <w:szCs w:val="22"/>
              </w:rPr>
              <w:t>18,3</w:t>
            </w:r>
          </w:p>
        </w:tc>
        <w:tc>
          <w:tcPr>
            <w:tcW w:w="1701" w:type="dxa"/>
            <w:vAlign w:val="center"/>
            <w:hideMark/>
          </w:tcPr>
          <w:p>
            <w:pPr>
              <w:jc w:val="center"/>
              <w:rPr>
                <w:sz w:val="22"/>
                <w:szCs w:val="22"/>
              </w:rPr>
            </w:pPr>
            <w:r>
              <w:rPr>
                <w:sz w:val="22"/>
                <w:szCs w:val="22"/>
              </w:rPr>
              <w:t>12,0</w:t>
            </w:r>
          </w:p>
        </w:tc>
        <w:tc>
          <w:tcPr>
            <w:tcW w:w="2268" w:type="dxa"/>
            <w:noWrap/>
            <w:vAlign w:val="center"/>
            <w:hideMark/>
          </w:tcPr>
          <w:p>
            <w:pPr>
              <w:jc w:val="center"/>
              <w:rPr>
                <w:sz w:val="22"/>
                <w:szCs w:val="22"/>
              </w:rPr>
            </w:pPr>
            <w:r>
              <w:rPr>
                <w:sz w:val="22"/>
                <w:szCs w:val="22"/>
              </w:rPr>
              <w:t>9,3</w:t>
            </w:r>
          </w:p>
        </w:tc>
      </w:tr>
      <w:tr>
        <w:trPr>
          <w:trHeight w:val="20"/>
        </w:trPr>
        <w:tc>
          <w:tcPr>
            <w:tcW w:w="704" w:type="dxa"/>
            <w:noWrap/>
            <w:vAlign w:val="center"/>
            <w:hideMark/>
          </w:tcPr>
          <w:p>
            <w:pPr>
              <w:tabs>
                <w:tab w:val="left" w:pos="709"/>
              </w:tabs>
              <w:jc w:val="center"/>
              <w:rPr>
                <w:sz w:val="22"/>
                <w:szCs w:val="22"/>
              </w:rPr>
            </w:pPr>
            <w:r>
              <w:rPr>
                <w:sz w:val="22"/>
                <w:szCs w:val="22"/>
              </w:rPr>
              <w:t>6.</w:t>
            </w:r>
          </w:p>
        </w:tc>
        <w:tc>
          <w:tcPr>
            <w:tcW w:w="1276" w:type="dxa"/>
            <w:vAlign w:val="center"/>
            <w:hideMark/>
          </w:tcPr>
          <w:p>
            <w:pPr>
              <w:tabs>
                <w:tab w:val="left" w:pos="709"/>
              </w:tabs>
              <w:rPr>
                <w:sz w:val="22"/>
                <w:szCs w:val="22"/>
              </w:rPr>
            </w:pPr>
            <w:r>
              <w:rPr>
                <w:sz w:val="22"/>
                <w:szCs w:val="22"/>
              </w:rPr>
              <w:t>6 aukštų ir aukštesni</w:t>
            </w:r>
          </w:p>
        </w:tc>
        <w:tc>
          <w:tcPr>
            <w:tcW w:w="1559" w:type="dxa"/>
            <w:vAlign w:val="center"/>
            <w:hideMark/>
          </w:tcPr>
          <w:p>
            <w:pPr>
              <w:jc w:val="center"/>
              <w:rPr>
                <w:sz w:val="22"/>
                <w:szCs w:val="22"/>
              </w:rPr>
            </w:pPr>
            <w:r>
              <w:rPr>
                <w:sz w:val="22"/>
                <w:szCs w:val="22"/>
              </w:rPr>
              <w:t>20,7</w:t>
            </w:r>
          </w:p>
        </w:tc>
        <w:tc>
          <w:tcPr>
            <w:tcW w:w="2268" w:type="dxa"/>
            <w:vAlign w:val="center"/>
            <w:hideMark/>
          </w:tcPr>
          <w:p>
            <w:pPr>
              <w:jc w:val="center"/>
              <w:rPr>
                <w:sz w:val="22"/>
                <w:szCs w:val="22"/>
              </w:rPr>
            </w:pPr>
            <w:r>
              <w:rPr>
                <w:sz w:val="22"/>
                <w:szCs w:val="22"/>
              </w:rPr>
              <w:t>17,4</w:t>
            </w:r>
          </w:p>
        </w:tc>
        <w:tc>
          <w:tcPr>
            <w:tcW w:w="1701" w:type="dxa"/>
            <w:vAlign w:val="center"/>
            <w:hideMark/>
          </w:tcPr>
          <w:p>
            <w:pPr>
              <w:jc w:val="center"/>
              <w:rPr>
                <w:sz w:val="22"/>
                <w:szCs w:val="22"/>
              </w:rPr>
            </w:pPr>
            <w:r>
              <w:rPr>
                <w:sz w:val="22"/>
                <w:szCs w:val="22"/>
              </w:rPr>
              <w:t>11,5</w:t>
            </w:r>
          </w:p>
        </w:tc>
        <w:tc>
          <w:tcPr>
            <w:tcW w:w="2268" w:type="dxa"/>
            <w:noWrap/>
            <w:vAlign w:val="center"/>
            <w:hideMark/>
          </w:tcPr>
          <w:p>
            <w:pPr>
              <w:jc w:val="center"/>
              <w:rPr>
                <w:sz w:val="22"/>
                <w:szCs w:val="22"/>
              </w:rPr>
            </w:pPr>
            <w:r>
              <w:rPr>
                <w:sz w:val="22"/>
                <w:szCs w:val="22"/>
              </w:rPr>
              <w:t>8,6</w:t>
            </w:r>
          </w:p>
        </w:tc>
      </w:tr>
    </w:tbl>
    <w:p>
      <w:pPr>
        <w:rPr>
          <w:sz w:val="10"/>
          <w:szCs w:val="10"/>
        </w:rPr>
      </w:pPr>
    </w:p>
    <w:p>
      <w:pPr>
        <w:tabs>
          <w:tab w:val="left" w:pos="709"/>
        </w:tabs>
        <w:jc w:val="both"/>
        <w:rPr>
          <w:szCs w:val="24"/>
        </w:rPr>
      </w:pPr>
      <w:r>
        <w:rPr>
          <w:szCs w:val="24"/>
        </w:rPr>
        <w:t>* – taip pat renovuoti pastatai.</w:t>
      </w:r>
    </w:p>
    <w:p>
      <w:pPr>
        <w:tabs>
          <w:tab w:val="left" w:pos="709"/>
        </w:tabs>
        <w:jc w:val="both"/>
        <w:rPr>
          <w:szCs w:val="24"/>
        </w:rPr>
      </w:pPr>
    </w:p>
    <w:p>
      <w:pPr>
        <w:tabs>
          <w:tab w:val="left" w:pos="709"/>
        </w:tabs>
        <w:ind w:firstLine="709"/>
        <w:jc w:val="both"/>
        <w:rPr>
          <w:szCs w:val="24"/>
        </w:rPr>
      </w:pPr>
      <w:r>
        <w:rPr>
          <w:szCs w:val="24"/>
        </w:rPr>
        <w:t>2</w:t>
      </w:r>
      <w:r>
        <w:rPr>
          <w:szCs w:val="24"/>
        </w:rPr>
        <w:t>. Vidutiniai ir maksimalūs energijos sąnaudų normatyvai būstui šildyti nustatyti esant tokioms standartinėms sąlygoms – 548 DL (išorės lauko oro temperatūra t</w:t>
      </w:r>
      <w:r>
        <w:rPr>
          <w:szCs w:val="24"/>
          <w:vertAlign w:val="subscript"/>
        </w:rPr>
        <w:t>iš</w:t>
      </w:r>
      <w:r>
        <w:rPr>
          <w:szCs w:val="24"/>
        </w:rPr>
        <w:t xml:space="preserve"> = 0 ºC; vidaus patalpų oro temperatūra t</w:t>
      </w:r>
      <w:r>
        <w:rPr>
          <w:szCs w:val="24"/>
          <w:vertAlign w:val="subscript"/>
        </w:rPr>
        <w:t>vid</w:t>
      </w:r>
      <w:r>
        <w:rPr>
          <w:szCs w:val="24"/>
        </w:rPr>
        <w:t xml:space="preserve"> = 18 ºC; atsiskatimo laikotarpio (mėnesio) trukmė z = 30,42 parų), butų ir kitų patalpų aukštis nuo grindų iki lubų – 2,5 m. </w:t>
      </w:r>
    </w:p>
    <w:p>
      <w:pPr>
        <w:tabs>
          <w:tab w:val="left" w:pos="709"/>
        </w:tabs>
        <w:ind w:firstLine="709"/>
        <w:jc w:val="both"/>
        <w:rPr>
          <w:szCs w:val="24"/>
        </w:rPr>
      </w:pPr>
      <w:r>
        <w:rPr>
          <w:szCs w:val="24"/>
        </w:rPr>
        <w:t>3</w:t>
      </w:r>
      <w:r>
        <w:rPr>
          <w:szCs w:val="24"/>
        </w:rPr>
        <w:t>. Kitokie vidutiniai ir (ar) maksimalūs energijos sąnaudų normatyvai, esant standartinėms sąlygoms, gali būti nustatyti atlikus pastato (jo dalies) energijos vartojimo auditą.</w:t>
      </w:r>
    </w:p>
    <w:p>
      <w:pPr>
        <w:tabs>
          <w:tab w:val="left" w:pos="709"/>
        </w:tabs>
        <w:ind w:firstLine="709"/>
        <w:jc w:val="both"/>
        <w:rPr>
          <w:szCs w:val="24"/>
        </w:rPr>
      </w:pPr>
      <w:r>
        <w:rPr>
          <w:szCs w:val="24"/>
        </w:rPr>
        <w:t>4</w:t>
      </w:r>
      <w:r>
        <w:rPr>
          <w:szCs w:val="24"/>
        </w:rPr>
        <w:t xml:space="preserve">. Jeigu nėra žinoma pagal kokius statybos techninius reglamentus pastatytas pastatas ir (arba) pastato energinio naudingumo klasė, vidutiniai ir maksimalūs energijos sąnaudų normatyvai parenkami pagal pastato statybos metus. </w:t>
      </w:r>
    </w:p>
    <w:p>
      <w:pPr>
        <w:tabs>
          <w:tab w:val="left" w:pos="709"/>
        </w:tabs>
        <w:ind w:firstLine="709"/>
        <w:jc w:val="both"/>
        <w:rPr>
          <w:szCs w:val="24"/>
        </w:rPr>
      </w:pPr>
      <w:r>
        <w:rPr>
          <w:szCs w:val="24"/>
        </w:rPr>
        <w:t>5</w:t>
      </w:r>
      <w:r>
        <w:rPr>
          <w:szCs w:val="24"/>
        </w:rPr>
        <w:t xml:space="preserve">. Pastato statybos metais laikomi statybos leidžiančio dokumento išdavimo metai. </w:t>
      </w:r>
    </w:p>
    <w:p>
      <w:pPr>
        <w:tabs>
          <w:tab w:val="left" w:pos="709"/>
        </w:tabs>
        <w:jc w:val="both"/>
        <w:rPr>
          <w:sz w:val="22"/>
          <w:szCs w:val="22"/>
        </w:rPr>
      </w:pPr>
    </w:p>
    <w:p>
      <w:pPr>
        <w:ind w:left="6521" w:hanging="6663"/>
        <w:jc w:val="center"/>
      </w:pPr>
      <w:r>
        <w:rPr>
          <w:color w:val="000000"/>
          <w:szCs w:val="24"/>
        </w:rPr>
        <w:t>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945bb0d14011e8bea9885f77677ec1">
        <w:r w:rsidRPr="00532B9F">
          <w:rPr>
            <w:rFonts w:ascii="Times New Roman" w:eastAsia="MS Mincho" w:hAnsi="Times New Roman"/>
            <w:sz w:val="20"/>
            <w:i/>
            <w:iCs/>
            <w:color w:val="0000FF" w:themeColor="hyperlink"/>
            <w:u w:val="single"/>
          </w:rPr>
          <w:t>O3E-329</w:t>
        </w:r>
      </w:fldSimple>
      <w:r>
        <w:rPr>
          <w:rFonts w:ascii="Times New Roman" w:eastAsia="MS Mincho" w:hAnsi="Times New Roman"/>
          <w:sz w:val="20"/>
          <w:i/>
          <w:iCs/>
        </w:rPr>
        <w:t>,
2018-10-16,
paskelbta TAR 2018-10-16, i. k. 2018-16263        </w:t>
      </w:r>
    </w:p>
    <w:p/>
    <w:p>
      <w:pPr>
        <w:tabs>
          <w:tab w:val="left" w:pos="709"/>
        </w:tabs>
        <w:ind w:left="4820"/>
        <w:sectPr>
          <w:pgSz w:w="11906" w:h="16838"/>
          <w:pgMar w:top="1701" w:right="567" w:bottom="1134" w:left="1701" w:header="567" w:footer="567" w:gutter="0"/>
          <w:pgNumType w:start="1"/>
          <w:cols w:space="1296"/>
          <w:titlePg/>
          <w:docGrid w:linePitch="360"/>
        </w:sectPr>
      </w:pPr>
    </w:p>
    <w:p>
      <w:pPr>
        <w:tabs>
          <w:tab w:val="left" w:pos="709"/>
        </w:tabs>
        <w:ind w:left="4820"/>
        <w:rPr>
          <w:bCs/>
          <w:szCs w:val="24"/>
        </w:rPr>
      </w:pPr>
      <w:r>
        <w:rPr>
          <w:bCs/>
          <w:szCs w:val="24"/>
        </w:rPr>
        <w:t>Atskirų energijos ir kuro rūšių sąnaudų</w:t>
      </w:r>
    </w:p>
    <w:p>
      <w:pPr>
        <w:tabs>
          <w:tab w:val="left" w:pos="709"/>
        </w:tabs>
        <w:ind w:left="4820"/>
        <w:rPr>
          <w:bCs/>
          <w:szCs w:val="24"/>
        </w:rPr>
      </w:pPr>
      <w:r>
        <w:rPr>
          <w:bCs/>
          <w:szCs w:val="24"/>
        </w:rPr>
        <w:t>normatyvų būstui šildyti ir karštam vandeniui</w:t>
      </w:r>
    </w:p>
    <w:p>
      <w:pPr>
        <w:tabs>
          <w:tab w:val="left" w:pos="709"/>
        </w:tabs>
        <w:ind w:left="4820"/>
        <w:rPr>
          <w:bCs/>
          <w:szCs w:val="24"/>
        </w:rPr>
      </w:pPr>
      <w:r>
        <w:rPr>
          <w:bCs/>
          <w:szCs w:val="24"/>
        </w:rPr>
        <w:t xml:space="preserve">ruošti nustatymo bei taikymo metodikos </w:t>
      </w:r>
    </w:p>
    <w:p>
      <w:pPr>
        <w:tabs>
          <w:tab w:val="left" w:pos="709"/>
        </w:tabs>
        <w:ind w:left="4820"/>
        <w:rPr>
          <w:bCs/>
          <w:szCs w:val="24"/>
        </w:rPr>
      </w:pPr>
      <w:r>
        <w:rPr>
          <w:bCs/>
          <w:szCs w:val="24"/>
        </w:rPr>
        <w:t>2</w:t>
      </w:r>
      <w:r>
        <w:rPr>
          <w:bCs/>
          <w:szCs w:val="24"/>
        </w:rPr>
        <w:t xml:space="preserve"> priedas</w:t>
      </w:r>
    </w:p>
    <w:p>
      <w:pPr>
        <w:ind w:left="6521" w:hanging="6663"/>
        <w:rPr>
          <w:color w:val="000000"/>
          <w:szCs w:val="24"/>
        </w:rPr>
      </w:pPr>
    </w:p>
    <w:p>
      <w:pPr>
        <w:jc w:val="center"/>
        <w:rPr>
          <w:b/>
          <w:szCs w:val="24"/>
        </w:rPr>
      </w:pPr>
      <w:r>
        <w:rPr>
          <w:b/>
          <w:szCs w:val="24"/>
        </w:rPr>
        <w:t>VIDUTINIAI ENERGIJOS SĄNAUDŲ GERIAMOJO VANDENS VIENAM KUBINIAM METRUI PAŠILDYTI IR KARŠTO VANDENS TEMPERATŪRAI PALAIKYTI (CIRKULIACIJAI) NORMATYVAI</w:t>
      </w:r>
    </w:p>
    <w:p>
      <w:pPr>
        <w:jc w:val="center"/>
        <w:rPr>
          <w:b/>
          <w:szCs w:val="24"/>
        </w:rPr>
      </w:pPr>
    </w:p>
    <w:p>
      <w:pPr>
        <w:ind w:firstLine="709"/>
        <w:jc w:val="both"/>
        <w:rPr>
          <w:szCs w:val="24"/>
        </w:rPr>
      </w:pPr>
      <w:r>
        <w:rPr>
          <w:szCs w:val="24"/>
        </w:rPr>
        <w:t>1</w:t>
      </w:r>
      <w:r>
        <w:rPr>
          <w:szCs w:val="24"/>
        </w:rPr>
        <w:t xml:space="preserve">. Visoje Lietuvos Respublikoje taikomas vidutinis energijos sąnaudų geriamojo vandens vienam kubiniam metrui pašildyti iki higienos normomis nustatytos temperatūros normatyvas </w:t>
      </w:r>
      <w:r>
        <w:rPr>
          <w:color w:val="000000"/>
          <w:szCs w:val="24"/>
          <w:lang w:eastAsia="lt-LT"/>
        </w:rPr>
        <w:t>(</w:t>
      </w:r>
      <w:r>
        <w:rPr>
          <w:color w:val="000000"/>
          <w:position w:val="-12"/>
          <w:szCs w:val="24"/>
          <w:lang w:eastAsia="lt-LT"/>
        </w:rPr>
        <w:drawing>
          <wp:inline distT="0" distB="0" distL="0" distR="0">
            <wp:extent cx="241300" cy="231140"/>
            <wp:effectExtent l="0" t="0" r="6350" b="0"/>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1300" cy="231140"/>
                    </a:xfrm>
                    <a:prstGeom prst="rect">
                      <a:avLst/>
                    </a:prstGeom>
                    <a:noFill/>
                    <a:ln>
                      <a:noFill/>
                    </a:ln>
                  </pic:spPr>
                </pic:pic>
              </a:graphicData>
            </a:graphic>
          </wp:inline>
        </w:drawing>
      </w:r>
      <w:r>
        <w:rPr>
          <w:color w:val="000000"/>
          <w:szCs w:val="24"/>
          <w:lang w:eastAsia="lt-LT"/>
        </w:rPr>
        <w:t>)</w:t>
      </w:r>
      <w:r>
        <w:rPr>
          <w:szCs w:val="24"/>
        </w:rPr>
        <w:t xml:space="preserve"> lygus 51 kWh/m</w:t>
      </w:r>
      <w:r>
        <w:rPr>
          <w:szCs w:val="24"/>
          <w:vertAlign w:val="superscript"/>
        </w:rPr>
        <w:t>3</w:t>
      </w:r>
      <w:r>
        <w:rPr>
          <w:szCs w:val="24"/>
        </w:rPr>
        <w:t>.</w:t>
      </w:r>
    </w:p>
    <w:p>
      <w:pPr>
        <w:ind w:firstLine="709"/>
        <w:jc w:val="both"/>
        <w:rPr>
          <w:szCs w:val="24"/>
        </w:rPr>
      </w:pPr>
      <w:r>
        <w:rPr>
          <w:szCs w:val="24"/>
        </w:rPr>
        <w:t>2</w:t>
      </w:r>
      <w:r>
        <w:rPr>
          <w:szCs w:val="24"/>
        </w:rPr>
        <w:t xml:space="preserve">. Kai pastate taikomas apsirūpinimo karštu vandeniu būdas – centralizuotai paruošto karšto vandens pirkimas iš karšto vandens tiekėjo, </w:t>
      </w:r>
      <w:r>
        <w:rPr>
          <w:color w:val="000000"/>
          <w:szCs w:val="24"/>
          <w:lang w:eastAsia="lt-LT"/>
        </w:rPr>
        <w:t xml:space="preserve">vidutinis energijos sąnaudų geriamojo vandens vienam kubiniam metrui pašildyti normatyvas prilyginamas konkrečiam karšto vandens tiekėjui Komisijos nutarimu nustatytoje karšto vandens kainos kintamojoje dedamojoje nurodytam šilumos kiekiui. </w:t>
      </w:r>
    </w:p>
    <w:p>
      <w:pPr>
        <w:ind w:firstLine="709"/>
        <w:jc w:val="both"/>
        <w:rPr>
          <w:szCs w:val="24"/>
        </w:rPr>
      </w:pPr>
      <w:r>
        <w:rPr>
          <w:szCs w:val="24"/>
        </w:rPr>
        <w:t>3</w:t>
      </w:r>
      <w:r>
        <w:rPr>
          <w:szCs w:val="24"/>
        </w:rPr>
        <w:t>. Vidutiniai energijos sąnaudų karšto vandens temperatūrai palaikyti (cirkuliacijai) normatyvai (</w:t>
      </w:r>
      <w:r>
        <w:rPr>
          <w:position w:val="-12"/>
          <w:szCs w:val="24"/>
          <w:lang w:eastAsia="lt-LT"/>
        </w:rPr>
        <w:drawing>
          <wp:inline distT="0" distB="0" distL="0" distR="0">
            <wp:extent cx="291465" cy="231140"/>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1465" cy="231140"/>
                    </a:xfrm>
                    <a:prstGeom prst="rect">
                      <a:avLst/>
                    </a:prstGeom>
                    <a:noFill/>
                    <a:ln>
                      <a:noFill/>
                    </a:ln>
                  </pic:spPr>
                </pic:pic>
              </a:graphicData>
            </a:graphic>
          </wp:inline>
        </w:drawing>
      </w:r>
      <w:r>
        <w:rPr>
          <w:szCs w:val="24"/>
        </w:rPr>
        <w:t>), esant standartinėms sąlygoms, pateikti 1 lentelėje.</w:t>
      </w:r>
    </w:p>
    <w:p>
      <w:pPr>
        <w:ind w:firstLine="709"/>
        <w:jc w:val="both"/>
        <w:rPr>
          <w:szCs w:val="24"/>
        </w:rPr>
      </w:pPr>
    </w:p>
    <w:p>
      <w:pPr>
        <w:ind w:firstLine="709"/>
        <w:jc w:val="both"/>
        <w:rPr>
          <w:szCs w:val="24"/>
        </w:rPr>
      </w:pPr>
      <w:r>
        <w:rPr>
          <w:szCs w:val="24"/>
        </w:rPr>
        <w:t>1 lentelė. Vidutiniai energijos sąnaudų karšto vandens temperatūrai palaikyti (cirkuliacijai) normatyvai, esant standartinėms sąlygoms</w:t>
      </w:r>
    </w:p>
    <w:p>
      <w:pPr>
        <w:rPr>
          <w:sz w:val="10"/>
          <w:szCs w:val="10"/>
        </w:rPr>
      </w:pPr>
    </w:p>
    <w:tbl>
      <w:tblPr>
        <w:tblW w:w="9746" w:type="dxa"/>
        <w:tblInd w:w="-5" w:type="dxa"/>
        <w:tblCellMar>
          <w:top w:w="15" w:type="dxa"/>
          <w:bottom w:w="15" w:type="dxa"/>
        </w:tblCellMar>
        <w:tblLook w:val="04A0" w:firstRow="1" w:lastRow="0" w:firstColumn="1" w:lastColumn="0" w:noHBand="0" w:noVBand="1"/>
      </w:tblPr>
      <w:tblGrid>
        <w:gridCol w:w="960"/>
        <w:gridCol w:w="6270"/>
        <w:gridCol w:w="2516"/>
      </w:tblGrid>
      <w:tr>
        <w:trPr>
          <w:trHeight w:val="20"/>
        </w:trPr>
        <w:tc>
          <w:tcPr>
            <w:tcW w:w="960"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2"/>
                <w:szCs w:val="22"/>
                <w:lang w:eastAsia="lt-LT"/>
              </w:rPr>
            </w:pPr>
            <w:r>
              <w:rPr>
                <w:color w:val="000000"/>
                <w:sz w:val="22"/>
                <w:szCs w:val="22"/>
                <w:lang w:eastAsia="lt-LT"/>
              </w:rPr>
              <w:t>Eilės Nr.</w:t>
            </w:r>
          </w:p>
        </w:tc>
        <w:tc>
          <w:tcPr>
            <w:tcW w:w="6270" w:type="dxa"/>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r>
              <w:rPr>
                <w:color w:val="000000"/>
                <w:sz w:val="22"/>
                <w:szCs w:val="22"/>
                <w:lang w:eastAsia="lt-LT"/>
              </w:rPr>
              <w:t>Karšto vandens tiekimo sistemos tipas</w:t>
            </w:r>
          </w:p>
        </w:tc>
        <w:tc>
          <w:tcPr>
            <w:tcW w:w="2516" w:type="dxa"/>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r>
              <w:rPr>
                <w:color w:val="000000"/>
                <w:sz w:val="22"/>
                <w:szCs w:val="22"/>
                <w:lang w:eastAsia="lt-LT"/>
              </w:rPr>
              <w:t>Vidutiniai energijos sąnaudų cirkuliacijai normatyvai q</w:t>
            </w:r>
            <w:r>
              <w:rPr>
                <w:color w:val="000000"/>
                <w:sz w:val="22"/>
                <w:szCs w:val="22"/>
                <w:vertAlign w:val="subscript"/>
                <w:lang w:eastAsia="lt-LT"/>
              </w:rPr>
              <w:t>Re0</w:t>
            </w:r>
            <w:r>
              <w:rPr>
                <w:color w:val="000000"/>
                <w:sz w:val="22"/>
                <w:szCs w:val="22"/>
                <w:lang w:eastAsia="lt-LT"/>
              </w:rPr>
              <w:t>, kWh/būstui per mėn.</w:t>
            </w:r>
          </w:p>
        </w:tc>
      </w:tr>
      <w:tr>
        <w:trPr>
          <w:trHeight w:val="20"/>
        </w:trPr>
        <w:tc>
          <w:tcPr>
            <w:tcW w:w="960"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2"/>
                <w:szCs w:val="22"/>
                <w:lang w:eastAsia="lt-LT"/>
              </w:rPr>
            </w:pPr>
            <w:r>
              <w:rPr>
                <w:color w:val="000000"/>
                <w:sz w:val="22"/>
                <w:szCs w:val="22"/>
                <w:lang w:eastAsia="lt-LT"/>
              </w:rPr>
              <w:t>1.</w:t>
            </w:r>
          </w:p>
        </w:tc>
        <w:tc>
          <w:tcPr>
            <w:tcW w:w="6270" w:type="dxa"/>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r>
              <w:rPr>
                <w:color w:val="000000"/>
                <w:sz w:val="22"/>
                <w:szCs w:val="22"/>
                <w:lang w:eastAsia="lt-LT"/>
              </w:rPr>
              <w:t>Kai bute ar kitoje patalpoje įrengti du karšto vandens sistemos tiekimo ir cirkuliacijos stovai bei įrengtas vonios šildytuvas</w:t>
            </w:r>
          </w:p>
        </w:tc>
        <w:tc>
          <w:tcPr>
            <w:tcW w:w="2516"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2"/>
                <w:szCs w:val="22"/>
                <w:lang w:eastAsia="lt-LT"/>
              </w:rPr>
            </w:pPr>
            <w:r>
              <w:rPr>
                <w:color w:val="000000"/>
                <w:sz w:val="22"/>
                <w:szCs w:val="22"/>
                <w:lang w:eastAsia="lt-LT"/>
              </w:rPr>
              <w:t>240</w:t>
            </w:r>
          </w:p>
        </w:tc>
      </w:tr>
      <w:tr>
        <w:trPr>
          <w:trHeight w:val="20"/>
        </w:trPr>
        <w:tc>
          <w:tcPr>
            <w:tcW w:w="960"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2"/>
                <w:szCs w:val="22"/>
                <w:lang w:eastAsia="lt-LT"/>
              </w:rPr>
            </w:pPr>
            <w:r>
              <w:rPr>
                <w:color w:val="000000"/>
                <w:sz w:val="22"/>
                <w:szCs w:val="22"/>
                <w:lang w:eastAsia="lt-LT"/>
              </w:rPr>
              <w:t>2.</w:t>
            </w:r>
          </w:p>
        </w:tc>
        <w:tc>
          <w:tcPr>
            <w:tcW w:w="6270" w:type="dxa"/>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r>
              <w:rPr>
                <w:color w:val="000000"/>
                <w:sz w:val="22"/>
                <w:szCs w:val="22"/>
                <w:lang w:eastAsia="lt-LT"/>
              </w:rPr>
              <w:t>Kai bute ar kitoje patalpoje įrengtas vienas karšto vandens sistemos tiekimo ir cirkuliacijos stovas bei įrengtas vonios šildytuvas</w:t>
            </w:r>
          </w:p>
        </w:tc>
        <w:tc>
          <w:tcPr>
            <w:tcW w:w="2516"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2"/>
                <w:szCs w:val="22"/>
                <w:lang w:eastAsia="lt-LT"/>
              </w:rPr>
            </w:pPr>
            <w:r>
              <w:rPr>
                <w:color w:val="000000"/>
                <w:sz w:val="22"/>
                <w:szCs w:val="22"/>
                <w:lang w:eastAsia="lt-LT"/>
              </w:rPr>
              <w:t>160</w:t>
            </w:r>
          </w:p>
        </w:tc>
      </w:tr>
      <w:tr>
        <w:trPr>
          <w:trHeight w:val="20"/>
        </w:trPr>
        <w:tc>
          <w:tcPr>
            <w:tcW w:w="960"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2"/>
                <w:szCs w:val="22"/>
                <w:lang w:eastAsia="lt-LT"/>
              </w:rPr>
            </w:pPr>
            <w:r>
              <w:rPr>
                <w:color w:val="000000"/>
                <w:sz w:val="22"/>
                <w:szCs w:val="22"/>
                <w:lang w:eastAsia="lt-LT"/>
              </w:rPr>
              <w:t>3.</w:t>
            </w:r>
          </w:p>
        </w:tc>
        <w:tc>
          <w:tcPr>
            <w:tcW w:w="6270" w:type="dxa"/>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r>
              <w:rPr>
                <w:color w:val="000000"/>
                <w:sz w:val="22"/>
                <w:szCs w:val="22"/>
                <w:lang w:eastAsia="lt-LT"/>
              </w:rPr>
              <w:t>Kai bute ar kitoje patalpoje įrengtas vienas karšto vandens sistemos tiekimo ir cirkuliacijos stovas bet nėra vonios šildytuvo</w:t>
            </w:r>
          </w:p>
        </w:tc>
        <w:tc>
          <w:tcPr>
            <w:tcW w:w="2516"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2"/>
                <w:szCs w:val="22"/>
                <w:lang w:eastAsia="lt-LT"/>
              </w:rPr>
            </w:pPr>
            <w:r>
              <w:rPr>
                <w:color w:val="000000"/>
                <w:sz w:val="22"/>
                <w:szCs w:val="22"/>
                <w:lang w:eastAsia="lt-LT"/>
              </w:rPr>
              <w:t>80</w:t>
            </w:r>
          </w:p>
        </w:tc>
      </w:tr>
      <w:tr>
        <w:trPr>
          <w:trHeight w:val="20"/>
        </w:trPr>
        <w:tc>
          <w:tcPr>
            <w:tcW w:w="960"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2"/>
                <w:szCs w:val="22"/>
                <w:lang w:eastAsia="lt-LT"/>
              </w:rPr>
            </w:pPr>
            <w:r>
              <w:rPr>
                <w:color w:val="000000"/>
                <w:sz w:val="22"/>
                <w:szCs w:val="22"/>
                <w:lang w:eastAsia="lt-LT"/>
              </w:rPr>
              <w:t>4.</w:t>
            </w:r>
          </w:p>
        </w:tc>
        <w:tc>
          <w:tcPr>
            <w:tcW w:w="6270" w:type="dxa"/>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r>
              <w:rPr>
                <w:color w:val="000000"/>
                <w:sz w:val="22"/>
                <w:szCs w:val="22"/>
                <w:lang w:eastAsia="lt-LT"/>
              </w:rPr>
              <w:t>Kai karšto vandens cirkuliacija yra tik namo bendrojo naudojimo patalpose</w:t>
            </w:r>
          </w:p>
        </w:tc>
        <w:tc>
          <w:tcPr>
            <w:tcW w:w="2516"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2"/>
                <w:szCs w:val="22"/>
                <w:lang w:eastAsia="lt-LT"/>
              </w:rPr>
            </w:pPr>
            <w:r>
              <w:rPr>
                <w:color w:val="000000"/>
                <w:sz w:val="22"/>
                <w:szCs w:val="22"/>
                <w:lang w:eastAsia="lt-LT"/>
              </w:rPr>
              <w:t>10</w:t>
            </w:r>
          </w:p>
        </w:tc>
      </w:tr>
    </w:tbl>
    <w:p>
      <w:pPr>
        <w:ind w:firstLine="709"/>
        <w:jc w:val="both"/>
        <w:rPr>
          <w:szCs w:val="24"/>
        </w:rPr>
      </w:pPr>
    </w:p>
    <w:p>
      <w:pPr>
        <w:ind w:firstLine="709"/>
        <w:jc w:val="both"/>
        <w:rPr>
          <w:color w:val="000000"/>
          <w:szCs w:val="24"/>
          <w:lang w:eastAsia="lt-LT"/>
        </w:rPr>
      </w:pPr>
      <w:r>
        <w:rPr>
          <w:szCs w:val="24"/>
        </w:rPr>
        <w:t>4</w:t>
      </w:r>
      <w:r>
        <w:rPr>
          <w:szCs w:val="24"/>
        </w:rPr>
        <w:t xml:space="preserve">. Kitokie vidutiniai energijos sąnaudų karšto vandens temperatūrai palaikyti (cirkuliacijai) normatyvai gali būti nustatyti atsižvelgiant į butuose ar kitose patalpose įrengtų </w:t>
      </w:r>
      <w:r>
        <w:rPr>
          <w:color w:val="000000"/>
          <w:szCs w:val="24"/>
          <w:lang w:eastAsia="lt-LT"/>
        </w:rPr>
        <w:t xml:space="preserve">karšto vandens sistemos tiekimo ir cirkuliacijos stovų bei vonios šildytuvų skaičių (vienas karšto vandens sistemos tiekimo ir cirkuliacijos stovas – 80 kWh per mėn., vonios šildytuvas – 80 kWh per mėn.) arba atlikus pastato (jo dalies) energijos vartojimo auditą. </w:t>
      </w:r>
    </w:p>
    <w:p>
      <w:pPr>
        <w:tabs>
          <w:tab w:val="left" w:pos="709"/>
        </w:tabs>
        <w:jc w:val="both"/>
        <w:rPr>
          <w:sz w:val="22"/>
          <w:szCs w:val="22"/>
        </w:rPr>
      </w:pPr>
    </w:p>
    <w:p>
      <w:pPr>
        <w:ind w:left="6521" w:hanging="6663"/>
        <w:jc w:val="center"/>
      </w:pPr>
      <w:r>
        <w:rPr>
          <w:color w:val="000000"/>
          <w:szCs w:val="24"/>
        </w:rPr>
        <w:t>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945bb0d14011e8bea9885f77677ec1">
        <w:r w:rsidRPr="00532B9F">
          <w:rPr>
            <w:rFonts w:ascii="Times New Roman" w:eastAsia="MS Mincho" w:hAnsi="Times New Roman"/>
            <w:sz w:val="20"/>
            <w:i/>
            <w:iCs/>
            <w:color w:val="0000FF" w:themeColor="hyperlink"/>
            <w:u w:val="single"/>
          </w:rPr>
          <w:t>O3E-329</w:t>
        </w:r>
      </w:fldSimple>
      <w:r>
        <w:rPr>
          <w:rFonts w:ascii="Times New Roman" w:eastAsia="MS Mincho" w:hAnsi="Times New Roman"/>
          <w:sz w:val="20"/>
          <w:i/>
          <w:iCs/>
        </w:rPr>
        <w:t>,
2018-10-16,
paskelbta TAR 2018-10-16, i. k. 2018-16263        </w:t>
      </w:r>
    </w:p>
    <w:p/>
    <w:p>
      <w:pPr>
        <w:tabs>
          <w:tab w:val="left" w:pos="709"/>
        </w:tabs>
        <w:ind w:left="4820"/>
        <w:sectPr>
          <w:pgSz w:w="11906" w:h="16838"/>
          <w:pgMar w:top="1701" w:right="567" w:bottom="1134" w:left="1701" w:header="567" w:footer="567" w:gutter="0"/>
          <w:pgNumType w:start="1"/>
          <w:cols w:space="1296"/>
          <w:titlePg/>
          <w:docGrid w:linePitch="360"/>
        </w:sectPr>
      </w:pPr>
    </w:p>
    <w:p>
      <w:pPr>
        <w:tabs>
          <w:tab w:val="left" w:pos="709"/>
        </w:tabs>
        <w:ind w:left="4820"/>
        <w:rPr>
          <w:bCs/>
          <w:szCs w:val="24"/>
        </w:rPr>
      </w:pPr>
      <w:r>
        <w:rPr>
          <w:bCs/>
          <w:szCs w:val="24"/>
        </w:rPr>
        <w:t>Atskirų energijos ir kuro rūšių sąnaudų</w:t>
      </w:r>
    </w:p>
    <w:p>
      <w:pPr>
        <w:tabs>
          <w:tab w:val="left" w:pos="709"/>
        </w:tabs>
        <w:ind w:left="4820"/>
        <w:rPr>
          <w:bCs/>
          <w:szCs w:val="24"/>
        </w:rPr>
      </w:pPr>
      <w:r>
        <w:rPr>
          <w:bCs/>
          <w:szCs w:val="24"/>
        </w:rPr>
        <w:t>normatyvų būstui šildyti ir karštam vandeniui</w:t>
      </w:r>
    </w:p>
    <w:p>
      <w:pPr>
        <w:tabs>
          <w:tab w:val="left" w:pos="709"/>
        </w:tabs>
        <w:ind w:left="4820"/>
        <w:rPr>
          <w:bCs/>
          <w:szCs w:val="24"/>
        </w:rPr>
      </w:pPr>
      <w:r>
        <w:rPr>
          <w:bCs/>
          <w:szCs w:val="24"/>
        </w:rPr>
        <w:t xml:space="preserve">ruošti nustatymo bei taikymo metodikos </w:t>
      </w:r>
    </w:p>
    <w:p>
      <w:pPr>
        <w:tabs>
          <w:tab w:val="left" w:pos="709"/>
        </w:tabs>
        <w:ind w:left="4820"/>
        <w:rPr>
          <w:bCs/>
          <w:szCs w:val="24"/>
        </w:rPr>
      </w:pPr>
      <w:r>
        <w:rPr>
          <w:bCs/>
          <w:szCs w:val="24"/>
        </w:rPr>
        <w:t>3</w:t>
      </w:r>
      <w:r>
        <w:rPr>
          <w:bCs/>
          <w:szCs w:val="24"/>
        </w:rPr>
        <w:t xml:space="preserve"> priedas</w:t>
      </w:r>
    </w:p>
    <w:p>
      <w:pPr>
        <w:tabs>
          <w:tab w:val="left" w:pos="709"/>
        </w:tabs>
        <w:jc w:val="center"/>
        <w:rPr>
          <w:b/>
          <w:szCs w:val="24"/>
        </w:rPr>
      </w:pPr>
    </w:p>
    <w:p>
      <w:pPr>
        <w:tabs>
          <w:tab w:val="left" w:pos="709"/>
        </w:tabs>
        <w:jc w:val="center"/>
        <w:rPr>
          <w:b/>
          <w:szCs w:val="24"/>
        </w:rPr>
      </w:pPr>
      <w:r>
        <w:rPr>
          <w:b/>
          <w:szCs w:val="24"/>
        </w:rPr>
        <w:t>KURO RŪŠIŲ NORMINĖS KURO SĄNAUDOS</w:t>
      </w:r>
    </w:p>
    <w:p>
      <w:pPr>
        <w:tabs>
          <w:tab w:val="left" w:pos="709"/>
        </w:tabs>
        <w:jc w:val="center"/>
        <w:rPr>
          <w:szCs w:val="24"/>
        </w:rPr>
      </w:pPr>
    </w:p>
    <w:p>
      <w:pPr>
        <w:tabs>
          <w:tab w:val="left" w:pos="709"/>
        </w:tabs>
        <w:ind w:firstLine="709"/>
        <w:jc w:val="both"/>
        <w:rPr>
          <w:szCs w:val="24"/>
        </w:rPr>
      </w:pPr>
      <w:r>
        <w:rPr>
          <w:szCs w:val="24"/>
        </w:rPr>
        <w:t>1 lentelė. Kuro rūšių norminės kuro sąnaudos</w:t>
      </w:r>
    </w:p>
    <w:p>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3920"/>
        <w:gridCol w:w="1321"/>
        <w:gridCol w:w="3605"/>
      </w:tblGrid>
      <w:tr>
        <w:tc>
          <w:tcPr>
            <w:tcW w:w="512" w:type="pct"/>
            <w:tcBorders>
              <w:top w:val="single" w:sz="4" w:space="0" w:color="auto"/>
              <w:left w:val="single" w:sz="4" w:space="0" w:color="auto"/>
              <w:bottom w:val="single" w:sz="4" w:space="0" w:color="auto"/>
              <w:right w:val="single" w:sz="4" w:space="0" w:color="auto"/>
            </w:tcBorders>
            <w:hideMark/>
          </w:tcPr>
          <w:p>
            <w:pPr>
              <w:jc w:val="both"/>
              <w:rPr>
                <w:sz w:val="22"/>
                <w:szCs w:val="22"/>
                <w:lang w:eastAsia="lt-LT"/>
              </w:rPr>
            </w:pPr>
            <w:r>
              <w:rPr>
                <w:sz w:val="22"/>
                <w:szCs w:val="22"/>
                <w:lang w:eastAsia="lt-LT"/>
              </w:rPr>
              <w:t>Eil. Nr.</w:t>
            </w:r>
          </w:p>
        </w:tc>
        <w:tc>
          <w:tcPr>
            <w:tcW w:w="1989" w:type="pct"/>
            <w:tcBorders>
              <w:top w:val="single" w:sz="4" w:space="0" w:color="auto"/>
              <w:left w:val="single" w:sz="4" w:space="0" w:color="auto"/>
              <w:bottom w:val="single" w:sz="4" w:space="0" w:color="auto"/>
              <w:right w:val="single" w:sz="4" w:space="0" w:color="auto"/>
            </w:tcBorders>
            <w:hideMark/>
          </w:tcPr>
          <w:p>
            <w:pPr>
              <w:jc w:val="both"/>
              <w:rPr>
                <w:sz w:val="22"/>
                <w:szCs w:val="22"/>
                <w:lang w:eastAsia="lt-LT"/>
              </w:rPr>
            </w:pPr>
            <w:r>
              <w:rPr>
                <w:sz w:val="22"/>
                <w:szCs w:val="22"/>
                <w:lang w:eastAsia="lt-LT"/>
              </w:rPr>
              <w:t>Kuro rūšis</w:t>
            </w:r>
          </w:p>
        </w:tc>
        <w:tc>
          <w:tcPr>
            <w:tcW w:w="670" w:type="pct"/>
            <w:tcBorders>
              <w:top w:val="single" w:sz="4" w:space="0" w:color="auto"/>
              <w:left w:val="single" w:sz="4" w:space="0" w:color="auto"/>
              <w:bottom w:val="single" w:sz="4" w:space="0" w:color="auto"/>
              <w:right w:val="single" w:sz="4" w:space="0" w:color="auto"/>
            </w:tcBorders>
            <w:hideMark/>
          </w:tcPr>
          <w:p>
            <w:pPr>
              <w:jc w:val="both"/>
              <w:rPr>
                <w:sz w:val="22"/>
                <w:szCs w:val="22"/>
                <w:lang w:eastAsia="lt-LT"/>
              </w:rPr>
            </w:pPr>
            <w:r>
              <w:rPr>
                <w:sz w:val="22"/>
                <w:szCs w:val="22"/>
                <w:lang w:eastAsia="lt-LT"/>
              </w:rPr>
              <w:t>Mato vnt.</w:t>
            </w:r>
          </w:p>
        </w:tc>
        <w:tc>
          <w:tcPr>
            <w:tcW w:w="1829" w:type="pct"/>
            <w:tcBorders>
              <w:top w:val="single" w:sz="4" w:space="0" w:color="auto"/>
              <w:left w:val="single" w:sz="4" w:space="0" w:color="auto"/>
              <w:bottom w:val="single" w:sz="4" w:space="0" w:color="auto"/>
              <w:right w:val="single" w:sz="4" w:space="0" w:color="auto"/>
            </w:tcBorders>
            <w:hideMark/>
          </w:tcPr>
          <w:p>
            <w:pPr>
              <w:jc w:val="both"/>
              <w:rPr>
                <w:sz w:val="22"/>
                <w:szCs w:val="22"/>
                <w:lang w:eastAsia="lt-LT"/>
              </w:rPr>
            </w:pPr>
            <w:r>
              <w:rPr>
                <w:sz w:val="22"/>
                <w:szCs w:val="22"/>
                <w:lang w:eastAsia="lt-LT"/>
              </w:rPr>
              <w:t>Norminės kuro sąnaudos</w:t>
            </w:r>
          </w:p>
        </w:tc>
      </w:tr>
      <w:tr>
        <w:trPr>
          <w:trHeight w:val="278"/>
        </w:trPr>
        <w:tc>
          <w:tcPr>
            <w:tcW w:w="512" w:type="pct"/>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1.</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Gamtinės dujos*</w:t>
            </w: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kg/kWh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0,0763</w:t>
            </w:r>
          </w:p>
        </w:tc>
      </w:tr>
      <w:tr>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nm</w:t>
            </w:r>
            <w:r>
              <w:rPr>
                <w:sz w:val="22"/>
                <w:szCs w:val="22"/>
                <w:vertAlign w:val="superscript"/>
                <w:lang w:eastAsia="lt-LT"/>
              </w:rPr>
              <w:t>3</w:t>
            </w:r>
            <w:r>
              <w:rPr>
                <w:sz w:val="22"/>
                <w:szCs w:val="22"/>
                <w:lang w:eastAsia="lt-LT"/>
              </w:rPr>
              <w:t>/kWh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0,1075</w:t>
            </w:r>
          </w:p>
        </w:tc>
      </w:tr>
      <w:tr>
        <w:tc>
          <w:tcPr>
            <w:tcW w:w="512" w:type="pc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2.</w:t>
            </w:r>
          </w:p>
        </w:tc>
        <w:tc>
          <w:tcPr>
            <w:tcW w:w="1989" w:type="pc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Elektros energija</w:t>
            </w: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kWh/kWh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1</w:t>
            </w:r>
          </w:p>
        </w:tc>
      </w:tr>
      <w:tr>
        <w:tc>
          <w:tcPr>
            <w:tcW w:w="512" w:type="pc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3.</w:t>
            </w:r>
          </w:p>
        </w:tc>
        <w:tc>
          <w:tcPr>
            <w:tcW w:w="1989" w:type="pc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Dyzelinis krosnių kuras</w:t>
            </w: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kg/kWh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0,0851</w:t>
            </w:r>
          </w:p>
        </w:tc>
      </w:tr>
      <w:tr>
        <w:tc>
          <w:tcPr>
            <w:tcW w:w="512" w:type="pc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4.</w:t>
            </w:r>
          </w:p>
        </w:tc>
        <w:tc>
          <w:tcPr>
            <w:tcW w:w="1989" w:type="pc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Suskystintos naftos dujos**</w:t>
            </w: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kg/kWh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0,0783</w:t>
            </w:r>
          </w:p>
        </w:tc>
      </w:tr>
      <w:tr>
        <w:tc>
          <w:tcPr>
            <w:tcW w:w="512" w:type="pc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w:t>
            </w:r>
          </w:p>
        </w:tc>
        <w:tc>
          <w:tcPr>
            <w:tcW w:w="1989" w:type="pc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Išgarintos suskystintos naftos dujos</w:t>
            </w: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kg/kWh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0,0334</w:t>
            </w:r>
          </w:p>
        </w:tc>
      </w:tr>
      <w:tr>
        <w:tc>
          <w:tcPr>
            <w:tcW w:w="512" w:type="pc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6.</w:t>
            </w:r>
          </w:p>
        </w:tc>
        <w:tc>
          <w:tcPr>
            <w:tcW w:w="1989" w:type="pc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Suskystintos gamtinės dujos</w:t>
            </w: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kg/kWh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0,0798</w:t>
            </w:r>
          </w:p>
        </w:tc>
      </w:tr>
      <w:tr>
        <w:tc>
          <w:tcPr>
            <w:tcW w:w="512" w:type="pc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7.</w:t>
            </w:r>
          </w:p>
        </w:tc>
        <w:tc>
          <w:tcPr>
            <w:tcW w:w="1989" w:type="pc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Akmens anglis***</w:t>
            </w: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kg/kWh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0,2093–0,1173 (vid. – 0,1633)</w:t>
            </w:r>
          </w:p>
        </w:tc>
      </w:tr>
      <w:tr>
        <w:tc>
          <w:tcPr>
            <w:tcW w:w="512" w:type="pc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w:t>
            </w:r>
          </w:p>
        </w:tc>
        <w:tc>
          <w:tcPr>
            <w:tcW w:w="1989" w:type="pc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Durpės***</w:t>
            </w: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kg/kWh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0,4615–0,2609 (vid. – 0,3612)</w:t>
            </w:r>
          </w:p>
        </w:tc>
      </w:tr>
      <w:tr>
        <w:tc>
          <w:tcPr>
            <w:tcW w:w="512" w:type="pc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9.</w:t>
            </w:r>
          </w:p>
        </w:tc>
        <w:tc>
          <w:tcPr>
            <w:tcW w:w="1989" w:type="pc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Durpių briketai***</w:t>
            </w: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kg/kWh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0,2250–0,2143 (vid. – 0,2197)</w:t>
            </w:r>
          </w:p>
        </w:tc>
      </w:tr>
      <w:tr>
        <w:tc>
          <w:tcPr>
            <w:tcW w:w="512" w:type="pc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10.</w:t>
            </w:r>
          </w:p>
        </w:tc>
        <w:tc>
          <w:tcPr>
            <w:tcW w:w="1989" w:type="pc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Naudoti tepalai</w:t>
            </w: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kg/kWh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0,1321</w:t>
            </w:r>
          </w:p>
        </w:tc>
      </w:tr>
      <w:tr>
        <w:trPr>
          <w:trHeight w:val="278"/>
        </w:trPr>
        <w:tc>
          <w:tcPr>
            <w:tcW w:w="512" w:type="pct"/>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11.</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Malkos 25–30 proc. drėgnumo, natūraliai džiovintos***</w:t>
            </w:r>
          </w:p>
        </w:tc>
        <w:tc>
          <w:tcPr>
            <w:tcW w:w="670" w:type="pct"/>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kg/kWh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0,2609</w:t>
            </w:r>
          </w:p>
        </w:tc>
      </w:tr>
      <w:tr>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0,6536x10</w:t>
            </w:r>
            <w:r>
              <w:rPr>
                <w:sz w:val="22"/>
                <w:szCs w:val="22"/>
                <w:vertAlign w:val="superscript"/>
                <w:lang w:eastAsia="lt-LT"/>
              </w:rPr>
              <w:t>-3</w:t>
            </w:r>
          </w:p>
        </w:tc>
      </w:tr>
      <w:tr>
        <w:tc>
          <w:tcPr>
            <w:tcW w:w="512" w:type="pc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12.</w:t>
            </w:r>
          </w:p>
        </w:tc>
        <w:tc>
          <w:tcPr>
            <w:tcW w:w="1989" w:type="pc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Pjuvenų granulės/medienos briketai</w:t>
            </w: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kg/kWh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0,2143</w:t>
            </w:r>
          </w:p>
        </w:tc>
      </w:tr>
      <w:tr>
        <w:tc>
          <w:tcPr>
            <w:tcW w:w="512" w:type="pc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13.</w:t>
            </w:r>
          </w:p>
        </w:tc>
        <w:tc>
          <w:tcPr>
            <w:tcW w:w="1989" w:type="pc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Atliekos***</w:t>
            </w: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kg/kWh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0,4864–0,3365 (vid. – 0,4114)</w:t>
            </w:r>
          </w:p>
        </w:tc>
      </w:tr>
      <w:tr>
        <w:tc>
          <w:tcPr>
            <w:tcW w:w="512" w:type="pc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14.</w:t>
            </w:r>
          </w:p>
        </w:tc>
        <w:tc>
          <w:tcPr>
            <w:tcW w:w="1989" w:type="pct"/>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r>
              <w:rPr>
                <w:sz w:val="22"/>
                <w:szCs w:val="22"/>
                <w:lang w:eastAsia="lt-LT"/>
              </w:rPr>
              <w:t>Antracitas</w:t>
            </w:r>
          </w:p>
        </w:tc>
        <w:tc>
          <w:tcPr>
            <w:tcW w:w="670"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kg/kWh</w:t>
            </w:r>
          </w:p>
        </w:tc>
        <w:tc>
          <w:tcPr>
            <w:tcW w:w="1829" w:type="pc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0,1228</w:t>
            </w:r>
          </w:p>
        </w:tc>
      </w:tr>
    </w:tbl>
    <w:p>
      <w:pPr>
        <w:jc w:val="both"/>
        <w:rPr>
          <w:sz w:val="20"/>
          <w:lang w:eastAsia="lt-LT"/>
        </w:rPr>
      </w:pPr>
    </w:p>
    <w:p>
      <w:pPr>
        <w:jc w:val="both"/>
        <w:rPr>
          <w:sz w:val="22"/>
          <w:szCs w:val="22"/>
          <w:lang w:eastAsia="lt-LT"/>
        </w:rPr>
      </w:pPr>
      <w:r>
        <w:rPr>
          <w:sz w:val="22"/>
          <w:szCs w:val="22"/>
          <w:lang w:eastAsia="lt-LT"/>
        </w:rPr>
        <w:t>* – dujų kiekis, kuris, esant norminėms sąlygoms (temperatūra +20°C, slėgis – 101,325 kPa), užima vieno kubinio metro tūrį;</w:t>
      </w:r>
    </w:p>
    <w:p>
      <w:pPr>
        <w:jc w:val="both"/>
        <w:rPr>
          <w:sz w:val="22"/>
          <w:szCs w:val="22"/>
          <w:lang w:eastAsia="lt-LT"/>
        </w:rPr>
      </w:pPr>
      <w:r>
        <w:rPr>
          <w:sz w:val="22"/>
          <w:szCs w:val="22"/>
          <w:lang w:eastAsia="lt-LT"/>
        </w:rPr>
        <w:t>** – suskystintas dujas tiekiant iš grupinių rezervuarų, dujų apskaitos ir paskirstymo butams tvarką nustato savivaldybė;</w:t>
      </w:r>
    </w:p>
    <w:p>
      <w:pPr>
        <w:jc w:val="both"/>
        <w:rPr>
          <w:sz w:val="22"/>
          <w:szCs w:val="22"/>
          <w:lang w:eastAsia="lt-LT"/>
        </w:rPr>
      </w:pPr>
      <w:r>
        <w:rPr>
          <w:sz w:val="22"/>
          <w:szCs w:val="22"/>
          <w:lang w:eastAsia="lt-LT"/>
        </w:rPr>
        <w:t>*** – vidutinės norminės kuro sąnaudos, taikomos, kai nepateikiama kuro sertifikato kopija.</w:t>
      </w:r>
    </w:p>
    <w:p>
      <w:pPr>
        <w:tabs>
          <w:tab w:val="left" w:pos="709"/>
        </w:tabs>
        <w:jc w:val="both"/>
        <w:rPr>
          <w:sz w:val="22"/>
          <w:szCs w:val="22"/>
        </w:rPr>
      </w:pPr>
    </w:p>
    <w:p>
      <w:pPr>
        <w:ind w:left="6521" w:hanging="6663"/>
        <w:jc w:val="center"/>
      </w:pPr>
      <w:r>
        <w:rPr>
          <w:color w:val="000000"/>
          <w:szCs w:val="24"/>
        </w:rPr>
        <w:t>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945bb0d14011e8bea9885f77677ec1">
        <w:r w:rsidRPr="00532B9F">
          <w:rPr>
            <w:rFonts w:ascii="Times New Roman" w:eastAsia="MS Mincho" w:hAnsi="Times New Roman"/>
            <w:sz w:val="20"/>
            <w:i/>
            <w:iCs/>
            <w:color w:val="0000FF" w:themeColor="hyperlink"/>
            <w:u w:val="single"/>
          </w:rPr>
          <w:t>O3E-329</w:t>
        </w:r>
      </w:fldSimple>
      <w:r>
        <w:rPr>
          <w:rFonts w:ascii="Times New Roman" w:eastAsia="MS Mincho" w:hAnsi="Times New Roman"/>
          <w:sz w:val="20"/>
          <w:i/>
          <w:iCs/>
        </w:rPr>
        <w:t>,
2018-10-16,
paskelbta TAR 2018-10-16, i. k. 2018-16263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D0771213BAA">
        <w:r w:rsidRPr="00532B9F">
          <w:rPr>
            <w:rFonts w:ascii="Times New Roman" w:eastAsia="MS Mincho" w:hAnsi="Times New Roman"/>
            <w:sz w:val="20"/>
            <w:iCs/>
            <w:color w:val="0000FF" w:themeColor="hyperlink"/>
            <w:u w:val="single"/>
          </w:rPr>
          <w:t>O3-130</w:t>
        </w:r>
      </w:fldSimple>
      <w:r>
        <w:rPr>
          <w:rFonts w:ascii="Times New Roman" w:eastAsia="MS Mincho" w:hAnsi="Times New Roman"/>
          <w:sz w:val="20"/>
          <w:iCs/>
        </w:rPr>
        <w:t>,
2004-12-03,
Informaciniai pranešimai, 2004, Nr.
94-839 (2004-12-08), i. k. 104106ANUTA00O3-130                </w:t>
      </w:r>
    </w:p>
    <w:p>
      <w:pPr>
        <w:jc w:val="both"/>
        <w:rPr>
          <w:rFonts w:ascii="Times New Roman" w:hAnsi="Times New Roman"/>
        </w:rPr>
      </w:pPr>
      <w:r>
        <w:rPr>
          <w:rFonts w:ascii="Times New Roman" w:hAnsi="Times New Roman"/>
          <w:sz w:val="20"/>
        </w:rPr>
        <w:t>Dėl Valstybinės kainų ir energetikos kontrolės komisijos 2003 m. gruodžio 22 d. nutarimo Nr. O3-116 "Dėl atskirų energijos ir kuro rūšių sąnaudų normatyvų būstui šildyti ir šaltam vandeniui pašildyti"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A1C8E4395DA">
        <w:r w:rsidRPr="00532B9F">
          <w:rPr>
            <w:rFonts w:ascii="Times New Roman" w:eastAsia="MS Mincho" w:hAnsi="Times New Roman"/>
            <w:sz w:val="20"/>
            <w:iCs/>
            <w:color w:val="0000FF" w:themeColor="hyperlink"/>
            <w:u w:val="single"/>
          </w:rPr>
          <w:t>O3-5</w:t>
        </w:r>
      </w:fldSimple>
      <w:r>
        <w:rPr>
          <w:rFonts w:ascii="Times New Roman" w:eastAsia="MS Mincho" w:hAnsi="Times New Roman"/>
          <w:sz w:val="20"/>
          <w:iCs/>
        </w:rPr>
        <w:t>,
2007-01-29,
Žin., 2007, Nr.
15-579 (2007-02-03), i. k. 107106ANUTA0000O3-5                </w:t>
      </w:r>
    </w:p>
    <w:p>
      <w:pPr>
        <w:jc w:val="both"/>
        <w:rPr>
          <w:rFonts w:ascii="Times New Roman" w:hAnsi="Times New Roman"/>
        </w:rPr>
      </w:pPr>
      <w:r>
        <w:rPr>
          <w:rFonts w:ascii="Times New Roman" w:hAnsi="Times New Roman"/>
          <w:sz w:val="20"/>
        </w:rPr>
        <w:t>Dėl Valstybinės kainų ir energetikos kontrolės komisijos 2003 m. gruodžio 22 d. nutarimo Nr. O3-116 "Dėl atskirų energijos ir kuro rūšių sąnaudų normatyvų būstui šildyti ir šaltam vandeniui pašildyti"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2C3AC3A6E2A">
        <w:r w:rsidRPr="00532B9F">
          <w:rPr>
            <w:rFonts w:ascii="Times New Roman" w:eastAsia="MS Mincho" w:hAnsi="Times New Roman"/>
            <w:sz w:val="20"/>
            <w:iCs/>
            <w:color w:val="0000FF" w:themeColor="hyperlink"/>
            <w:u w:val="single"/>
          </w:rPr>
          <w:t>O3-329</w:t>
        </w:r>
      </w:fldSimple>
      <w:r>
        <w:rPr>
          <w:rFonts w:ascii="Times New Roman" w:eastAsia="MS Mincho" w:hAnsi="Times New Roman"/>
          <w:sz w:val="20"/>
          <w:iCs/>
        </w:rPr>
        <w:t>,
2012-10-26,
Žin., 2012, Nr.
130-6604 (2012-11-10), i. k. 112106ANUTA00O3-329                </w:t>
      </w:r>
    </w:p>
    <w:p>
      <w:pPr>
        <w:jc w:val="both"/>
        <w:rPr>
          <w:rFonts w:ascii="Times New Roman" w:hAnsi="Times New Roman"/>
        </w:rPr>
      </w:pPr>
      <w:r>
        <w:rPr>
          <w:rFonts w:ascii="Times New Roman" w:hAnsi="Times New Roman"/>
          <w:sz w:val="20"/>
        </w:rPr>
        <w:t>Dėl Valstybinės kainų ir energetikos kontrolės komisijos 2003 m. gruodžio 22 d. nutarimo Nr. O3-116 "Dėl atskirų energijos ir kuro rūšių sąnaudų normatyvų būstui šildyti ir karštam vandeniui ruošti"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1BED27016F2">
        <w:r w:rsidRPr="00532B9F">
          <w:rPr>
            <w:rFonts w:ascii="Times New Roman" w:eastAsia="MS Mincho" w:hAnsi="Times New Roman"/>
            <w:sz w:val="20"/>
            <w:iCs/>
            <w:color w:val="0000FF" w:themeColor="hyperlink"/>
            <w:u w:val="single"/>
          </w:rPr>
          <w:t>O3-144</w:t>
        </w:r>
      </w:fldSimple>
      <w:r>
        <w:rPr>
          <w:rFonts w:ascii="Times New Roman" w:eastAsia="MS Mincho" w:hAnsi="Times New Roman"/>
          <w:sz w:val="20"/>
          <w:iCs/>
        </w:rPr>
        <w:t>,
2013-04-30,
Žin., 2013, Nr.
46-2317 (2013-05-07), i. k. 113106ANUTA00O3-144                </w:t>
      </w:r>
    </w:p>
    <w:p>
      <w:pPr>
        <w:jc w:val="both"/>
        <w:rPr>
          <w:rFonts w:ascii="Times New Roman" w:hAnsi="Times New Roman"/>
        </w:rPr>
      </w:pPr>
      <w:r>
        <w:rPr>
          <w:rFonts w:ascii="Times New Roman" w:hAnsi="Times New Roman"/>
          <w:sz w:val="20"/>
        </w:rPr>
        <w:t>Dėl Valstybinės kainų ir energetikos kontrolės komisijos 2003 m. gruodžio 22 d. nutarimo Nr. O3-116 "Dėl atskirų energijos ir kuro rūšių sąnaudų normatyvų būstui šildyti ir karštam vandeniui ruošti"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9945bb0d14011e8bea9885f77677ec1">
        <w:r w:rsidRPr="00532B9F">
          <w:rPr>
            <w:rFonts w:ascii="Times New Roman" w:eastAsia="MS Mincho" w:hAnsi="Times New Roman"/>
            <w:sz w:val="20"/>
            <w:iCs/>
            <w:color w:val="0000FF" w:themeColor="hyperlink"/>
            <w:u w:val="single"/>
          </w:rPr>
          <w:t>O3E-329</w:t>
        </w:r>
      </w:fldSimple>
      <w:r>
        <w:rPr>
          <w:rFonts w:ascii="Times New Roman" w:eastAsia="MS Mincho" w:hAnsi="Times New Roman"/>
          <w:sz w:val="20"/>
          <w:iCs/>
        </w:rPr>
        <w:t>,
2018-10-16,
paskelbta TAR 2018-10-16, i. k. 2018-16263                </w:t>
      </w:r>
    </w:p>
    <w:p>
      <w:pPr>
        <w:jc w:val="both"/>
        <w:rPr>
          <w:rFonts w:ascii="Times New Roman" w:hAnsi="Times New Roman"/>
        </w:rPr>
      </w:pPr>
      <w:r>
        <w:rPr>
          <w:rFonts w:ascii="Times New Roman" w:hAnsi="Times New Roman"/>
          <w:sz w:val="20"/>
        </w:rPr>
        <w:t>Dėl Valstybinės kainų ir energetikos kontrolės komisijos 2003 m. gruodžio 22 d. nutarimo Nr. O3-116 „Dėl Atskirų energijos ir kuro rūšių sąnaudų normatyvų būstui šildyti ir šaltam vandeniui pašildyti“ pakeitimo ir išdėstymo nauja redakcija</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rPr>
    </w:pPr>
    <w:r>
      <w:rPr>
        <w:szCs w:val="24"/>
      </w:rPr>
      <w:fldChar w:fldCharType="begin"/>
    </w:r>
    <w:r>
      <w:rPr>
        <w:szCs w:val="24"/>
      </w:rPr>
      <w:instrText xml:space="preserve"> PAGE   \* MERGEFORMAT </w:instrText>
    </w:r>
    <w:r>
      <w:rPr>
        <w:szCs w:val="24"/>
      </w:rPr>
      <w:fldChar w:fldCharType="separate"/>
    </w:r>
    <w:r>
      <w:rPr>
        <w:szCs w:val="24"/>
      </w:rPr>
      <w:t>5</w:t>
    </w:r>
    <w:r>
      <w:rPr>
        <w:szCs w:val="24"/>
      </w:rPr>
      <w:fldChar w:fldCharType="end"/>
    </w:r>
  </w:p>
  <w:p>
    <w:pPr>
      <w:tabs>
        <w:tab w:val="center" w:pos="4819"/>
        <w:tab w:val="right" w:pos="9638"/>
      </w:tabs>
      <w:rPr>
        <w:sz w:val="22"/>
        <w:szCs w:val="22"/>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A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722E8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66297892965F"/>
  <Relationship Id="rId11" Type="http://schemas.openxmlformats.org/officeDocument/2006/relationships/hyperlink" TargetMode="External" Target="https://www.e-tar.lt/portal/lt/legalAct/TAR.6CF9D598DF10"/>
  <Relationship Id="rId12" Type="http://schemas.openxmlformats.org/officeDocument/2006/relationships/hyperlink" TargetMode="External" Target="https://www.e-tar.lt/portal/lt/legalAct/TAR.73A2859894C8"/>
  <Relationship Id="rId13" Type="http://schemas.openxmlformats.org/officeDocument/2006/relationships/hyperlink" TargetMode="External" Target="https://www.e-tar.lt/portal/lt/legalAct/TAR.74E56D229B1A"/>
  <Relationship Id="rId14" Type="http://schemas.openxmlformats.org/officeDocument/2006/relationships/hyperlink" TargetMode="External" Target="https://www.e-tar.lt/portal/lt/legalAct/TAR.8AE000043246"/>
  <Relationship Id="rId15" Type="http://schemas.openxmlformats.org/officeDocument/2006/relationships/hyperlink" TargetMode="External" Target="https://www.e-tar.lt/portal/lt/legalAct/TAR.AB58CC62DE9C"/>
  <Relationship Id="rId16" Type="http://schemas.openxmlformats.org/officeDocument/2006/relationships/hyperlink" TargetMode="External" Target="https://www.e-tar.lt/portal/lt/legalAct/TAR.D40E1D9998C3"/>
  <Relationship Id="rId17" Type="http://schemas.openxmlformats.org/officeDocument/2006/relationships/hyperlink" TargetMode="External" Target="https://www.e-tar.lt/portal/lt/legalAct/TAR.EFD0F8F17ADB"/>
  <Relationship Id="rId18" Type="http://schemas.openxmlformats.org/officeDocument/2006/relationships/hyperlink" TargetMode="External" Target="https://www.e-tar.lt/portal/lt/legalAct/TAR.F62AD965997D"/>
  <Relationship Id="rId19" Type="http://schemas.openxmlformats.org/officeDocument/2006/relationships/settings" Target="settings.xml"/>
  <Relationship Id="rId2" Type="http://schemas.openxmlformats.org/officeDocument/2006/relationships/fontTable" Target="fontTable.xml"/>
  <Relationship Id="rId20" Type="http://schemas.openxmlformats.org/officeDocument/2006/relationships/styles" Target="styles.xml"/>
  <Relationship Id="rId21" Type="http://schemas.microsoft.com/office/2007/relationships/stylesWithEffects" Target="stylesWithEffects.xml"/>
  <Relationship Id="rId22" Type="http://schemas.openxmlformats.org/officeDocument/2006/relationships/theme" Target="theme/theme1.xml"/>
  <Relationship Id="rId23" Type="http://schemas.openxmlformats.org/officeDocument/2006/relationships/webSettings" Target="webSettings.xml"/>
  <Relationship Id="rId24" Type="http://schemas.openxmlformats.org/officeDocument/2006/relationships/image" Target="media/image2.wmf"/>
  <Relationship Id="rId25" Type="http://schemas.openxmlformats.org/officeDocument/2006/relationships/control" Target="activeX/activeX2.xml"/>
  <Relationship Id="rId26" Type="http://schemas.openxmlformats.org/officeDocument/2006/relationships/hyperlink" TargetMode="External" Target="https://www.e-tar.lt/portal/lt/legalAct/TAR.54C17840B708"/>
  <Relationship Id="rId27" Type="http://schemas.openxmlformats.org/officeDocument/2006/relationships/header" Target="header4.xml"/>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footnotes" Target="footnotes.xml"/>
  <Relationship Id="rId30" Type="http://schemas.openxmlformats.org/officeDocument/2006/relationships/footer" Target="footer5.xml"/>
  <Relationship Id="rId31" Type="http://schemas.openxmlformats.org/officeDocument/2006/relationships/header" Target="header6.xml"/>
  <Relationship Id="rId32" Type="http://schemas.openxmlformats.org/officeDocument/2006/relationships/footer" Target="footer6.xml"/>
  <Relationship Id="rId33" Type="http://schemas.openxmlformats.org/officeDocument/2006/relationships/image" Target="media/image3.wmf"/>
  <Relationship Id="rId34" Type="http://schemas.openxmlformats.org/officeDocument/2006/relationships/image" Target="media/image1.png"/>
  <Relationship Id="rId35" Type="http://schemas.openxmlformats.org/officeDocument/2006/relationships/image" Target="media/image4.wmf"/>
  <Relationship Id="rId36" Type="http://schemas.openxmlformats.org/officeDocument/2006/relationships/image" Target="media/image5.wmf"/>
  <Relationship Id="rId37" Type="http://schemas.openxmlformats.org/officeDocument/2006/relationships/image" Target="media/image2.png"/>
  <Relationship Id="rId38" Type="http://schemas.openxmlformats.org/officeDocument/2006/relationships/image" Target="media/image6.wmf"/>
  <Relationship Id="rId39" Type="http://schemas.openxmlformats.org/officeDocument/2006/relationships/image" Target="media/image7.wmf"/>
  <Relationship Id="rId4" Type="http://schemas.openxmlformats.org/officeDocument/2006/relationships/hyperlink" TargetMode="External" Target="https://www.e-tar.lt/portal/lt/legalAct/TAR.088016C08FAF"/>
  <Relationship Id="rId40" Type="http://schemas.openxmlformats.org/officeDocument/2006/relationships/image" Target="media/image8.wmf"/>
  <Relationship Id="rId41" Type="http://schemas.openxmlformats.org/officeDocument/2006/relationships/image" Target="media/image3.png"/>
  <Relationship Id="rId42" Type="http://schemas.openxmlformats.org/officeDocument/2006/relationships/image" Target="media/image9.wmf"/>
  <Relationship Id="rId43" Type="http://schemas.openxmlformats.org/officeDocument/2006/relationships/image" Target="media/image10.wmf"/>
  <Relationship Id="rId44" Type="http://schemas.openxmlformats.org/officeDocument/2006/relationships/image" Target="media/image4.png"/>
  <Relationship Id="rId45" Type="http://schemas.openxmlformats.org/officeDocument/2006/relationships/image" Target="media/image11.wmf"/>
  <Relationship Id="rId46" Type="http://schemas.openxmlformats.org/officeDocument/2006/relationships/image" Target="media/image12.wmf"/>
  <Relationship Id="rId47" Type="http://schemas.openxmlformats.org/officeDocument/2006/relationships/image" Target="media/image13.wmf"/>
  <Relationship Id="rId48" Type="http://schemas.openxmlformats.org/officeDocument/2006/relationships/image" Target="media/image5.png"/>
  <Relationship Id="rId49" Type="http://schemas.openxmlformats.org/officeDocument/2006/relationships/image" Target="media/image14.wmf"/>
  <Relationship Id="rId5" Type="http://schemas.openxmlformats.org/officeDocument/2006/relationships/hyperlink" TargetMode="External" Target="https://www.e-tar.lt/portal/lt/legalAct/TAR.16DE92067E6F"/>
  <Relationship Id="rId50" Type="http://schemas.openxmlformats.org/officeDocument/2006/relationships/image" Target="media/image6.png"/>
  <Relationship Id="rId51" Type="http://schemas.openxmlformats.org/officeDocument/2006/relationships/image" Target="media/image15.wmf"/>
  <Relationship Id="rId52" Type="http://schemas.openxmlformats.org/officeDocument/2006/relationships/image" Target="media/image7.png"/>
  <Relationship Id="rId53" Type="http://schemas.openxmlformats.org/officeDocument/2006/relationships/image" Target="media/image16.wmf"/>
  <Relationship Id="rId54" Type="http://schemas.openxmlformats.org/officeDocument/2006/relationships/image" Target="media/image17.wmf"/>
  <Relationship Id="rId55" Type="http://schemas.openxmlformats.org/officeDocument/2006/relationships/image" Target="media/image18.wmf"/>
  <Relationship Id="rId56" Type="http://schemas.openxmlformats.org/officeDocument/2006/relationships/image" Target="media/image19.wmf"/>
  <Relationship Id="rId6" Type="http://schemas.openxmlformats.org/officeDocument/2006/relationships/hyperlink" TargetMode="External" Target="https://www.e-tar.lt/portal/lt/legalAct/TAR.1F3FB56815CB"/>
  <Relationship Id="rId7" Type="http://schemas.openxmlformats.org/officeDocument/2006/relationships/hyperlink" TargetMode="External" Target="https://www.e-tar.lt/portal/lt/legalAct/TAR.3EEE59417F13"/>
  <Relationship Id="rId8" Type="http://schemas.openxmlformats.org/officeDocument/2006/relationships/hyperlink" TargetMode="External" Target="https://www.e-tar.lt/portal/lt/legalAct/TAR.44235B485568"/>
  <Relationship Id="rId9" Type="http://schemas.openxmlformats.org/officeDocument/2006/relationships/hyperlink" TargetMode="External" Target="https://www.e-tar.lt/portal/lt/legalAct/TAR.50124A87975C"/>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12</Pages>
  <Words>16208</Words>
  <Characters>9239</Characters>
  <Application>Microsoft Office Word</Application>
  <DocSecurity>0</DocSecurity>
  <Lines>76</Lines>
  <Paragraphs>50</Paragraphs>
  <ScaleCrop>false</ScaleCrop>
  <Company/>
  <LinksUpToDate>false</LinksUpToDate>
  <CharactersWithSpaces>25397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2015-10-10T23:58:00Z</dcterms:created>
  <dc:creator>Tadeuš Buivid</dc:creator>
  <lastModifiedBy>GUMBYTĖ Danguolė</lastModifiedBy>
  <dcterms:modified xsi:type="dcterms:W3CDTF">2018-10-17T06:43:00Z</dcterms:modified>
  <revision>10</revision>
</coreProperties>
</file>