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2012-11-11 iki 2013-05-07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A5824A888C81">
        <w:r w:rsidRPr="00532B9F">
          <w:rPr>
            <w:rFonts w:ascii="Times New Roman" w:eastAsia="MS Mincho" w:hAnsi="Times New Roman"/>
            <w:sz w:val="20"/>
            <w:i/>
            <w:iCs/>
            <w:color w:val="0000FF" w:themeColor="hyperlink"/>
            <w:u w:val="single"/>
          </w:rPr>
          <w:t>124-5667</w:t>
        </w:r>
      </w:fldSimple>
      <w:r>
        <w:rPr>
          <w:rFonts w:ascii="Times New Roman" w:eastAsia="MS Mincho" w:hAnsi="Times New Roman"/>
          <w:sz w:val="20"/>
          <w:i/>
          <w:iCs/>
        </w:rPr>
        <w:t>, i. k. 103106ANUTA00O3-116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2DC7777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VALSTYBINĖ KAINŲ IR ENERGETIKOS KONTROLĖS KOMISIJA</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ATSKIRŲ ENERGIJOS IR KURO RŪŠIŲ SĄNAUDŲ NORMATYVŲ BŪSTUI ŠILDYTI IR ŠALTAM VANDENIUI PAŠILDYTI</w:t>
      </w:r>
    </w:p>
    <w:p>
      <w:pPr>
        <w:jc w:val="center"/>
        <w:rPr>
          <w:color w:val="000000"/>
        </w:rPr>
      </w:pPr>
    </w:p>
    <w:p>
      <w:pPr>
        <w:jc w:val="center"/>
        <w:rPr>
          <w:color w:val="000000"/>
        </w:rPr>
      </w:pPr>
      <w:r>
        <w:rPr>
          <w:color w:val="000000"/>
        </w:rPr>
        <w:t>2003 m. gruodžio 22 d. Nr. O3-116</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 Lietuvos Respublikos piniginės socialinės paramos mažas pajamas gaunančioms šeimoms (vieniems gyvenantiems asmenims) įstatymo (Žin., 2003, Nr. </w:t>
      </w:r>
      <w:hyperlink r:id="rId17" w:tgtFrame="_blank" w:history="1">
        <w:r>
          <w:rPr>
            <w:color w:val="0000FF" w:themeColor="hyperlink"/>
            <w:u w:val="single"/>
          </w:rPr>
          <w:t>73-3352</w:t>
        </w:r>
      </w:hyperlink>
      <w:r>
        <w:rPr>
          <w:color w:val="000000"/>
        </w:rPr>
        <w:t xml:space="preserve">) 7 straipsnio 2 dalimi, Valstybinė kainų ir energetikos kontrolės komisija </w:t>
      </w:r>
      <w:r>
        <w:rPr>
          <w:color w:val="000000"/>
          <w:spacing w:val="60"/>
        </w:rPr>
        <w:t>nutari</w:t>
      </w:r>
      <w:r>
        <w:rPr>
          <w:color w:val="000000"/>
        </w:rPr>
        <w:t>a:</w:t>
      </w:r>
    </w:p>
    <w:p>
      <w:pPr>
        <w:ind w:firstLine="709"/>
        <w:jc w:val="both"/>
        <w:rPr>
          <w:color w:val="000000"/>
        </w:rPr>
      </w:pPr>
      <w:r>
        <w:rPr>
          <w:color w:val="000000"/>
        </w:rPr>
        <w:t>1</w:t>
      </w:r>
      <w:r>
        <w:rPr>
          <w:color w:val="000000"/>
        </w:rPr>
        <w:t>. Patvirtinti atskirų energijos ir kuro rūšių sąnaudų normatyvus būstui šildyti ir šaltam vandeniui pašildyti bei jų taikymo metodiką (pridedama).</w:t>
      </w:r>
    </w:p>
    <w:p>
      <w:pPr>
        <w:ind w:firstLine="709"/>
        <w:jc w:val="both"/>
        <w:rPr>
          <w:color w:val="000000"/>
        </w:rPr>
      </w:pPr>
      <w:r>
        <w:rPr>
          <w:color w:val="000000"/>
        </w:rPr>
        <w:t>2</w:t>
      </w:r>
      <w:r>
        <w:rPr>
          <w:color w:val="000000"/>
        </w:rPr>
        <w:t xml:space="preserve">. Įsigaliojus šiai metodikai, pripažinti netekusiu galios Valstybinės kainų ir energetikos kontrolės komisijos 1999 m. birželio 30 d. nutarimą Nr. 30 „Dėl kompensuojamo normatyvinio energijos kiekio bendrojo (naudingojo) ploto vienam kvadratiniam metrui šildyti“ (Informaciniai pranešimai, 1999, Nr. </w:t>
      </w:r>
      <w:hyperlink r:id="rId18" w:tgtFrame="_blank" w:history="1">
        <w:r>
          <w:rPr>
            <w:color w:val="0000FF" w:themeColor="hyperlink"/>
            <w:u w:val="single"/>
          </w:rPr>
          <w:t>26-4</w:t>
        </w:r>
      </w:hyperlink>
      <w:r>
        <w:rPr>
          <w:color w:val="000000"/>
        </w:rPr>
        <w:t>).</w:t>
      </w:r>
    </w:p>
    <w:p>
      <w:pPr>
        <w:ind w:firstLine="709"/>
        <w:jc w:val="both"/>
        <w:rPr>
          <w:color w:val="000000"/>
        </w:rPr>
      </w:pPr>
    </w:p>
    <w:p>
      <w:pPr>
        <w:ind w:firstLine="709"/>
        <w:jc w:val="both"/>
        <w:rPr>
          <w:color w:val="000000"/>
        </w:rPr>
      </w:pPr>
    </w:p>
    <w:p>
      <w:pPr>
        <w:tabs>
          <w:tab w:val="right" w:pos="9639"/>
        </w:tabs>
        <w:rPr>
          <w:caps/>
        </w:rPr>
      </w:pPr>
      <w:r>
        <w:rPr>
          <w:caps/>
        </w:rPr>
        <w:t>Pirmininkas</w:t>
        <w:tab/>
        <w:t>Vidmantas Jankauskas</w:t>
      </w:r>
    </w:p>
    <w:p>
      <w:pPr>
        <w:tabs>
          <w:tab w:val="left" w:pos="1304"/>
          <w:tab w:val="left" w:pos="1457"/>
          <w:tab w:val="left" w:pos="1604"/>
          <w:tab w:val="left" w:pos="1757"/>
        </w:tabs>
        <w:ind w:left="5953" w:firstLine="709"/>
        <w:rPr>
          <w:color w:val="000000"/>
        </w:rPr>
      </w:pPr>
    </w:p>
    <w:p>
      <w:pPr>
        <w:ind w:left="5102"/>
        <w:rPr>
          <w:color w:val="000000"/>
        </w:rPr>
      </w:pPr>
      <w:r>
        <w:rPr>
          <w:color w:val="000000"/>
        </w:rPr>
        <w:br w:type="page"/>
        <w:t>PATVIRTINTA</w:t>
      </w:r>
    </w:p>
    <w:p>
      <w:pPr>
        <w:widowControl w:val="0"/>
        <w:ind w:firstLine="5102"/>
        <w:rPr>
          <w:color w:val="000000"/>
        </w:rPr>
      </w:pPr>
      <w:r>
        <w:rPr>
          <w:color w:val="000000"/>
        </w:rPr>
        <w:t xml:space="preserve">Valstybinės kainų ir energetikos kontrolės </w:t>
      </w:r>
    </w:p>
    <w:p>
      <w:pPr>
        <w:widowControl w:val="0"/>
        <w:ind w:firstLine="5102"/>
        <w:rPr>
          <w:color w:val="000000"/>
        </w:rPr>
      </w:pPr>
      <w:r>
        <w:rPr>
          <w:color w:val="000000"/>
        </w:rPr>
        <w:t xml:space="preserve">komisijos </w:t>
      </w:r>
    </w:p>
    <w:p>
      <w:pPr>
        <w:widowControl w:val="0"/>
        <w:ind w:firstLine="5102"/>
        <w:rPr>
          <w:color w:val="000000"/>
        </w:rPr>
      </w:pPr>
      <w:r>
        <w:rPr>
          <w:color w:val="000000"/>
        </w:rPr>
        <w:t>2007 m. sausio 29 d. nutarimu Nr. O3-5</w:t>
      </w:r>
    </w:p>
    <w:p>
      <w:pPr>
        <w:jc w:val="center"/>
        <w:rPr>
          <w:color w:val="000000"/>
        </w:rPr>
      </w:pPr>
    </w:p>
    <w:p>
      <w:pPr>
        <w:widowControl w:val="0"/>
        <w:jc w:val="center"/>
        <w:rPr>
          <w:b/>
          <w:color w:val="000000"/>
        </w:rPr>
      </w:pPr>
      <w:r>
        <w:rPr>
          <w:b/>
          <w:color w:val="000000"/>
        </w:rPr>
        <w:t>ATSKIRŲ ENERGIJOS IR KURO RŪŠIŲ SĄNAUDŲ NORMATYVŲ BŪSTUI ŠILDYTI IR KARŠTAM VANDENIUI RUOŠTI NUSTATYMO BEI TAIKYMO METODIKA</w:t>
      </w:r>
    </w:p>
    <w:p>
      <w:pPr>
        <w:jc w:val="center"/>
        <w:rPr>
          <w:color w:val="000000"/>
        </w:rPr>
      </w:pPr>
    </w:p>
    <w:p>
      <w:pPr>
        <w:widowControl w:val="0"/>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widowControl w:val="0"/>
        <w:ind w:firstLine="709"/>
        <w:jc w:val="both"/>
        <w:rPr>
          <w:color w:val="000000"/>
        </w:rPr>
      </w:pPr>
      <w:r>
        <w:rPr>
          <w:color w:val="000000"/>
        </w:rPr>
        <w:t>1</w:t>
      </w:r>
      <w:r>
        <w:rPr>
          <w:color w:val="000000"/>
        </w:rPr>
        <w:t>. Ši metodika reglamentuoja atskirų energijos ir kuro rūšių normatyvinių bei faktinių sąnaudų būstui šildyti ir karštam vandeniui ruošti nustatymo ir taikymo tvarką skaičiuojant kompensacijas.</w:t>
      </w:r>
    </w:p>
    <w:p>
      <w:pPr>
        <w:widowControl w:val="0"/>
        <w:ind w:firstLine="709"/>
        <w:jc w:val="both"/>
        <w:rPr>
          <w:color w:val="000000"/>
        </w:rPr>
      </w:pPr>
      <w:r>
        <w:rPr>
          <w:color w:val="000000"/>
        </w:rPr>
        <w:t>2</w:t>
      </w:r>
      <w:r>
        <w:rPr>
          <w:color w:val="000000"/>
        </w:rPr>
        <w:t>. Metodika siekiama įgyvendinti socialinės paramos prieinamumą gyventojams, apsirūpinant juos šiluma bei karštu vandeniu, nepriklausomai nuo naudojamų energijos ar kuro rūšių.</w:t>
      </w:r>
    </w:p>
    <w:p>
      <w:pPr>
        <w:ind w:firstLine="709"/>
        <w:jc w:val="both"/>
        <w:rPr>
          <w:color w:val="000000"/>
        </w:rPr>
      </w:pPr>
    </w:p>
    <w:p>
      <w:pPr>
        <w:widowControl w:val="0"/>
        <w:jc w:val="center"/>
        <w:rPr>
          <w:b/>
          <w:color w:val="000000"/>
        </w:rPr>
      </w:pPr>
      <w:r>
        <w:rPr>
          <w:b/>
          <w:color w:val="000000"/>
        </w:rPr>
        <w:t>II</w:t>
      </w:r>
      <w:r>
        <w:rPr>
          <w:b/>
          <w:color w:val="000000"/>
        </w:rPr>
        <w:t xml:space="preserve">. </w:t>
      </w:r>
      <w:r>
        <w:rPr>
          <w:b/>
          <w:color w:val="000000"/>
        </w:rPr>
        <w:t>PAGRINDINĖS SĄVOKOS</w:t>
      </w:r>
    </w:p>
    <w:p>
      <w:pPr>
        <w:widowControl w:val="0"/>
        <w:ind w:firstLine="709"/>
        <w:jc w:val="both"/>
        <w:rPr>
          <w:color w:val="000000"/>
        </w:rPr>
      </w:pPr>
    </w:p>
    <w:p>
      <w:pPr>
        <w:widowControl w:val="0"/>
        <w:ind w:firstLine="709"/>
        <w:jc w:val="both"/>
        <w:rPr>
          <w:color w:val="000000"/>
        </w:rPr>
      </w:pPr>
      <w:r>
        <w:rPr>
          <w:color w:val="000000"/>
        </w:rPr>
        <w:t>3</w:t>
      </w:r>
      <w:r>
        <w:rPr>
          <w:color w:val="000000"/>
        </w:rPr>
        <w:t xml:space="preserve">. Šioje metodikoje vartojamos sąvokos: </w:t>
      </w:r>
    </w:p>
    <w:p>
      <w:pPr>
        <w:widowControl w:val="0"/>
        <w:ind w:firstLine="709"/>
        <w:jc w:val="both"/>
        <w:rPr>
          <w:color w:val="000000"/>
        </w:rPr>
      </w:pPr>
      <w:r>
        <w:rPr>
          <w:b/>
          <w:color w:val="000000"/>
        </w:rPr>
        <w:t>Energijos rūšys</w:t>
      </w:r>
      <w:r>
        <w:rPr>
          <w:color w:val="000000"/>
        </w:rPr>
        <w:t xml:space="preserve"> – elektros ir šilumos energija.</w:t>
      </w:r>
    </w:p>
    <w:p>
      <w:pPr>
        <w:widowControl w:val="0"/>
        <w:ind w:firstLine="709"/>
        <w:jc w:val="both"/>
        <w:rPr>
          <w:color w:val="000000"/>
        </w:rPr>
      </w:pPr>
      <w:r>
        <w:rPr>
          <w:b/>
          <w:color w:val="000000"/>
        </w:rPr>
        <w:t>Kuro rūšys</w:t>
      </w:r>
      <w:r>
        <w:rPr>
          <w:color w:val="000000"/>
        </w:rPr>
        <w:t xml:space="preserve"> – kuras, naudojamas šildymui ir karštam vandeniui ruošti: buitinis kuras, suskystintos dujos, gamtinės dujos, akmens anglis, antracitas, durpės, durpių briketai, malkos, naudoti tepalai ir kita.</w:t>
      </w:r>
    </w:p>
    <w:p>
      <w:pPr>
        <w:widowControl w:val="0"/>
        <w:ind w:firstLine="709"/>
        <w:jc w:val="both"/>
        <w:rPr>
          <w:color w:val="000000"/>
        </w:rPr>
      </w:pPr>
      <w:r>
        <w:rPr>
          <w:b/>
          <w:color w:val="000000"/>
        </w:rPr>
        <w:t>Norminės kuro sąnaudos</w:t>
      </w:r>
      <w:r>
        <w:rPr>
          <w:color w:val="000000"/>
        </w:rPr>
        <w:t xml:space="preserve"> – kuro sąnaudos vienai kilovatvalandei energijos išgauti.</w:t>
      </w:r>
    </w:p>
    <w:p>
      <w:pPr>
        <w:widowControl w:val="0"/>
        <w:ind w:firstLine="709"/>
        <w:jc w:val="both"/>
        <w:rPr>
          <w:color w:val="000000"/>
        </w:rPr>
      </w:pPr>
      <w:r>
        <w:rPr>
          <w:b/>
          <w:color w:val="000000"/>
        </w:rPr>
        <w:t>Vidutiniai energijos ar kuro sąnaudų normatyvai</w:t>
      </w:r>
      <w:r>
        <w:rPr>
          <w:color w:val="000000"/>
        </w:rPr>
        <w:t xml:space="preserve"> – energijos ar kuro kiekiai ploto, tūrio vienetui ar pan., nustatomi Valstybinės kainų ir energetikos kontrolės komisijos (toliau – Komisijos) ir taikomi, kai nėra būsto šilumos reikmėms atskiros energijos ar kuro rūšių apskaitos.</w:t>
      </w:r>
    </w:p>
    <w:p>
      <w:pPr>
        <w:widowControl w:val="0"/>
        <w:ind w:firstLine="709"/>
        <w:jc w:val="both"/>
        <w:rPr>
          <w:color w:val="000000"/>
        </w:rPr>
      </w:pPr>
      <w:r>
        <w:rPr>
          <w:b/>
          <w:color w:val="000000"/>
        </w:rPr>
        <w:t>Faktinės energijos ar kuro sąnaudos</w:t>
      </w:r>
      <w:r>
        <w:rPr>
          <w:color w:val="000000"/>
        </w:rPr>
        <w:t xml:space="preserve"> – energijos ar kuro kiekiai ploto, tūrio vienetui ar pan., nustatomi pagal apskaitos prietaisų rodmenis arba pagal Komisijos rekomenduojamus taikyti ar su ja suderintus paskirstymo metodus.</w:t>
      </w:r>
    </w:p>
    <w:p>
      <w:pPr>
        <w:ind w:firstLine="709"/>
        <w:jc w:val="both"/>
        <w:rPr>
          <w:color w:val="000000"/>
        </w:rPr>
      </w:pPr>
    </w:p>
    <w:p>
      <w:pPr>
        <w:widowControl w:val="0"/>
        <w:jc w:val="center"/>
        <w:rPr>
          <w:b/>
          <w:color w:val="000000"/>
        </w:rPr>
      </w:pPr>
      <w:r>
        <w:rPr>
          <w:b/>
          <w:color w:val="000000"/>
        </w:rPr>
        <w:t>III</w:t>
      </w:r>
      <w:r>
        <w:rPr>
          <w:b/>
          <w:color w:val="000000"/>
        </w:rPr>
        <w:t xml:space="preserve">. </w:t>
      </w:r>
      <w:r>
        <w:rPr>
          <w:b/>
          <w:color w:val="000000"/>
        </w:rPr>
        <w:t>NUORODOS</w:t>
      </w:r>
    </w:p>
    <w:p>
      <w:pPr>
        <w:ind w:firstLine="709"/>
        <w:jc w:val="both"/>
        <w:rPr>
          <w:color w:val="000000"/>
        </w:rPr>
      </w:pPr>
    </w:p>
    <w:p>
      <w:pPr>
        <w:widowControl w:val="0"/>
        <w:ind w:firstLine="709"/>
        <w:jc w:val="both"/>
        <w:rPr>
          <w:color w:val="000000"/>
        </w:rPr>
      </w:pPr>
      <w:r>
        <w:rPr>
          <w:color w:val="000000"/>
        </w:rPr>
        <w:t>4</w:t>
      </w:r>
      <w:r>
        <w:rPr>
          <w:color w:val="000000"/>
        </w:rPr>
        <w:t>. Metodika priimta remiantis šių teisės aktų nuostatomis:</w:t>
      </w:r>
    </w:p>
    <w:p>
      <w:pPr>
        <w:widowControl w:val="0"/>
        <w:ind w:firstLine="709"/>
        <w:jc w:val="both"/>
        <w:rPr>
          <w:color w:val="000000"/>
        </w:rPr>
      </w:pPr>
      <w:r>
        <w:rPr>
          <w:color w:val="000000"/>
        </w:rPr>
        <w:t>4.1</w:t>
      </w:r>
      <w:r>
        <w:rPr>
          <w:color w:val="000000"/>
        </w:rPr>
        <w:t xml:space="preserve">. Lietuvos Respublikos piniginės socialinės paramos mažas pajamas gaunančioms šeimoms (vieniems gyvenantiems asmenims) įstatymo pakeitimo įstatymu (Žin., 2003, Nr. </w:t>
      </w:r>
      <w:hyperlink r:id="rId19" w:tgtFrame="_blank" w:history="1">
        <w:r>
          <w:rPr>
            <w:color w:val="0000FF" w:themeColor="hyperlink"/>
            <w:u w:val="single"/>
          </w:rPr>
          <w:t>73-3352</w:t>
        </w:r>
      </w:hyperlink>
      <w:r>
        <w:rPr>
          <w:color w:val="000000"/>
        </w:rPr>
        <w:t xml:space="preserve">; 2006, Nr. </w:t>
      </w:r>
      <w:hyperlink r:id="rId20" w:tgtFrame="_blank" w:history="1">
        <w:r>
          <w:rPr>
            <w:color w:val="0000FF" w:themeColor="hyperlink"/>
            <w:u w:val="single"/>
          </w:rPr>
          <w:t>130-4899</w:t>
        </w:r>
      </w:hyperlink>
      <w:r>
        <w:rPr>
          <w:color w:val="000000"/>
        </w:rPr>
        <w:t>);</w:t>
      </w:r>
    </w:p>
    <w:p>
      <w:pPr>
        <w:widowControl w:val="0"/>
        <w:ind w:firstLine="709"/>
        <w:jc w:val="both"/>
        <w:rPr>
          <w:color w:val="000000"/>
        </w:rPr>
      </w:pPr>
      <w:r>
        <w:rPr>
          <w:color w:val="000000"/>
        </w:rPr>
        <w:t>4.2</w:t>
      </w:r>
      <w:r>
        <w:rPr>
          <w:color w:val="000000"/>
        </w:rPr>
        <w:t xml:space="preserve">. Lietuvos Respublikos energetikos įstatymu (Žin., 2002, Nr. </w:t>
      </w:r>
      <w:hyperlink r:id="rId21" w:tgtFrame="_blank" w:history="1">
        <w:r>
          <w:rPr>
            <w:color w:val="0000FF" w:themeColor="hyperlink"/>
            <w:u w:val="single"/>
          </w:rPr>
          <w:t>56-2224</w:t>
        </w:r>
      </w:hyperlink>
      <w:r>
        <w:rPr>
          <w:color w:val="000000"/>
        </w:rPr>
        <w:t xml:space="preserve">; 2003, Nr. </w:t>
      </w:r>
      <w:hyperlink r:id="rId22" w:tgtFrame="_blank" w:history="1">
        <w:r>
          <w:rPr>
            <w:color w:val="0000FF" w:themeColor="hyperlink"/>
            <w:u w:val="single"/>
          </w:rPr>
          <w:t>69-3118</w:t>
        </w:r>
      </w:hyperlink>
      <w:r>
        <w:rPr>
          <w:color w:val="000000"/>
        </w:rPr>
        <w:t>);</w:t>
      </w:r>
    </w:p>
    <w:p>
      <w:pPr>
        <w:widowControl w:val="0"/>
        <w:ind w:firstLine="709"/>
        <w:jc w:val="both"/>
        <w:rPr>
          <w:color w:val="000000"/>
        </w:rPr>
      </w:pPr>
      <w:r>
        <w:rPr>
          <w:color w:val="000000"/>
        </w:rPr>
        <w:t>4.3</w:t>
      </w:r>
      <w:r>
        <w:rPr>
          <w:color w:val="000000"/>
        </w:rPr>
        <w:t xml:space="preserve">. Lietuvos Respublikos šilumos ūkio įstatymu (Žin., 2003, Nr. </w:t>
      </w:r>
      <w:hyperlink r:id="rId23" w:tgtFrame="_blank" w:history="1">
        <w:r>
          <w:rPr>
            <w:color w:val="0000FF" w:themeColor="hyperlink"/>
            <w:u w:val="single"/>
          </w:rPr>
          <w:t>51-2254</w:t>
        </w:r>
      </w:hyperlink>
      <w:r>
        <w:rPr>
          <w:color w:val="000000"/>
        </w:rPr>
        <w:t>);</w:t>
      </w:r>
    </w:p>
    <w:p>
      <w:pPr>
        <w:widowControl w:val="0"/>
        <w:ind w:firstLine="709"/>
        <w:jc w:val="both"/>
        <w:rPr>
          <w:color w:val="000000"/>
        </w:rPr>
      </w:pPr>
      <w:r>
        <w:rPr>
          <w:color w:val="000000"/>
        </w:rPr>
        <w:t>4.4</w:t>
      </w:r>
      <w:r>
        <w:rPr>
          <w:color w:val="000000"/>
        </w:rPr>
        <w:t xml:space="preserve">. Statybos techniniu reglamentu STR 2.01.01 (6):1999 „Esminiai statinio reikalavimai. Energijos taupymas ir šilumos išsaugojimas (Žin., 1999, Nr. </w:t>
      </w:r>
      <w:hyperlink r:id="rId24" w:tgtFrame="_blank" w:history="1">
        <w:r>
          <w:rPr>
            <w:color w:val="0000FF" w:themeColor="hyperlink"/>
            <w:u w:val="single"/>
          </w:rPr>
          <w:t>107-3120</w:t>
        </w:r>
      </w:hyperlink>
      <w:r>
        <w:rPr>
          <w:color w:val="000000"/>
        </w:rPr>
        <w:t xml:space="preserve">; 2002, Nr. </w:t>
      </w:r>
      <w:hyperlink r:id="rId25" w:tgtFrame="_blank" w:history="1">
        <w:r>
          <w:rPr>
            <w:color w:val="0000FF" w:themeColor="hyperlink"/>
            <w:u w:val="single"/>
          </w:rPr>
          <w:t>98-4343</w:t>
        </w:r>
      </w:hyperlink>
      <w:r>
        <w:rPr>
          <w:color w:val="000000"/>
        </w:rPr>
        <w:t xml:space="preserve">); </w:t>
      </w:r>
    </w:p>
    <w:p>
      <w:pPr>
        <w:widowControl w:val="0"/>
        <w:ind w:firstLine="709"/>
        <w:jc w:val="both"/>
        <w:rPr>
          <w:color w:val="000000"/>
        </w:rPr>
      </w:pPr>
      <w:r>
        <w:rPr>
          <w:color w:val="000000"/>
        </w:rPr>
        <w:t>4.5</w:t>
      </w:r>
      <w:r>
        <w:rPr>
          <w:color w:val="000000"/>
        </w:rPr>
        <w:t xml:space="preserve">. Statybos techniniu reglamentu STR 2.09.02:1998 „Šildymas, vėdinimas ir oro kondicionavimas“ ir statybos taisyklėmis ST 8860237.02:1998 „Kietojo kuro šildymo krosnių pastatuose įrengimas“ (Žin., 2002, Nr. </w:t>
      </w:r>
      <w:hyperlink r:id="rId26" w:tgtFrame="_blank" w:history="1">
        <w:r>
          <w:rPr>
            <w:color w:val="0000FF" w:themeColor="hyperlink"/>
            <w:u w:val="single"/>
          </w:rPr>
          <w:t>39-1446</w:t>
        </w:r>
      </w:hyperlink>
      <w:r>
        <w:rPr>
          <w:color w:val="000000"/>
        </w:rPr>
        <w:t xml:space="preserve">; 2005, Nr. </w:t>
      </w:r>
      <w:hyperlink r:id="rId27" w:tgtFrame="_blank" w:history="1">
        <w:r>
          <w:rPr>
            <w:color w:val="0000FF" w:themeColor="hyperlink"/>
            <w:u w:val="single"/>
          </w:rPr>
          <w:t>75-2729</w:t>
        </w:r>
      </w:hyperlink>
      <w:r>
        <w:rPr>
          <w:color w:val="000000"/>
        </w:rPr>
        <w:t>);</w:t>
      </w:r>
    </w:p>
    <w:p>
      <w:pPr>
        <w:widowControl w:val="0"/>
        <w:ind w:firstLine="709"/>
        <w:jc w:val="both"/>
        <w:rPr>
          <w:color w:val="000000"/>
        </w:rPr>
      </w:pPr>
      <w:r>
        <w:rPr>
          <w:color w:val="000000"/>
        </w:rPr>
        <w:t>4.6</w:t>
      </w:r>
      <w:r>
        <w:rPr>
          <w:color w:val="000000"/>
        </w:rPr>
        <w:t xml:space="preserve">. Šilumos tiekimo tinklų ir šilumos punktų įrengimo taisyklėmis (Žin., 2005, Nr. </w:t>
      </w:r>
      <w:hyperlink r:id="rId28" w:tgtFrame="_blank" w:history="1">
        <w:r>
          <w:rPr>
            <w:color w:val="0000FF" w:themeColor="hyperlink"/>
            <w:u w:val="single"/>
          </w:rPr>
          <w:t>30-945</w:t>
        </w:r>
      </w:hyperlink>
      <w:r>
        <w:rPr>
          <w:color w:val="000000"/>
        </w:rPr>
        <w:t>);</w:t>
      </w:r>
    </w:p>
    <w:p>
      <w:pPr>
        <w:widowControl w:val="0"/>
        <w:ind w:firstLine="709"/>
        <w:jc w:val="both"/>
        <w:rPr>
          <w:color w:val="000000"/>
        </w:rPr>
      </w:pPr>
      <w:r>
        <w:rPr>
          <w:color w:val="000000"/>
        </w:rPr>
        <w:t>4.7</w:t>
      </w:r>
      <w:r>
        <w:rPr>
          <w:color w:val="000000"/>
        </w:rPr>
        <w:t xml:space="preserve">. Statybos techniniu reglamentu STR 1.12.05:2002 „Gyvenamųjų namų naudojimo ir priežiūros privalomieji reikalavimai“ (Žin., 2002, Nr. </w:t>
      </w:r>
      <w:hyperlink r:id="rId29" w:tgtFrame="_blank" w:history="1">
        <w:r>
          <w:rPr>
            <w:color w:val="0000FF" w:themeColor="hyperlink"/>
            <w:u w:val="single"/>
          </w:rPr>
          <w:t>81-3504</w:t>
        </w:r>
      </w:hyperlink>
      <w:r>
        <w:rPr>
          <w:color w:val="000000"/>
        </w:rPr>
        <w:t>);</w:t>
      </w:r>
    </w:p>
    <w:p>
      <w:pPr>
        <w:widowControl w:val="0"/>
        <w:ind w:firstLine="709"/>
        <w:jc w:val="both"/>
        <w:rPr>
          <w:color w:val="000000"/>
        </w:rPr>
      </w:pPr>
      <w:r>
        <w:rPr>
          <w:color w:val="000000"/>
        </w:rPr>
        <w:t>4.8</w:t>
      </w:r>
      <w:r>
        <w:rPr>
          <w:color w:val="000000"/>
        </w:rPr>
        <w:t xml:space="preserve">. Statybos techniniu reglamentu STR 2.05.01:2005 „Pastatų atitvarų šiluminė technika“ (Žin., 2005, Nr. </w:t>
      </w:r>
      <w:hyperlink r:id="rId30" w:tgtFrame="_blank" w:history="1">
        <w:r>
          <w:rPr>
            <w:color w:val="0000FF" w:themeColor="hyperlink"/>
            <w:u w:val="single"/>
          </w:rPr>
          <w:t>100-3733</w:t>
        </w:r>
      </w:hyperlink>
      <w:r>
        <w:rPr>
          <w:color w:val="000000"/>
        </w:rPr>
        <w:t>);</w:t>
      </w:r>
    </w:p>
    <w:p>
      <w:pPr>
        <w:widowControl w:val="0"/>
        <w:ind w:firstLine="709"/>
        <w:jc w:val="both"/>
        <w:rPr>
          <w:color w:val="000000"/>
        </w:rPr>
      </w:pPr>
      <w:r>
        <w:rPr>
          <w:color w:val="000000"/>
        </w:rPr>
        <w:t>4.9</w:t>
      </w:r>
      <w:r>
        <w:rPr>
          <w:color w:val="000000"/>
        </w:rPr>
        <w:t>. Valstybinės kainų ir energetikos kontrolės komisijos 2003 m. gruodžio 8 d. nutarimu Nr. 03-105 „Dėl maksimalių šilumos suvartojimo normų daugiabučių namų butams ir kitoms patalpoms šildyti“.</w:t>
      </w:r>
    </w:p>
    <w:p>
      <w:pPr>
        <w:widowControl w:val="0"/>
        <w:ind w:firstLine="709"/>
        <w:jc w:val="both"/>
        <w:rPr>
          <w:color w:val="000000"/>
        </w:rPr>
      </w:pPr>
      <w:r>
        <w:rPr>
          <w:color w:val="000000"/>
        </w:rPr>
        <w:t>4.10</w:t>
      </w:r>
      <w:r>
        <w:rPr>
          <w:color w:val="000000"/>
        </w:rPr>
        <w:t xml:space="preserve">. Komisijos 2004 m. lapkričio 11 d. nutarimu Nr. O3-122 patvirtintais rekomenduojamais „Balansiniu šilumos paskirstymo metodu Nr. 1“ bei „Metrologiniu šilumos paskirstymo metodu Nr. 2“ (Žin., 2004, Nr. </w:t>
      </w:r>
      <w:hyperlink r:id="rId31" w:tgtFrame="_blank" w:history="1">
        <w:r>
          <w:rPr>
            <w:color w:val="0000FF" w:themeColor="hyperlink"/>
            <w:u w:val="single"/>
          </w:rPr>
          <w:t>167-6172</w:t>
        </w:r>
      </w:hyperlink>
      <w:r>
        <w:rPr>
          <w:color w:val="000000"/>
        </w:rPr>
        <w:t>);</w:t>
      </w:r>
    </w:p>
    <w:p>
      <w:pPr>
        <w:widowControl w:val="0"/>
        <w:ind w:firstLine="709"/>
        <w:jc w:val="both"/>
        <w:rPr>
          <w:color w:val="000000"/>
        </w:rPr>
      </w:pPr>
      <w:r>
        <w:rPr>
          <w:color w:val="000000"/>
        </w:rPr>
        <w:t>4.11</w:t>
      </w:r>
      <w:r>
        <w:rPr>
          <w:color w:val="000000"/>
        </w:rPr>
        <w:t xml:space="preserve">. Komisijos 2005 m. gegužės 5 d. nutarimu Nr. O3-19 patvirtintais rekomenduojamais šilumos paskirstymo metodais Nr. 3 ir Nr. 4 (Žin., 2005, Nr. </w:t>
      </w:r>
      <w:hyperlink r:id="rId32" w:tgtFrame="_blank" w:history="1">
        <w:r>
          <w:rPr>
            <w:color w:val="0000FF" w:themeColor="hyperlink"/>
            <w:u w:val="single"/>
          </w:rPr>
          <w:t>60-2158</w:t>
        </w:r>
      </w:hyperlink>
      <w:r>
        <w:rPr>
          <w:color w:val="000000"/>
        </w:rPr>
        <w:t>);</w:t>
      </w:r>
    </w:p>
    <w:p>
      <w:pPr>
        <w:widowControl w:val="0"/>
        <w:ind w:firstLine="709"/>
        <w:jc w:val="both"/>
        <w:rPr>
          <w:color w:val="000000"/>
        </w:rPr>
      </w:pPr>
      <w:r>
        <w:rPr>
          <w:color w:val="000000"/>
        </w:rPr>
        <w:t>4.12</w:t>
      </w:r>
      <w:r>
        <w:rPr>
          <w:color w:val="000000"/>
        </w:rPr>
        <w:t xml:space="preserve">. Komisijos 2005 m. liepos 22 d. nutarimu Nr. O3-41 patvirtintu rekomenduojamu „Šilumos bendrojo naudojimo patalpoms šildyti kiekio nustatymo ir paskirstymo metodu Nr. 5“ (Žin., 2005, Nr. </w:t>
      </w:r>
      <w:hyperlink r:id="rId33" w:tgtFrame="_blank" w:history="1">
        <w:r>
          <w:rPr>
            <w:color w:val="0000FF" w:themeColor="hyperlink"/>
            <w:u w:val="single"/>
          </w:rPr>
          <w:t>92-3456</w:t>
        </w:r>
      </w:hyperlink>
      <w:r>
        <w:rPr>
          <w:color w:val="000000"/>
        </w:rPr>
        <w:t>);</w:t>
      </w:r>
    </w:p>
    <w:p>
      <w:pPr>
        <w:widowControl w:val="0"/>
        <w:ind w:firstLine="709"/>
        <w:jc w:val="both"/>
        <w:rPr>
          <w:color w:val="000000"/>
        </w:rPr>
      </w:pPr>
      <w:r>
        <w:rPr>
          <w:color w:val="000000"/>
        </w:rPr>
        <w:t>4.13</w:t>
      </w:r>
      <w:r>
        <w:rPr>
          <w:color w:val="000000"/>
        </w:rPr>
        <w:t>. Komisijos 2005 m. gruodžio 30 d. nutarimu Nr. O3-86 patvirtintu rekomenduojamu „Šilumos šildymui paskirstymo dalikliais metodu Nr. 6“ (Inform. pran., 2006, Nr. 1-14);</w:t>
      </w:r>
    </w:p>
    <w:p>
      <w:pPr>
        <w:widowControl w:val="0"/>
        <w:ind w:firstLine="709"/>
        <w:jc w:val="both"/>
        <w:rPr>
          <w:color w:val="000000"/>
        </w:rPr>
      </w:pPr>
      <w:r>
        <w:rPr>
          <w:color w:val="000000"/>
        </w:rPr>
        <w:t>4.14</w:t>
      </w:r>
      <w:r>
        <w:rPr>
          <w:color w:val="000000"/>
        </w:rPr>
        <w:t>. Europos Parlamento ir Tarybos 2006 m. balandžio 5 d. direktyva 2006/32/EB „Dėl energijos galutinio vartojimo efektyvumo ir energetinių paslaugų“.</w:t>
      </w:r>
    </w:p>
    <w:p>
      <w:pPr>
        <w:ind w:firstLine="709"/>
        <w:jc w:val="both"/>
        <w:rPr>
          <w:color w:val="000000"/>
        </w:rPr>
      </w:pPr>
    </w:p>
    <w:p>
      <w:pPr>
        <w:widowControl w:val="0"/>
        <w:ind w:firstLine="709"/>
        <w:jc w:val="both"/>
        <w:rPr>
          <w:color w:val="000000"/>
        </w:rPr>
      </w:pPr>
      <w:r>
        <w:rPr>
          <w:b/>
          <w:bCs/>
          <w:color w:val="000000"/>
        </w:rPr>
        <w:t>IV</w:t>
      </w:r>
      <w:r>
        <w:rPr>
          <w:b/>
          <w:bCs/>
          <w:color w:val="000000"/>
        </w:rPr>
        <w:t xml:space="preserve">. </w:t>
      </w:r>
      <w:r>
        <w:rPr>
          <w:b/>
          <w:bCs/>
          <w:color w:val="000000"/>
        </w:rPr>
        <w:t>ENERGIJOS IR KURO SĄNAUDŲ NORMATYVAI BEI JŲ TAIKYMAS</w:t>
      </w:r>
    </w:p>
    <w:p>
      <w:pPr>
        <w:ind w:firstLine="709"/>
        <w:jc w:val="both"/>
        <w:rPr>
          <w:color w:val="000000"/>
        </w:rPr>
      </w:pPr>
    </w:p>
    <w:p>
      <w:pPr>
        <w:widowControl w:val="0"/>
        <w:ind w:firstLine="709"/>
        <w:jc w:val="both"/>
        <w:rPr>
          <w:color w:val="000000"/>
        </w:rPr>
      </w:pPr>
      <w:r>
        <w:rPr>
          <w:color w:val="000000"/>
        </w:rPr>
        <w:t>5</w:t>
      </w:r>
      <w:r>
        <w:rPr>
          <w:color w:val="000000"/>
        </w:rPr>
        <w:t>. Energijos ir kuro normatyvinių ar faktinių sąnaudų, kurios gali būti kompensuojamos, nustatymas:</w:t>
      </w:r>
    </w:p>
    <w:p>
      <w:pPr>
        <w:widowControl w:val="0"/>
        <w:ind w:firstLine="709"/>
        <w:jc w:val="both"/>
        <w:rPr>
          <w:color w:val="000000"/>
        </w:rPr>
      </w:pPr>
      <w:r>
        <w:rPr>
          <w:color w:val="000000"/>
        </w:rPr>
        <w:t>5.1</w:t>
      </w:r>
      <w:r>
        <w:rPr>
          <w:color w:val="000000"/>
        </w:rPr>
        <w:t>. Energijos (q</w:t>
      </w:r>
      <w:r>
        <w:rPr>
          <w:color w:val="000000"/>
          <w:vertAlign w:val="subscript"/>
        </w:rPr>
        <w:t>e</w:t>
      </w:r>
      <w:r>
        <w:rPr>
          <w:color w:val="000000"/>
        </w:rPr>
        <w:t>) normatyvinės sąnaudos, kurios gali būti kompensuojamos, nustatomos pagal 6, 7, 8 punktuose pateiktas 1, 2, 3 lenteles:</w:t>
      </w:r>
    </w:p>
    <w:p>
      <w:pPr>
        <w:ind w:firstLine="709"/>
        <w:jc w:val="both"/>
        <w:rPr>
          <w:color w:val="000000"/>
        </w:rPr>
      </w:pPr>
    </w:p>
    <w:tbl>
      <w:tblPr>
        <w:tblW w:w="9637" w:type="dxa"/>
        <w:tblLook w:val="01E0" w:firstRow="1" w:lastRow="1" w:firstColumn="1" w:lastColumn="1" w:noHBand="0" w:noVBand="0"/>
      </w:tblPr>
      <w:tblGrid>
        <w:gridCol w:w="6849"/>
        <w:gridCol w:w="2788"/>
      </w:tblGrid>
      <w:tr>
        <w:tc>
          <w:tcPr>
            <w:tcW w:w="6600" w:type="dxa"/>
          </w:tcPr>
          <w:p>
            <w:pPr>
              <w:widowControl w:val="0"/>
              <w:ind w:firstLine="709"/>
              <w:jc w:val="both"/>
              <w:rPr>
                <w:color w:val="000000"/>
                <w:szCs w:val="24"/>
                <w:lang w:eastAsia="lt-LT"/>
              </w:rPr>
            </w:pPr>
            <w:r>
              <w:rPr>
                <w:color w:val="000000"/>
                <w:szCs w:val="24"/>
                <w:lang w:eastAsia="lt-LT"/>
              </w:rPr>
              <w:t>šildymui, (q</w:t>
            </w:r>
            <w:r>
              <w:rPr>
                <w:color w:val="000000"/>
                <w:szCs w:val="24"/>
                <w:vertAlign w:val="subscript"/>
                <w:lang w:eastAsia="lt-LT"/>
              </w:rPr>
              <w:t>Še</w:t>
            </w:r>
            <w:r>
              <w:rPr>
                <w:color w:val="000000"/>
                <w:szCs w:val="24"/>
                <w:lang w:eastAsia="lt-LT"/>
              </w:rPr>
              <w:t>)</w:t>
            </w:r>
          </w:p>
        </w:tc>
        <w:tc>
          <w:tcPr>
            <w:tcW w:w="2687" w:type="dxa"/>
          </w:tcPr>
          <w:p>
            <w:pPr>
              <w:widowControl w:val="0"/>
              <w:jc w:val="both"/>
              <w:rPr>
                <w:color w:val="000000"/>
                <w:szCs w:val="24"/>
                <w:lang w:eastAsia="lt-LT"/>
              </w:rPr>
            </w:pPr>
            <w:r>
              <w:rPr>
                <w:color w:val="000000"/>
                <w:szCs w:val="24"/>
                <w:lang w:eastAsia="lt-LT"/>
              </w:rPr>
              <w:t>kWh/m</w:t>
            </w:r>
            <w:r>
              <w:rPr>
                <w:color w:val="000000"/>
                <w:szCs w:val="24"/>
                <w:vertAlign w:val="superscript"/>
                <w:lang w:eastAsia="lt-LT"/>
              </w:rPr>
              <w:t>2</w:t>
            </w:r>
            <w:r>
              <w:rPr>
                <w:color w:val="000000"/>
                <w:szCs w:val="24"/>
                <w:lang w:eastAsia="lt-LT"/>
              </w:rPr>
              <w:t xml:space="preserve"> per mėn.</w:t>
            </w:r>
          </w:p>
        </w:tc>
      </w:tr>
      <w:tr>
        <w:tc>
          <w:tcPr>
            <w:tcW w:w="6600" w:type="dxa"/>
          </w:tcPr>
          <w:p>
            <w:pPr>
              <w:widowControl w:val="0"/>
              <w:ind w:firstLine="709"/>
              <w:jc w:val="both"/>
              <w:rPr>
                <w:color w:val="000000"/>
                <w:szCs w:val="24"/>
                <w:lang w:eastAsia="lt-LT"/>
              </w:rPr>
            </w:pPr>
            <w:r>
              <w:rPr>
                <w:color w:val="000000"/>
                <w:szCs w:val="24"/>
                <w:lang w:eastAsia="lt-LT"/>
              </w:rPr>
              <w:t>karštam vandeniui:</w:t>
            </w:r>
          </w:p>
        </w:tc>
        <w:tc>
          <w:tcPr>
            <w:tcW w:w="2687" w:type="dxa"/>
          </w:tcPr>
          <w:p>
            <w:pPr>
              <w:widowControl w:val="0"/>
              <w:jc w:val="both"/>
              <w:rPr>
                <w:color w:val="000000"/>
                <w:szCs w:val="24"/>
                <w:lang w:eastAsia="lt-LT"/>
              </w:rPr>
            </w:pPr>
          </w:p>
        </w:tc>
      </w:tr>
      <w:tr>
        <w:tc>
          <w:tcPr>
            <w:tcW w:w="6600" w:type="dxa"/>
          </w:tcPr>
          <w:p>
            <w:pPr>
              <w:widowControl w:val="0"/>
              <w:ind w:firstLine="709"/>
              <w:jc w:val="both"/>
              <w:rPr>
                <w:color w:val="000000"/>
                <w:szCs w:val="24"/>
                <w:lang w:eastAsia="lt-LT"/>
              </w:rPr>
            </w:pPr>
            <w:r>
              <w:rPr>
                <w:color w:val="000000"/>
                <w:szCs w:val="24"/>
                <w:lang w:eastAsia="lt-LT"/>
              </w:rPr>
              <w:t>šalto vandens pašildymui, (q</w:t>
            </w:r>
            <w:r>
              <w:rPr>
                <w:color w:val="000000"/>
                <w:szCs w:val="24"/>
                <w:vertAlign w:val="subscript"/>
                <w:lang w:eastAsia="lt-LT"/>
              </w:rPr>
              <w:t>Kve</w:t>
            </w:r>
            <w:r>
              <w:rPr>
                <w:color w:val="000000"/>
                <w:szCs w:val="24"/>
                <w:lang w:eastAsia="lt-LT"/>
              </w:rPr>
              <w:t>)</w:t>
            </w:r>
          </w:p>
        </w:tc>
        <w:tc>
          <w:tcPr>
            <w:tcW w:w="2687" w:type="dxa"/>
          </w:tcPr>
          <w:p>
            <w:pPr>
              <w:widowControl w:val="0"/>
              <w:jc w:val="both"/>
              <w:rPr>
                <w:color w:val="000000"/>
                <w:szCs w:val="24"/>
                <w:lang w:eastAsia="lt-LT"/>
              </w:rPr>
            </w:pPr>
            <w:r>
              <w:rPr>
                <w:color w:val="000000"/>
                <w:szCs w:val="24"/>
                <w:lang w:eastAsia="lt-LT"/>
              </w:rPr>
              <w:t>kWh/m</w:t>
            </w:r>
            <w:r>
              <w:rPr>
                <w:color w:val="000000"/>
                <w:szCs w:val="24"/>
                <w:vertAlign w:val="superscript"/>
                <w:lang w:eastAsia="lt-LT"/>
              </w:rPr>
              <w:t>3</w:t>
            </w:r>
          </w:p>
        </w:tc>
      </w:tr>
      <w:tr>
        <w:tc>
          <w:tcPr>
            <w:tcW w:w="6600" w:type="dxa"/>
          </w:tcPr>
          <w:p>
            <w:pPr>
              <w:widowControl w:val="0"/>
              <w:ind w:firstLine="709"/>
              <w:jc w:val="both"/>
              <w:rPr>
                <w:color w:val="000000"/>
                <w:szCs w:val="24"/>
                <w:lang w:eastAsia="lt-LT"/>
              </w:rPr>
            </w:pPr>
            <w:r>
              <w:rPr>
                <w:color w:val="000000"/>
                <w:szCs w:val="24"/>
                <w:lang w:eastAsia="lt-LT"/>
              </w:rPr>
              <w:t>karšto vandens temperatūros palaikymui (cirkuliacijai q</w:t>
            </w:r>
            <w:r>
              <w:rPr>
                <w:color w:val="000000"/>
                <w:szCs w:val="24"/>
                <w:vertAlign w:val="subscript"/>
                <w:lang w:eastAsia="lt-LT"/>
              </w:rPr>
              <w:t>Re</w:t>
            </w:r>
            <w:r>
              <w:rPr>
                <w:color w:val="000000"/>
                <w:szCs w:val="24"/>
                <w:lang w:eastAsia="lt-LT"/>
              </w:rPr>
              <w:t>)</w:t>
            </w:r>
          </w:p>
        </w:tc>
        <w:tc>
          <w:tcPr>
            <w:tcW w:w="2687" w:type="dxa"/>
          </w:tcPr>
          <w:p>
            <w:pPr>
              <w:widowControl w:val="0"/>
              <w:jc w:val="both"/>
              <w:rPr>
                <w:color w:val="000000"/>
                <w:szCs w:val="24"/>
                <w:lang w:eastAsia="lt-LT"/>
              </w:rPr>
            </w:pPr>
            <w:r>
              <w:rPr>
                <w:color w:val="000000"/>
                <w:szCs w:val="24"/>
                <w:lang w:eastAsia="lt-LT"/>
              </w:rPr>
              <w:t>kWh/būstui per mėn.</w:t>
            </w:r>
          </w:p>
        </w:tc>
      </w:tr>
    </w:tbl>
    <w:p>
      <w:pPr>
        <w:ind w:firstLine="709"/>
        <w:jc w:val="both"/>
        <w:rPr>
          <w:color w:val="000000"/>
        </w:rPr>
      </w:pPr>
    </w:p>
    <w:p>
      <w:pPr>
        <w:widowControl w:val="0"/>
        <w:ind w:firstLine="709"/>
        <w:jc w:val="both"/>
        <w:rPr>
          <w:color w:val="000000"/>
        </w:rPr>
      </w:pPr>
      <w:r>
        <w:rPr>
          <w:color w:val="000000"/>
        </w:rPr>
        <w:t>5.1.1</w:t>
      </w:r>
      <w:r>
        <w:rPr>
          <w:color w:val="000000"/>
        </w:rPr>
        <w:t>. Faktinės šilumos sąnaudos nustatomos iš apskaitos prietaisų rodmenų arba apskaičiuojamos pagal Komisijos rekomenduojamus taikyti ar su ja suderintus paskirstymo metodus. Šilumos sąnaudų šildymui dalis, kuri gali būti kompensuojama, negali viršyti maksimalių energijos sąnaudų normatyvų, nustatytų pagal 6 punktą.</w:t>
      </w:r>
    </w:p>
    <w:p>
      <w:pPr>
        <w:widowControl w:val="0"/>
        <w:ind w:firstLine="709"/>
        <w:jc w:val="both"/>
        <w:rPr>
          <w:color w:val="000000"/>
        </w:rPr>
      </w:pPr>
      <w:r>
        <w:rPr>
          <w:color w:val="000000"/>
        </w:rPr>
        <w:t>5.1.2</w:t>
      </w:r>
      <w:r>
        <w:rPr>
          <w:color w:val="000000"/>
        </w:rPr>
        <w:t>. Kai elektros energijos arba dujų (gamtinių ar išgarintų suskystintų) faktinės sąnaudos (tik būstui šildyti arba būstui šildyti ir karštam vandeniui ruošti) nustatomos iš atskiro apskaitos prietaiso rodmenų, sąnaudų šildymui dalis, kuri gali būti kompensuojama, negali viršyti maksimalių energijos sąnaudų normatyvų, nustatytų pagal 6 punktą.</w:t>
      </w:r>
    </w:p>
    <w:p>
      <w:pPr>
        <w:widowControl w:val="0"/>
        <w:ind w:firstLine="709"/>
        <w:jc w:val="both"/>
        <w:rPr>
          <w:color w:val="000000"/>
        </w:rPr>
      </w:pPr>
      <w:r>
        <w:rPr>
          <w:color w:val="000000"/>
        </w:rPr>
        <w:t>5.1.3</w:t>
      </w:r>
      <w:r>
        <w:rPr>
          <w:color w:val="000000"/>
        </w:rPr>
        <w:t>. Kai šilumos reikmėms suvartotos elektros energijos arba dujų (gamtinių ar išgarintų suskystintų) faktinių sąnaudų nustatymui atskiras apskaitos prietaisas neįrengtas, elektros energijos arba dujų sąnaudų dalis, kuri gali būti kompensuojama, negali viršyti vidutinių energijos sąnaudų normatyvų, nustatytų pagal 6 punktą.</w:t>
      </w:r>
    </w:p>
    <w:p>
      <w:pPr>
        <w:widowControl w:val="0"/>
        <w:ind w:firstLine="709"/>
        <w:jc w:val="both"/>
        <w:rPr>
          <w:color w:val="000000"/>
        </w:rPr>
      </w:pPr>
      <w:r>
        <w:rPr>
          <w:color w:val="000000"/>
        </w:rPr>
        <w:t>5.2</w:t>
      </w:r>
      <w:r>
        <w:rPr>
          <w:color w:val="000000"/>
        </w:rPr>
        <w:t>. Kuro rūšių (g</w:t>
      </w:r>
      <w:r>
        <w:rPr>
          <w:color w:val="000000"/>
          <w:vertAlign w:val="subscript"/>
        </w:rPr>
        <w:t>k</w:t>
      </w:r>
      <w:r>
        <w:rPr>
          <w:color w:val="000000"/>
        </w:rPr>
        <w:t>) vidutinės normatyvinės sąnaudos, kurios gali būti kompensuojamos, nustatomos 5.1 punkte nustatyta tvarka, įvertinus naudojamo kuro normines sąnaudas (C</w:t>
      </w:r>
      <w:r>
        <w:rPr>
          <w:color w:val="000000"/>
          <w:vertAlign w:val="subscript"/>
        </w:rPr>
        <w:t>k</w:t>
      </w:r>
      <w:r>
        <w:rPr>
          <w:color w:val="000000"/>
        </w:rPr>
        <w:t xml:space="preserve">) bei kuro deginimo prietaisų naudingo veikimo koeficientą </w:t>
      </w:r>
      <w:r>
        <w:rPr>
          <w:smallCaps/>
          <w:color w:val="000000"/>
        </w:rPr>
        <w:t>(</w:t>
        <w:sym w:font="Symbol" w:char="F068"/>
      </w:r>
      <w:r>
        <w:rPr>
          <w:color w:val="000000"/>
          <w:vertAlign w:val="subscript"/>
        </w:rPr>
        <w:t>k</w:t>
      </w:r>
      <w:r>
        <w:rPr>
          <w:smallCaps/>
          <w:color w:val="000000"/>
        </w:rPr>
        <w:t>):</w:t>
      </w:r>
    </w:p>
    <w:p>
      <w:pPr>
        <w:ind w:firstLine="709"/>
        <w:jc w:val="both"/>
        <w:rPr>
          <w:color w:val="000000"/>
        </w:rPr>
      </w:pPr>
    </w:p>
    <w:tbl>
      <w:tblPr>
        <w:tblW w:w="9832" w:type="dxa"/>
        <w:tblLook w:val="01E0" w:firstRow="1" w:lastRow="1" w:firstColumn="1" w:lastColumn="1" w:noHBand="0" w:noVBand="0"/>
      </w:tblPr>
      <w:tblGrid>
        <w:gridCol w:w="7588"/>
        <w:gridCol w:w="2244"/>
      </w:tblGrid>
      <w:tr>
        <w:tc>
          <w:tcPr>
            <w:tcW w:w="7588" w:type="dxa"/>
          </w:tcPr>
          <w:p>
            <w:pPr>
              <w:ind w:firstLine="709"/>
              <w:jc w:val="both"/>
              <w:rPr>
                <w:color w:val="000000"/>
                <w:szCs w:val="24"/>
              </w:rPr>
            </w:pPr>
            <w:r>
              <w:rPr>
                <w:color w:val="000000"/>
                <w:szCs w:val="24"/>
              </w:rPr>
              <w:t>šildymui g</w:t>
            </w:r>
            <w:r>
              <w:rPr>
                <w:color w:val="000000"/>
                <w:szCs w:val="24"/>
                <w:vertAlign w:val="subscript"/>
              </w:rPr>
              <w:t>Šk</w:t>
            </w:r>
            <w:r>
              <w:rPr>
                <w:color w:val="000000"/>
                <w:szCs w:val="24"/>
              </w:rPr>
              <w:t xml:space="preserve"> = q</w:t>
            </w:r>
            <w:r>
              <w:rPr>
                <w:color w:val="000000"/>
                <w:szCs w:val="24"/>
                <w:vertAlign w:val="subscript"/>
              </w:rPr>
              <w:t>Še</w:t>
            </w:r>
            <w:r>
              <w:rPr>
                <w:color w:val="000000"/>
                <w:szCs w:val="24"/>
              </w:rPr>
              <w:t xml:space="preserve"> x C</w:t>
            </w:r>
            <w:r>
              <w:rPr>
                <w:color w:val="000000"/>
                <w:szCs w:val="24"/>
                <w:vertAlign w:val="subscript"/>
              </w:rPr>
              <w:t>k</w:t>
            </w:r>
            <w:r>
              <w:rPr>
                <w:color w:val="000000"/>
                <w:szCs w:val="24"/>
              </w:rPr>
              <w:t>/</w:t>
            </w:r>
            <w:r>
              <w:rPr>
                <w:smallCaps/>
                <w:color w:val="000000"/>
                <w:szCs w:val="24"/>
              </w:rPr>
              <w:sym w:font="Symbol" w:char="F068"/>
            </w:r>
            <w:r>
              <w:rPr>
                <w:color w:val="000000"/>
                <w:szCs w:val="24"/>
                <w:vertAlign w:val="subscript"/>
              </w:rPr>
              <w:t>k</w:t>
            </w:r>
          </w:p>
        </w:tc>
        <w:tc>
          <w:tcPr>
            <w:tcW w:w="2244" w:type="dxa"/>
          </w:tcPr>
          <w:p>
            <w:pPr>
              <w:rPr>
                <w:color w:val="000000"/>
                <w:szCs w:val="24"/>
              </w:rPr>
            </w:pPr>
            <w:r>
              <w:rPr>
                <w:color w:val="000000"/>
                <w:szCs w:val="24"/>
              </w:rPr>
              <w:t>kg*/m</w:t>
            </w:r>
            <w:r>
              <w:rPr>
                <w:color w:val="000000"/>
                <w:szCs w:val="24"/>
                <w:vertAlign w:val="superscript"/>
              </w:rPr>
              <w:t>2</w:t>
            </w:r>
            <w:r>
              <w:rPr>
                <w:color w:val="000000"/>
                <w:szCs w:val="24"/>
              </w:rPr>
              <w:t xml:space="preserve"> per mėn.</w:t>
            </w:r>
          </w:p>
        </w:tc>
      </w:tr>
      <w:tr>
        <w:tc>
          <w:tcPr>
            <w:tcW w:w="7588" w:type="dxa"/>
          </w:tcPr>
          <w:p>
            <w:pPr>
              <w:ind w:firstLine="709"/>
              <w:jc w:val="both"/>
              <w:rPr>
                <w:color w:val="000000"/>
                <w:szCs w:val="24"/>
              </w:rPr>
            </w:pPr>
            <w:r>
              <w:rPr>
                <w:color w:val="000000"/>
                <w:szCs w:val="24"/>
              </w:rPr>
              <w:t>karštam vandeniui:</w:t>
            </w:r>
          </w:p>
        </w:tc>
        <w:tc>
          <w:tcPr>
            <w:tcW w:w="2244" w:type="dxa"/>
          </w:tcPr>
          <w:p>
            <w:pPr>
              <w:rPr>
                <w:color w:val="000000"/>
                <w:szCs w:val="24"/>
              </w:rPr>
            </w:pPr>
          </w:p>
        </w:tc>
      </w:tr>
      <w:tr>
        <w:tc>
          <w:tcPr>
            <w:tcW w:w="7588" w:type="dxa"/>
          </w:tcPr>
          <w:p>
            <w:pPr>
              <w:ind w:firstLine="709"/>
              <w:jc w:val="both"/>
              <w:rPr>
                <w:color w:val="000000"/>
                <w:szCs w:val="24"/>
              </w:rPr>
            </w:pPr>
            <w:r>
              <w:rPr>
                <w:color w:val="000000"/>
                <w:szCs w:val="24"/>
              </w:rPr>
              <w:t>šalto vandens pašildymui g</w:t>
            </w:r>
            <w:r>
              <w:rPr>
                <w:color w:val="000000"/>
                <w:szCs w:val="24"/>
                <w:vertAlign w:val="subscript"/>
              </w:rPr>
              <w:t>Kvk</w:t>
            </w:r>
            <w:r>
              <w:rPr>
                <w:color w:val="000000"/>
                <w:szCs w:val="24"/>
              </w:rPr>
              <w:t xml:space="preserve"> = q</w:t>
            </w:r>
            <w:r>
              <w:rPr>
                <w:color w:val="000000"/>
                <w:szCs w:val="24"/>
                <w:vertAlign w:val="subscript"/>
              </w:rPr>
              <w:t>Kve</w:t>
            </w:r>
            <w:r>
              <w:rPr>
                <w:color w:val="000000"/>
                <w:szCs w:val="24"/>
              </w:rPr>
              <w:t xml:space="preserve"> x C</w:t>
            </w:r>
            <w:r>
              <w:rPr>
                <w:color w:val="000000"/>
                <w:szCs w:val="24"/>
                <w:vertAlign w:val="subscript"/>
              </w:rPr>
              <w:t>k</w:t>
            </w:r>
            <w:r>
              <w:rPr>
                <w:color w:val="000000"/>
                <w:szCs w:val="24"/>
              </w:rPr>
              <w:t>/</w:t>
            </w:r>
            <w:r>
              <w:rPr>
                <w:smallCaps/>
                <w:color w:val="000000"/>
                <w:szCs w:val="24"/>
              </w:rPr>
              <w:sym w:font="Symbol" w:char="F068"/>
            </w:r>
            <w:r>
              <w:rPr>
                <w:color w:val="000000"/>
                <w:szCs w:val="24"/>
                <w:vertAlign w:val="subscript"/>
              </w:rPr>
              <w:t>k</w:t>
            </w:r>
          </w:p>
        </w:tc>
        <w:tc>
          <w:tcPr>
            <w:tcW w:w="2244" w:type="dxa"/>
          </w:tcPr>
          <w:p>
            <w:pPr>
              <w:rPr>
                <w:color w:val="000000"/>
                <w:szCs w:val="24"/>
              </w:rPr>
            </w:pPr>
            <w:r>
              <w:rPr>
                <w:color w:val="000000"/>
                <w:szCs w:val="24"/>
              </w:rPr>
              <w:t>kg*/m</w:t>
            </w:r>
            <w:r>
              <w:rPr>
                <w:color w:val="000000"/>
                <w:szCs w:val="24"/>
                <w:vertAlign w:val="superscript"/>
              </w:rPr>
              <w:t>3</w:t>
            </w:r>
          </w:p>
        </w:tc>
      </w:tr>
      <w:tr>
        <w:tc>
          <w:tcPr>
            <w:tcW w:w="7588" w:type="dxa"/>
          </w:tcPr>
          <w:p>
            <w:pPr>
              <w:ind w:firstLine="709"/>
              <w:jc w:val="both"/>
              <w:rPr>
                <w:color w:val="000000"/>
                <w:spacing w:val="-2"/>
                <w:szCs w:val="24"/>
              </w:rPr>
            </w:pPr>
            <w:r>
              <w:rPr>
                <w:color w:val="000000"/>
                <w:spacing w:val="-2"/>
                <w:szCs w:val="24"/>
              </w:rPr>
              <w:t>karšto vandens temperatūros palaikymui (cirkuliacijai) g</w:t>
            </w:r>
            <w:r>
              <w:rPr>
                <w:color w:val="000000"/>
                <w:spacing w:val="-2"/>
                <w:szCs w:val="24"/>
                <w:vertAlign w:val="subscript"/>
              </w:rPr>
              <w:t>Rk</w:t>
            </w:r>
            <w:r>
              <w:rPr>
                <w:color w:val="000000"/>
                <w:spacing w:val="-2"/>
                <w:szCs w:val="24"/>
              </w:rPr>
              <w:t xml:space="preserve"> = q</w:t>
            </w:r>
            <w:r>
              <w:rPr>
                <w:color w:val="000000"/>
                <w:spacing w:val="-2"/>
                <w:szCs w:val="24"/>
                <w:vertAlign w:val="subscript"/>
              </w:rPr>
              <w:t>Re</w:t>
            </w:r>
            <w:r>
              <w:rPr>
                <w:color w:val="000000"/>
                <w:spacing w:val="-2"/>
                <w:szCs w:val="24"/>
              </w:rPr>
              <w:t xml:space="preserve"> x C</w:t>
            </w:r>
            <w:r>
              <w:rPr>
                <w:color w:val="000000"/>
                <w:spacing w:val="-2"/>
                <w:szCs w:val="24"/>
                <w:vertAlign w:val="subscript"/>
              </w:rPr>
              <w:t>k</w:t>
            </w:r>
            <w:r>
              <w:rPr>
                <w:color w:val="000000"/>
                <w:spacing w:val="-2"/>
                <w:szCs w:val="24"/>
              </w:rPr>
              <w:t>/</w:t>
            </w:r>
            <w:r>
              <w:rPr>
                <w:smallCaps/>
                <w:color w:val="000000"/>
                <w:spacing w:val="-2"/>
                <w:szCs w:val="24"/>
              </w:rPr>
              <w:sym w:font="Symbol" w:char="F068"/>
            </w:r>
            <w:r>
              <w:rPr>
                <w:color w:val="000000"/>
                <w:spacing w:val="-2"/>
                <w:szCs w:val="24"/>
                <w:vertAlign w:val="subscript"/>
              </w:rPr>
              <w:t>k</w:t>
            </w:r>
          </w:p>
        </w:tc>
        <w:tc>
          <w:tcPr>
            <w:tcW w:w="2244" w:type="dxa"/>
          </w:tcPr>
          <w:p>
            <w:pPr>
              <w:rPr>
                <w:color w:val="000000"/>
                <w:szCs w:val="24"/>
              </w:rPr>
            </w:pPr>
            <w:r>
              <w:rPr>
                <w:color w:val="000000"/>
                <w:szCs w:val="24"/>
              </w:rPr>
              <w:t>kg*/būstui per mėn.</w:t>
            </w:r>
          </w:p>
        </w:tc>
      </w:tr>
    </w:tbl>
    <w:p>
      <w:pPr>
        <w:widowControl w:val="0"/>
        <w:ind w:firstLine="709"/>
        <w:jc w:val="both"/>
        <w:rPr>
          <w:color w:val="000000"/>
        </w:rPr>
      </w:pPr>
      <w:r>
        <w:rPr>
          <w:color w:val="000000"/>
        </w:rPr>
        <w:t>čia C</w:t>
      </w:r>
      <w:r>
        <w:rPr>
          <w:color w:val="000000"/>
          <w:vertAlign w:val="subscript"/>
        </w:rPr>
        <w:t>k</w:t>
      </w:r>
      <w:r>
        <w:rPr>
          <w:color w:val="000000"/>
        </w:rPr>
        <w:t xml:space="preserve"> – norminės kuro sąnaudos kg*/kWh nustatomos iš 10 punkto 4 lentelės;</w:t>
      </w:r>
    </w:p>
    <w:p>
      <w:pPr>
        <w:widowControl w:val="0"/>
        <w:ind w:firstLine="709"/>
        <w:jc w:val="both"/>
        <w:rPr>
          <w:color w:val="000000"/>
        </w:rPr>
      </w:pPr>
      <w:r>
        <w:rPr>
          <w:smallCaps/>
          <w:color w:val="000000"/>
        </w:rPr>
        <w:sym w:font="Symbol" w:char="F068"/>
      </w:r>
      <w:r>
        <w:rPr>
          <w:color w:val="000000"/>
          <w:vertAlign w:val="subscript"/>
        </w:rPr>
        <w:t>k</w:t>
      </w:r>
      <w:r>
        <w:rPr>
          <w:i/>
          <w:iCs/>
          <w:color w:val="000000"/>
        </w:rPr>
        <w:t xml:space="preserve"> – </w:t>
      </w:r>
      <w:r>
        <w:rPr>
          <w:color w:val="000000"/>
        </w:rPr>
        <w:t>kuro deginimo prietaisų nvk pagal techninę dokumentaciją arba 0,7 – kai jos nėra;</w:t>
      </w:r>
    </w:p>
    <w:p>
      <w:pPr>
        <w:widowControl w:val="0"/>
        <w:ind w:firstLine="709"/>
        <w:jc w:val="both"/>
        <w:rPr>
          <w:color w:val="000000"/>
        </w:rPr>
      </w:pPr>
      <w:r>
        <w:rPr>
          <w:color w:val="000000"/>
        </w:rPr>
        <w:t>* – dimensija gali būti ir kitokia.</w:t>
      </w:r>
    </w:p>
    <w:p>
      <w:pPr>
        <w:ind w:firstLine="709"/>
        <w:jc w:val="both"/>
        <w:rPr>
          <w:color w:val="000000"/>
        </w:rPr>
      </w:pPr>
    </w:p>
    <w:p>
      <w:pPr>
        <w:widowControl w:val="0"/>
        <w:ind w:firstLine="709"/>
        <w:jc w:val="both"/>
        <w:rPr>
          <w:color w:val="000000"/>
        </w:rPr>
      </w:pPr>
      <w:r>
        <w:rPr>
          <w:color w:val="000000"/>
        </w:rPr>
        <w:t>5.2.1</w:t>
      </w:r>
      <w:r>
        <w:rPr>
          <w:color w:val="000000"/>
        </w:rPr>
        <w:t>. Kai šilumos reikmėms sunaudotas faktinis kuro kiekis apskaitos prietaisais nenustatomas, kompensacijos skaičiuojamos rečiau negu kartą per mėnesį, kuro sąnaudos būstui šildyti ir karštam vandeniui ruošti, kurios gali būti kompensuojamos, nustatomos taikant vidutinius šilumos sąnaudų normatyvus, nustatytus standartinėmis sąlygomis.</w:t>
      </w:r>
    </w:p>
    <w:p>
      <w:pPr>
        <w:widowControl w:val="0"/>
        <w:ind w:firstLine="709"/>
        <w:jc w:val="both"/>
        <w:rPr>
          <w:color w:val="000000"/>
        </w:rPr>
      </w:pPr>
      <w:r>
        <w:rPr>
          <w:color w:val="000000"/>
        </w:rPr>
        <w:t>5.2.2</w:t>
      </w:r>
      <w:r>
        <w:rPr>
          <w:color w:val="000000"/>
        </w:rPr>
        <w:t>. Kuro rūšių vidutinės normatyvinės sąnaudos būsto šildymui (g</w:t>
      </w:r>
      <w:r>
        <w:rPr>
          <w:color w:val="000000"/>
          <w:vertAlign w:val="subscript"/>
        </w:rPr>
        <w:t>Šk</w:t>
      </w:r>
      <w:r>
        <w:rPr>
          <w:color w:val="000000"/>
        </w:rPr>
        <w:t>) bei šalto vandens pašildymui (g</w:t>
      </w:r>
      <w:r>
        <w:rPr>
          <w:color w:val="000000"/>
          <w:vertAlign w:val="subscript"/>
        </w:rPr>
        <w:t>Kvk</w:t>
      </w:r>
      <w:r>
        <w:rPr>
          <w:color w:val="000000"/>
        </w:rPr>
        <w:t>), kurios gali būti kompensuojamos, taikomos bet kuriuo atveju, o karšto vandens temperatūros palaikymui (cirkuliacijai g</w:t>
      </w:r>
      <w:r>
        <w:rPr>
          <w:color w:val="000000"/>
          <w:vertAlign w:val="subscript"/>
        </w:rPr>
        <w:t>Rk</w:t>
      </w:r>
      <w:r>
        <w:rPr>
          <w:color w:val="000000"/>
        </w:rPr>
        <w:t>) – pateikus projektą ir įrengimą patvirtinančius dokumentus.</w:t>
      </w:r>
    </w:p>
    <w:p>
      <w:pPr>
        <w:widowControl w:val="0"/>
        <w:ind w:firstLine="709"/>
        <w:jc w:val="both"/>
        <w:rPr>
          <w:color w:val="000000"/>
        </w:rPr>
      </w:pPr>
      <w:r>
        <w:rPr>
          <w:color w:val="000000"/>
        </w:rPr>
        <w:t>6</w:t>
      </w:r>
      <w:r>
        <w:rPr>
          <w:color w:val="000000"/>
        </w:rPr>
        <w:t>. Maksimalūs ir vidutiniai energijos sąnaudų normatyvai (q</w:t>
      </w:r>
      <w:r>
        <w:rPr>
          <w:color w:val="000000"/>
          <w:vertAlign w:val="subscript"/>
        </w:rPr>
        <w:t>Še</w:t>
      </w:r>
      <w:r>
        <w:rPr>
          <w:color w:val="000000"/>
        </w:rPr>
        <w:t>) būstui šildyti pateikiami 1 lentelėje:</w:t>
      </w:r>
    </w:p>
    <w:p>
      <w:pPr>
        <w:ind w:firstLine="709"/>
        <w:jc w:val="both"/>
        <w:rPr>
          <w:color w:val="000000"/>
        </w:rPr>
      </w:pPr>
    </w:p>
    <w:p>
      <w:pPr>
        <w:widowControl w:val="0"/>
        <w:ind w:firstLine="709"/>
        <w:jc w:val="both"/>
        <w:rPr>
          <w:color w:val="000000"/>
        </w:rPr>
      </w:pPr>
      <w:r>
        <w:rPr>
          <w:color w:val="000000"/>
        </w:rPr>
        <w:t>1 lentelė</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185"/>
        <w:gridCol w:w="2726"/>
        <w:gridCol w:w="2726"/>
      </w:tblGrid>
      <w:tr>
        <w:trPr>
          <w:cantSplit/>
          <w:trHeight w:val="23"/>
        </w:trPr>
        <w:tc>
          <w:tcPr>
            <w:tcW w:w="3960" w:type="dxa"/>
            <w:tcBorders>
              <w:top w:val="single" w:sz="6" w:space="0" w:color="auto"/>
              <w:left w:val="nil"/>
              <w:bottom w:val="single" w:sz="6" w:space="0" w:color="auto"/>
              <w:right w:val="single" w:sz="6" w:space="0" w:color="auto"/>
            </w:tcBorders>
            <w:shd w:val="clear" w:color="auto" w:fill="FFFFFF"/>
          </w:tcPr>
          <w:p>
            <w:pPr>
              <w:widowControl w:val="0"/>
              <w:rPr>
                <w:color w:val="000000"/>
                <w:sz w:val="20"/>
              </w:rPr>
            </w:pPr>
            <w:r>
              <w:rPr>
                <w:i/>
                <w:iCs/>
                <w:color w:val="000000"/>
                <w:sz w:val="20"/>
              </w:rPr>
              <w:t>Namų tipai</w:t>
            </w:r>
          </w:p>
        </w:tc>
        <w:tc>
          <w:tcPr>
            <w:tcW w:w="25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Maksimalūs energijos sąnaudų normatyvai būsto šildymui q</w:t>
            </w:r>
            <w:r>
              <w:rPr>
                <w:color w:val="000000"/>
                <w:sz w:val="20"/>
                <w:vertAlign w:val="subscript"/>
              </w:rPr>
              <w:t>Še0max</w:t>
            </w:r>
            <w:r>
              <w:rPr>
                <w:color w:val="000000"/>
                <w:sz w:val="20"/>
              </w:rPr>
              <w:t xml:space="preserve"> kWh/m</w:t>
            </w:r>
            <w:r>
              <w:rPr>
                <w:color w:val="000000"/>
                <w:sz w:val="20"/>
                <w:vertAlign w:val="superscript"/>
              </w:rPr>
              <w:t>2</w:t>
            </w:r>
            <w:r>
              <w:rPr>
                <w:color w:val="000000"/>
                <w:sz w:val="20"/>
              </w:rPr>
              <w:t xml:space="preserve"> per mėn.</w:t>
            </w:r>
          </w:p>
        </w:tc>
        <w:tc>
          <w:tcPr>
            <w:tcW w:w="2580" w:type="dxa"/>
            <w:tcBorders>
              <w:top w:val="single" w:sz="6" w:space="0" w:color="auto"/>
              <w:left w:val="single" w:sz="6" w:space="0" w:color="auto"/>
              <w:bottom w:val="single" w:sz="6" w:space="0" w:color="auto"/>
              <w:right w:val="nil"/>
            </w:tcBorders>
            <w:shd w:val="clear" w:color="auto" w:fill="FFFFFF"/>
          </w:tcPr>
          <w:p>
            <w:pPr>
              <w:widowControl w:val="0"/>
              <w:rPr>
                <w:color w:val="000000"/>
                <w:sz w:val="20"/>
              </w:rPr>
            </w:pPr>
            <w:r>
              <w:rPr>
                <w:color w:val="000000"/>
                <w:sz w:val="20"/>
              </w:rPr>
              <w:t>Vidutiniai energijos sąnaudų normatyvai būsto šildymui q</w:t>
            </w:r>
            <w:r>
              <w:rPr>
                <w:color w:val="000000"/>
                <w:sz w:val="20"/>
                <w:vertAlign w:val="subscript"/>
              </w:rPr>
              <w:t>Še0vidut</w:t>
            </w:r>
            <w:r>
              <w:rPr>
                <w:color w:val="000000"/>
                <w:sz w:val="20"/>
              </w:rPr>
              <w:t xml:space="preserve"> kWh/m</w:t>
            </w:r>
            <w:r>
              <w:rPr>
                <w:color w:val="000000"/>
                <w:sz w:val="20"/>
                <w:vertAlign w:val="superscript"/>
              </w:rPr>
              <w:t>2</w:t>
            </w:r>
            <w:r>
              <w:rPr>
                <w:color w:val="000000"/>
                <w:sz w:val="20"/>
              </w:rPr>
              <w:t xml:space="preserve"> per mėn.</w:t>
            </w:r>
          </w:p>
        </w:tc>
      </w:tr>
      <w:tr>
        <w:trPr>
          <w:cantSplit/>
          <w:trHeight w:val="23"/>
        </w:trPr>
        <w:tc>
          <w:tcPr>
            <w:tcW w:w="9120" w:type="dxa"/>
            <w:gridSpan w:val="3"/>
            <w:tcBorders>
              <w:top w:val="single" w:sz="6" w:space="0" w:color="auto"/>
              <w:left w:val="nil"/>
              <w:bottom w:val="single" w:sz="6" w:space="0" w:color="auto"/>
              <w:right w:val="single" w:sz="6" w:space="0" w:color="auto"/>
            </w:tcBorders>
            <w:shd w:val="clear" w:color="auto" w:fill="FFFFFF"/>
          </w:tcPr>
          <w:p>
            <w:pPr>
              <w:widowControl w:val="0"/>
              <w:rPr>
                <w:color w:val="000000"/>
                <w:sz w:val="20"/>
              </w:rPr>
            </w:pPr>
            <w:r>
              <w:rPr>
                <w:color w:val="000000"/>
                <w:sz w:val="20"/>
              </w:rPr>
              <w:t>Gyvenamieji namai, pastatyti iki 1992 metų bei ne pagal RSN 143-92 ir STR 2.05.01:2005 reikalavimus</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Vieno aukšto, vienbučiai ir daugiabučiai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52</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36</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Vieno-dviejų aukštų, vienbučiai ir daugiabučiai, įskaitant mansardas</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50</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35</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Dviejų aukštų daugiabučiai blokuoti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44</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31</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3–4 aukštų, daugiabučiai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38</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27</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5 aukštų daugiabučiai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34</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24</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6 aukštų ir aukštesni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35</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25</w:t>
            </w:r>
          </w:p>
        </w:tc>
      </w:tr>
      <w:tr>
        <w:trPr>
          <w:cantSplit/>
          <w:trHeight w:val="23"/>
        </w:trPr>
        <w:tc>
          <w:tcPr>
            <w:tcW w:w="9120" w:type="dxa"/>
            <w:gridSpan w:val="3"/>
            <w:tcBorders>
              <w:top w:val="nil"/>
              <w:left w:val="nil"/>
              <w:bottom w:val="nil"/>
              <w:right w:val="nil"/>
            </w:tcBorders>
            <w:shd w:val="clear" w:color="auto" w:fill="FFFFFF"/>
          </w:tcPr>
          <w:p>
            <w:pPr>
              <w:widowControl w:val="0"/>
              <w:rPr>
                <w:color w:val="000000"/>
                <w:sz w:val="20"/>
              </w:rPr>
            </w:pPr>
            <w:r>
              <w:rPr>
                <w:color w:val="000000"/>
                <w:sz w:val="20"/>
              </w:rPr>
              <w:t>Gyvenamieji namai, pastatyti pagal RSN 143-92 ir STR 2.05.01:2005 reikalavimus</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Vieno aukšto, vienbučiai ir daugiabučiai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31</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21</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Vieno-dviejų aukštų, vienbučiai ir daugiabučiai, įskaitant mansardas</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30</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21</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Dviejų aukštų daugiabučiai blokuoti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26</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18</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3–4 aukštų</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23</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16</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5 aukštų</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21</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15</w:t>
            </w:r>
          </w:p>
        </w:tc>
      </w:tr>
      <w:tr>
        <w:trPr>
          <w:cantSplit/>
          <w:trHeight w:val="23"/>
        </w:trPr>
        <w:tc>
          <w:tcPr>
            <w:tcW w:w="3960" w:type="dxa"/>
            <w:tcBorders>
              <w:top w:val="nil"/>
              <w:left w:val="nil"/>
              <w:bottom w:val="nil"/>
              <w:right w:val="nil"/>
            </w:tcBorders>
            <w:shd w:val="clear" w:color="auto" w:fill="FFFFFF"/>
          </w:tcPr>
          <w:p>
            <w:pPr>
              <w:widowControl w:val="0"/>
              <w:rPr>
                <w:color w:val="000000"/>
                <w:sz w:val="20"/>
              </w:rPr>
            </w:pPr>
            <w:r>
              <w:rPr>
                <w:color w:val="000000"/>
                <w:sz w:val="20"/>
              </w:rPr>
              <w:t>6 aukštų ir aukštesni</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21</w:t>
            </w:r>
          </w:p>
        </w:tc>
        <w:tc>
          <w:tcPr>
            <w:tcW w:w="2580" w:type="dxa"/>
            <w:tcBorders>
              <w:top w:val="nil"/>
              <w:left w:val="nil"/>
              <w:bottom w:val="nil"/>
              <w:right w:val="nil"/>
            </w:tcBorders>
            <w:shd w:val="clear" w:color="auto" w:fill="FFFFFF"/>
          </w:tcPr>
          <w:p>
            <w:pPr>
              <w:widowControl w:val="0"/>
              <w:rPr>
                <w:color w:val="000000"/>
                <w:sz w:val="20"/>
              </w:rPr>
            </w:pPr>
            <w:r>
              <w:rPr>
                <w:color w:val="000000"/>
                <w:sz w:val="20"/>
              </w:rPr>
              <w:t>15</w:t>
            </w:r>
          </w:p>
        </w:tc>
      </w:tr>
    </w:tbl>
    <w:p>
      <w:pPr>
        <w:widowControl w:val="0"/>
        <w:ind w:firstLine="709"/>
        <w:jc w:val="both"/>
        <w:rPr>
          <w:color w:val="000000"/>
        </w:rPr>
      </w:pPr>
    </w:p>
    <w:p>
      <w:pPr>
        <w:widowControl w:val="0"/>
        <w:ind w:firstLine="709"/>
        <w:jc w:val="both"/>
        <w:rPr>
          <w:color w:val="000000"/>
        </w:rPr>
      </w:pPr>
      <w:r>
        <w:rPr>
          <w:color w:val="000000"/>
        </w:rPr>
        <w:t>6.1</w:t>
      </w:r>
      <w:r>
        <w:rPr>
          <w:color w:val="000000"/>
        </w:rPr>
        <w:t>. Maksimalūs (q</w:t>
      </w:r>
      <w:r>
        <w:rPr>
          <w:color w:val="000000"/>
          <w:vertAlign w:val="subscript"/>
        </w:rPr>
        <w:t>Še0mx</w:t>
      </w:r>
      <w:r>
        <w:rPr>
          <w:color w:val="000000"/>
        </w:rPr>
        <w:t>) ir vidutiniai (q</w:t>
      </w:r>
      <w:r>
        <w:rPr>
          <w:color w:val="000000"/>
          <w:vertAlign w:val="subscript"/>
        </w:rPr>
        <w:t>Še0vidut</w:t>
      </w:r>
      <w:r>
        <w:rPr>
          <w:color w:val="000000"/>
        </w:rPr>
        <w:t>) energijos sąnaudų normatyvai būsto šildymui nustatyti esant tokioms standartinėms sąlygoms: ataskaitinio laikotarpio (mėnesio) vidutinė išorės oro temperatūra 0°C, butų (patalpų) aukštis nuo grindų iki lubų 2,5 m, ataskaitinio laikotarpio (mėnesio) vidutinė trukmė 30,4 paros (730 valandų), ataskaitinio laikotarpio (mėnesio) vidutinė vidaus patalpų temperatūra + 18°C.</w:t>
      </w:r>
    </w:p>
    <w:p>
      <w:pPr>
        <w:widowControl w:val="0"/>
        <w:ind w:firstLine="709"/>
        <w:jc w:val="both"/>
        <w:rPr>
          <w:color w:val="000000"/>
        </w:rPr>
      </w:pPr>
      <w:r>
        <w:rPr>
          <w:color w:val="000000"/>
        </w:rPr>
        <w:t>6.2</w:t>
      </w:r>
      <w:r>
        <w:rPr>
          <w:color w:val="000000"/>
        </w:rPr>
        <w:t>. Kai faktinės sąlygos skiriasi nuo standartinių, maksimalūs ir vidutiniai energijos sąnaudų normatyvai skaičiuojami:</w:t>
      </w:r>
    </w:p>
    <w:p>
      <w:pPr>
        <w:widowControl w:val="0"/>
        <w:ind w:firstLine="709"/>
        <w:jc w:val="both"/>
        <w:rPr>
          <w:color w:val="000000"/>
        </w:rPr>
      </w:pPr>
      <w:r>
        <w:rPr>
          <w:color w:val="000000"/>
        </w:rPr>
        <w:t>6.2.1</w:t>
      </w:r>
      <w:r>
        <w:rPr>
          <w:color w:val="000000"/>
        </w:rPr>
        <w:t>. faktinė ataskaitinio laikotarpio (mėnesio) išorės oro vidutinė temperatūra, įvertinama koeficientu k</w:t>
      </w:r>
      <w:r>
        <w:rPr>
          <w:color w:val="000000"/>
          <w:vertAlign w:val="subscript"/>
        </w:rPr>
        <w:t>t</w:t>
      </w:r>
      <w:r>
        <w:rPr>
          <w:color w:val="000000"/>
        </w:rPr>
        <w:t>:</w:t>
      </w:r>
    </w:p>
    <w:p>
      <w:pPr>
        <w:ind w:firstLine="709"/>
        <w:jc w:val="both"/>
        <w:rPr>
          <w:color w:val="000000"/>
        </w:rPr>
      </w:pPr>
    </w:p>
    <w:p>
      <w:pPr>
        <w:widowControl w:val="0"/>
        <w:ind w:firstLine="709"/>
        <w:jc w:val="both"/>
        <w:rPr>
          <w:color w:val="000000"/>
        </w:rPr>
      </w:pPr>
      <w:r>
        <w:rPr>
          <w:color w:val="000000"/>
        </w:rPr>
        <w:t>k</w:t>
      </w:r>
      <w:r>
        <w:rPr>
          <w:color w:val="000000"/>
          <w:vertAlign w:val="subscript"/>
        </w:rPr>
        <w:t>t</w:t>
      </w:r>
      <w:r>
        <w:rPr>
          <w:color w:val="000000"/>
        </w:rPr>
        <w:t xml:space="preserve"> = (1 – t</w:t>
      </w:r>
      <w:r>
        <w:rPr>
          <w:color w:val="000000"/>
          <w:vertAlign w:val="subscript"/>
        </w:rPr>
        <w:t>iš</w:t>
      </w:r>
      <w:r>
        <w:rPr>
          <w:color w:val="000000"/>
        </w:rPr>
        <w:t xml:space="preserve"> / 18)</w:t>
      </w:r>
    </w:p>
    <w:p>
      <w:pPr>
        <w:ind w:firstLine="709"/>
        <w:jc w:val="both"/>
        <w:rPr>
          <w:color w:val="000000"/>
        </w:rPr>
      </w:pPr>
    </w:p>
    <w:p>
      <w:pPr>
        <w:widowControl w:val="0"/>
        <w:ind w:firstLine="709"/>
        <w:jc w:val="both"/>
        <w:rPr>
          <w:color w:val="000000"/>
        </w:rPr>
      </w:pPr>
      <w:r>
        <w:rPr>
          <w:color w:val="000000"/>
        </w:rPr>
        <w:t>čia t</w:t>
      </w:r>
      <w:r>
        <w:rPr>
          <w:color w:val="000000"/>
          <w:vertAlign w:val="subscript"/>
        </w:rPr>
        <w:t>iš</w:t>
      </w:r>
      <w:r>
        <w:rPr>
          <w:color w:val="000000"/>
        </w:rPr>
        <w:t xml:space="preserve"> – ataskaitinio laikotarpio (mėnesio) vidutinė išorės oro temperatūra, pateikta Lietuvos hidrometeorologinės tarnybos, ±°C;</w:t>
      </w:r>
    </w:p>
    <w:p>
      <w:pPr>
        <w:widowControl w:val="0"/>
        <w:ind w:firstLine="709"/>
        <w:jc w:val="both"/>
        <w:rPr>
          <w:color w:val="000000"/>
        </w:rPr>
      </w:pPr>
      <w:r>
        <w:rPr>
          <w:color w:val="000000"/>
        </w:rPr>
        <w:t>6.2.2</w:t>
      </w:r>
      <w:r>
        <w:rPr>
          <w:color w:val="000000"/>
        </w:rPr>
        <w:t>. faktinis butų (patalpų) aukštis, įvertinamas koeficientu k</w:t>
      </w:r>
      <w:r>
        <w:rPr>
          <w:color w:val="000000"/>
          <w:vertAlign w:val="subscript"/>
        </w:rPr>
        <w:t>H</w:t>
      </w:r>
      <w:r>
        <w:rPr>
          <w:color w:val="000000"/>
        </w:rPr>
        <w:t>:</w:t>
      </w:r>
    </w:p>
    <w:p>
      <w:pPr>
        <w:ind w:firstLine="709"/>
        <w:jc w:val="both"/>
        <w:rPr>
          <w:color w:val="000000"/>
        </w:rPr>
      </w:pPr>
    </w:p>
    <w:p>
      <w:pPr>
        <w:widowControl w:val="0"/>
        <w:ind w:firstLine="709"/>
        <w:jc w:val="both"/>
        <w:rPr>
          <w:color w:val="000000"/>
        </w:rPr>
      </w:pPr>
      <w:r>
        <w:rPr>
          <w:color w:val="000000"/>
        </w:rPr>
        <w:t>k</w:t>
      </w:r>
      <w:r>
        <w:rPr>
          <w:color w:val="000000"/>
          <w:vertAlign w:val="subscript"/>
        </w:rPr>
        <w:t>H</w:t>
      </w:r>
      <w:r>
        <w:rPr>
          <w:color w:val="000000"/>
        </w:rPr>
        <w:t xml:space="preserve"> = H / 2,5</w:t>
      </w:r>
    </w:p>
    <w:p>
      <w:pPr>
        <w:ind w:firstLine="709"/>
        <w:jc w:val="both"/>
        <w:rPr>
          <w:color w:val="000000"/>
        </w:rPr>
      </w:pPr>
    </w:p>
    <w:p>
      <w:pPr>
        <w:widowControl w:val="0"/>
        <w:ind w:firstLine="709"/>
        <w:jc w:val="both"/>
        <w:rPr>
          <w:color w:val="000000"/>
        </w:rPr>
      </w:pPr>
      <w:r>
        <w:rPr>
          <w:color w:val="000000"/>
        </w:rPr>
        <w:t>čia H – faktinis butų (patalpų) aukštis nuo grindų iki lubų, m;</w:t>
      </w:r>
    </w:p>
    <w:p>
      <w:pPr>
        <w:widowControl w:val="0"/>
        <w:ind w:firstLine="709"/>
        <w:jc w:val="both"/>
        <w:rPr>
          <w:color w:val="000000"/>
        </w:rPr>
      </w:pPr>
      <w:r>
        <w:rPr>
          <w:color w:val="000000"/>
        </w:rPr>
        <w:t>6.2.3</w:t>
      </w:r>
      <w:r>
        <w:rPr>
          <w:color w:val="000000"/>
        </w:rPr>
        <w:t>. faktinė ataskaitinio laikotarpio (mėnesio) trukmė, įvertinama koeficientu k</w:t>
      </w:r>
      <w:r>
        <w:rPr>
          <w:color w:val="000000"/>
          <w:vertAlign w:val="subscript"/>
        </w:rPr>
        <w:t>z</w:t>
      </w:r>
      <w:r>
        <w:rPr>
          <w:color w:val="000000"/>
        </w:rPr>
        <w:t>:</w:t>
      </w:r>
    </w:p>
    <w:p>
      <w:pPr>
        <w:widowControl w:val="0"/>
        <w:ind w:firstLine="709"/>
        <w:jc w:val="both"/>
        <w:rPr>
          <w:color w:val="000000"/>
        </w:rPr>
      </w:pPr>
    </w:p>
    <w:p>
      <w:pPr>
        <w:widowControl w:val="0"/>
        <w:ind w:firstLine="709"/>
        <w:jc w:val="both"/>
        <w:rPr>
          <w:color w:val="000000"/>
        </w:rPr>
      </w:pPr>
      <w:r>
        <w:rPr>
          <w:color w:val="000000"/>
        </w:rPr>
        <w:t>k</w:t>
      </w:r>
      <w:r>
        <w:rPr>
          <w:color w:val="000000"/>
          <w:vertAlign w:val="subscript"/>
        </w:rPr>
        <w:t>z</w:t>
      </w:r>
      <w:r>
        <w:rPr>
          <w:color w:val="000000"/>
        </w:rPr>
        <w:t xml:space="preserve"> = z / 730</w:t>
      </w:r>
    </w:p>
    <w:p>
      <w:pPr>
        <w:widowControl w:val="0"/>
        <w:ind w:firstLine="709"/>
        <w:jc w:val="both"/>
        <w:rPr>
          <w:color w:val="000000"/>
        </w:rPr>
      </w:pPr>
    </w:p>
    <w:p>
      <w:pPr>
        <w:widowControl w:val="0"/>
        <w:ind w:firstLine="709"/>
        <w:jc w:val="both"/>
        <w:rPr>
          <w:color w:val="000000"/>
        </w:rPr>
      </w:pPr>
      <w:r>
        <w:rPr>
          <w:color w:val="000000"/>
        </w:rPr>
        <w:t>čia z – ataskaitinio laikotarpio (energijos vartojimo) faktinė trukmė, val.;</w:t>
      </w:r>
    </w:p>
    <w:p>
      <w:pPr>
        <w:widowControl w:val="0"/>
        <w:ind w:firstLine="709"/>
        <w:jc w:val="both"/>
        <w:rPr>
          <w:color w:val="000000"/>
        </w:rPr>
      </w:pPr>
      <w:r>
        <w:rPr>
          <w:color w:val="000000"/>
        </w:rPr>
        <w:t>6.2.4</w:t>
      </w:r>
      <w:r>
        <w:rPr>
          <w:color w:val="000000"/>
        </w:rPr>
        <w:t>. maksimalus (q</w:t>
      </w:r>
      <w:r>
        <w:rPr>
          <w:color w:val="000000"/>
          <w:vertAlign w:val="subscript"/>
        </w:rPr>
        <w:t>ŠF max</w:t>
      </w:r>
      <w:r>
        <w:rPr>
          <w:color w:val="000000"/>
        </w:rPr>
        <w:t>) ir vidutinis (q</w:t>
      </w:r>
      <w:r>
        <w:rPr>
          <w:color w:val="000000"/>
          <w:vertAlign w:val="subscript"/>
        </w:rPr>
        <w:t>ŠF vidut</w:t>
      </w:r>
      <w:r>
        <w:rPr>
          <w:color w:val="000000"/>
        </w:rPr>
        <w:t>) energijos sąnaudų normatyvas šildymui, įvertinantis visas faktines sąlygas:</w:t>
      </w:r>
    </w:p>
    <w:p>
      <w:pPr>
        <w:ind w:firstLine="709"/>
        <w:jc w:val="both"/>
        <w:rPr>
          <w:color w:val="000000"/>
        </w:rPr>
      </w:pPr>
    </w:p>
    <w:p>
      <w:pPr>
        <w:widowControl w:val="0"/>
        <w:tabs>
          <w:tab w:val="left" w:pos="5640"/>
        </w:tabs>
        <w:ind w:firstLine="709"/>
        <w:jc w:val="both"/>
        <w:rPr>
          <w:color w:val="000000"/>
        </w:rPr>
      </w:pPr>
      <w:r>
        <w:rPr>
          <w:color w:val="000000"/>
        </w:rPr>
        <w:t>q</w:t>
      </w:r>
      <w:r>
        <w:rPr>
          <w:color w:val="000000"/>
          <w:vertAlign w:val="subscript"/>
        </w:rPr>
        <w:t>ŠeFmax</w:t>
      </w:r>
      <w:r>
        <w:rPr>
          <w:color w:val="000000"/>
        </w:rPr>
        <w:t xml:space="preserve"> = q</w:t>
      </w:r>
      <w:r>
        <w:rPr>
          <w:color w:val="000000"/>
          <w:vertAlign w:val="subscript"/>
        </w:rPr>
        <w:t>Še0max</w:t>
      </w:r>
      <w:r>
        <w:rPr>
          <w:color w:val="000000"/>
        </w:rPr>
        <w:t xml:space="preserve"> x (k</w:t>
      </w:r>
      <w:r>
        <w:rPr>
          <w:color w:val="000000"/>
          <w:vertAlign w:val="subscript"/>
        </w:rPr>
        <w:t>t</w:t>
      </w:r>
      <w:r>
        <w:rPr>
          <w:color w:val="000000"/>
        </w:rPr>
        <w:t xml:space="preserve"> x k</w:t>
      </w:r>
      <w:r>
        <w:rPr>
          <w:color w:val="000000"/>
          <w:vertAlign w:val="subscript"/>
        </w:rPr>
        <w:t>H</w:t>
      </w:r>
      <w:r>
        <w:rPr>
          <w:color w:val="000000"/>
        </w:rPr>
        <w:t xml:space="preserve"> x k</w:t>
      </w:r>
      <w:r>
        <w:rPr>
          <w:color w:val="000000"/>
          <w:vertAlign w:val="subscript"/>
        </w:rPr>
        <w:t>z</w:t>
      </w:r>
      <w:r>
        <w:rPr>
          <w:color w:val="000000"/>
        </w:rPr>
        <w:t>)</w:t>
        <w:tab/>
        <w:t>kWh/m</w:t>
      </w:r>
      <w:r>
        <w:rPr>
          <w:color w:val="000000"/>
          <w:vertAlign w:val="superscript"/>
        </w:rPr>
        <w:t>2</w:t>
      </w:r>
      <w:r>
        <w:rPr>
          <w:color w:val="000000"/>
        </w:rPr>
        <w:t xml:space="preserve"> per mėn.</w:t>
      </w:r>
    </w:p>
    <w:p>
      <w:pPr>
        <w:tabs>
          <w:tab w:val="left" w:pos="5640"/>
        </w:tabs>
        <w:ind w:firstLine="709"/>
        <w:jc w:val="both"/>
        <w:rPr>
          <w:color w:val="000000"/>
        </w:rPr>
      </w:pPr>
    </w:p>
    <w:p>
      <w:pPr>
        <w:widowControl w:val="0"/>
        <w:tabs>
          <w:tab w:val="left" w:pos="5640"/>
        </w:tabs>
        <w:ind w:firstLine="709"/>
        <w:jc w:val="both"/>
        <w:rPr>
          <w:color w:val="000000"/>
        </w:rPr>
      </w:pPr>
      <w:r>
        <w:rPr>
          <w:bCs/>
          <w:color w:val="000000"/>
        </w:rPr>
        <w:t>arba</w:t>
      </w:r>
    </w:p>
    <w:p>
      <w:pPr>
        <w:tabs>
          <w:tab w:val="left" w:pos="5640"/>
        </w:tabs>
        <w:ind w:firstLine="709"/>
        <w:jc w:val="both"/>
        <w:rPr>
          <w:color w:val="000000"/>
        </w:rPr>
      </w:pPr>
    </w:p>
    <w:p>
      <w:pPr>
        <w:widowControl w:val="0"/>
        <w:tabs>
          <w:tab w:val="left" w:pos="5640"/>
        </w:tabs>
        <w:ind w:firstLine="709"/>
        <w:jc w:val="both"/>
        <w:rPr>
          <w:color w:val="000000"/>
        </w:rPr>
      </w:pPr>
      <w:r>
        <w:rPr>
          <w:color w:val="000000"/>
        </w:rPr>
        <w:t>q</w:t>
      </w:r>
      <w:r>
        <w:rPr>
          <w:color w:val="000000"/>
          <w:vertAlign w:val="subscript"/>
        </w:rPr>
        <w:t>ŠeFvidut</w:t>
      </w:r>
      <w:r>
        <w:rPr>
          <w:color w:val="000000"/>
        </w:rPr>
        <w:t xml:space="preserve"> = q</w:t>
      </w:r>
      <w:r>
        <w:rPr>
          <w:color w:val="000000"/>
          <w:vertAlign w:val="subscript"/>
        </w:rPr>
        <w:t>Še0vidut</w:t>
      </w:r>
      <w:r>
        <w:rPr>
          <w:color w:val="000000"/>
        </w:rPr>
        <w:t xml:space="preserve"> x (k</w:t>
      </w:r>
      <w:r>
        <w:rPr>
          <w:color w:val="000000"/>
          <w:vertAlign w:val="subscript"/>
        </w:rPr>
        <w:t>t</w:t>
      </w:r>
      <w:r>
        <w:rPr>
          <w:color w:val="000000"/>
        </w:rPr>
        <w:t xml:space="preserve"> x k</w:t>
      </w:r>
      <w:r>
        <w:rPr>
          <w:color w:val="000000"/>
          <w:vertAlign w:val="subscript"/>
        </w:rPr>
        <w:t>H</w:t>
      </w:r>
      <w:r>
        <w:rPr>
          <w:color w:val="000000"/>
        </w:rPr>
        <w:t xml:space="preserve"> x k</w:t>
      </w:r>
      <w:r>
        <w:rPr>
          <w:color w:val="000000"/>
          <w:vertAlign w:val="subscript"/>
        </w:rPr>
        <w:t>z</w:t>
      </w:r>
      <w:r>
        <w:rPr>
          <w:color w:val="000000"/>
        </w:rPr>
        <w:t>)</w:t>
        <w:tab/>
        <w:t>kWh/m</w:t>
      </w:r>
      <w:r>
        <w:rPr>
          <w:color w:val="000000"/>
          <w:vertAlign w:val="superscript"/>
        </w:rPr>
        <w:t>2</w:t>
      </w:r>
      <w:r>
        <w:rPr>
          <w:color w:val="000000"/>
        </w:rPr>
        <w:t xml:space="preserve"> per mėn.</w:t>
      </w:r>
    </w:p>
    <w:p>
      <w:pPr>
        <w:ind w:firstLine="709"/>
        <w:jc w:val="both"/>
        <w:rPr>
          <w:color w:val="000000"/>
        </w:rPr>
      </w:pPr>
    </w:p>
    <w:p>
      <w:pPr>
        <w:widowControl w:val="0"/>
        <w:ind w:firstLine="709"/>
        <w:jc w:val="both"/>
        <w:rPr>
          <w:color w:val="000000"/>
        </w:rPr>
      </w:pPr>
      <w:r>
        <w:rPr>
          <w:color w:val="000000"/>
        </w:rPr>
        <w:t>6.3</w:t>
      </w:r>
      <w:r>
        <w:rPr>
          <w:color w:val="000000"/>
        </w:rPr>
        <w:t>. Netipiniams sudėtingos formos ir didelio tūrio pastatams maksimalūs ir vidutiniai energijos sąnaudų normatyvai šildymui gali būti koreguojami pagal 4.8 punkte nustatytą tvarką.</w:t>
      </w:r>
    </w:p>
    <w:p>
      <w:pPr>
        <w:widowControl w:val="0"/>
        <w:ind w:firstLine="709"/>
        <w:jc w:val="both"/>
        <w:rPr>
          <w:color w:val="000000"/>
        </w:rPr>
      </w:pPr>
      <w:r>
        <w:rPr>
          <w:color w:val="000000"/>
        </w:rPr>
        <w:t>7</w:t>
      </w:r>
      <w:r>
        <w:rPr>
          <w:color w:val="000000"/>
        </w:rPr>
        <w:t>. Vidutiniai energijos sąnaudų normatyvai šalto vandens kubinio metro pašildymui (q</w:t>
      </w:r>
      <w:r>
        <w:rPr>
          <w:color w:val="000000"/>
          <w:vertAlign w:val="subscript"/>
        </w:rPr>
        <w:t>Kve</w:t>
      </w:r>
      <w:r>
        <w:rPr>
          <w:color w:val="000000"/>
        </w:rPr>
        <w:t>) pateikiami 2 lentelėje: 2 lentelė</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855"/>
        <w:gridCol w:w="5782"/>
      </w:tblGrid>
      <w:tr>
        <w:trPr>
          <w:cantSplit/>
          <w:trHeight w:val="23"/>
        </w:trPr>
        <w:tc>
          <w:tcPr>
            <w:tcW w:w="3600" w:type="dxa"/>
            <w:tcBorders>
              <w:top w:val="single" w:sz="6" w:space="0" w:color="auto"/>
              <w:left w:val="nil"/>
              <w:bottom w:val="single" w:sz="6" w:space="0" w:color="auto"/>
              <w:right w:val="single" w:sz="6" w:space="0" w:color="auto"/>
            </w:tcBorders>
            <w:shd w:val="clear" w:color="auto" w:fill="FFFFFF"/>
          </w:tcPr>
          <w:p>
            <w:pPr>
              <w:widowControl w:val="0"/>
              <w:ind w:firstLine="709"/>
              <w:rPr>
                <w:color w:val="000000"/>
                <w:szCs w:val="24"/>
              </w:rPr>
            </w:pPr>
            <w:r>
              <w:rPr>
                <w:color w:val="000000"/>
                <w:szCs w:val="24"/>
              </w:rPr>
              <w:t>Taikymas</w:t>
            </w:r>
          </w:p>
        </w:tc>
        <w:tc>
          <w:tcPr>
            <w:tcW w:w="5400" w:type="dxa"/>
            <w:tcBorders>
              <w:top w:val="single" w:sz="6" w:space="0" w:color="auto"/>
              <w:left w:val="single" w:sz="6" w:space="0" w:color="auto"/>
              <w:bottom w:val="single" w:sz="6" w:space="0" w:color="auto"/>
              <w:right w:val="nil"/>
            </w:tcBorders>
            <w:shd w:val="clear" w:color="auto" w:fill="FFFFFF"/>
          </w:tcPr>
          <w:p>
            <w:pPr>
              <w:widowControl w:val="0"/>
              <w:rPr>
                <w:color w:val="000000"/>
                <w:szCs w:val="24"/>
              </w:rPr>
            </w:pPr>
            <w:r>
              <w:rPr>
                <w:color w:val="000000"/>
                <w:szCs w:val="24"/>
              </w:rPr>
              <w:t>Vidutiniai energijos sąnaudų normatyvai q</w:t>
            </w:r>
            <w:r>
              <w:rPr>
                <w:color w:val="000000"/>
                <w:szCs w:val="24"/>
                <w:vertAlign w:val="subscript"/>
              </w:rPr>
              <w:t xml:space="preserve">Kve </w:t>
            </w:r>
            <w:r>
              <w:rPr>
                <w:color w:val="000000"/>
                <w:szCs w:val="24"/>
              </w:rPr>
              <w:t>kWh/m</w:t>
            </w:r>
            <w:r>
              <w:rPr>
                <w:color w:val="000000"/>
                <w:szCs w:val="24"/>
                <w:vertAlign w:val="superscript"/>
              </w:rPr>
              <w:t>3</w:t>
            </w:r>
          </w:p>
        </w:tc>
      </w:tr>
      <w:tr>
        <w:trPr>
          <w:cantSplit/>
          <w:trHeight w:val="23"/>
        </w:trPr>
        <w:tc>
          <w:tcPr>
            <w:tcW w:w="3600" w:type="dxa"/>
            <w:tcBorders>
              <w:top w:val="single" w:sz="6" w:space="0" w:color="auto"/>
              <w:left w:val="nil"/>
              <w:right w:val="nil"/>
            </w:tcBorders>
            <w:shd w:val="clear" w:color="auto" w:fill="FFFFFF"/>
          </w:tcPr>
          <w:p>
            <w:pPr>
              <w:widowControl w:val="0"/>
              <w:ind w:firstLine="709"/>
              <w:rPr>
                <w:color w:val="000000"/>
                <w:szCs w:val="24"/>
              </w:rPr>
            </w:pPr>
            <w:r>
              <w:rPr>
                <w:color w:val="000000"/>
                <w:szCs w:val="24"/>
              </w:rPr>
              <w:t xml:space="preserve">Respublikoje </w:t>
            </w:r>
          </w:p>
        </w:tc>
        <w:tc>
          <w:tcPr>
            <w:tcW w:w="5400" w:type="dxa"/>
            <w:tcBorders>
              <w:top w:val="single" w:sz="6" w:space="0" w:color="auto"/>
              <w:left w:val="nil"/>
              <w:right w:val="nil"/>
            </w:tcBorders>
            <w:shd w:val="clear" w:color="auto" w:fill="FFFFFF"/>
          </w:tcPr>
          <w:p>
            <w:pPr>
              <w:widowControl w:val="0"/>
              <w:rPr>
                <w:color w:val="000000"/>
                <w:szCs w:val="24"/>
              </w:rPr>
            </w:pPr>
            <w:r>
              <w:rPr>
                <w:color w:val="000000"/>
                <w:szCs w:val="24"/>
              </w:rPr>
              <w:t xml:space="preserve">51 </w:t>
            </w:r>
          </w:p>
        </w:tc>
      </w:tr>
      <w:tr>
        <w:trPr>
          <w:cantSplit/>
          <w:trHeight w:val="23"/>
        </w:trPr>
        <w:tc>
          <w:tcPr>
            <w:tcW w:w="3600" w:type="dxa"/>
            <w:tcBorders>
              <w:left w:val="nil"/>
              <w:right w:val="nil"/>
            </w:tcBorders>
            <w:shd w:val="clear" w:color="auto" w:fill="FFFFFF"/>
          </w:tcPr>
          <w:p>
            <w:pPr>
              <w:widowControl w:val="0"/>
              <w:ind w:firstLine="709"/>
              <w:rPr>
                <w:color w:val="000000"/>
                <w:szCs w:val="24"/>
              </w:rPr>
            </w:pPr>
            <w:r>
              <w:rPr>
                <w:color w:val="000000"/>
                <w:szCs w:val="24"/>
              </w:rPr>
              <w:t xml:space="preserve">Panevėžio m.* </w:t>
            </w:r>
          </w:p>
        </w:tc>
        <w:tc>
          <w:tcPr>
            <w:tcW w:w="5400" w:type="dxa"/>
            <w:tcBorders>
              <w:left w:val="nil"/>
              <w:right w:val="nil"/>
            </w:tcBorders>
            <w:shd w:val="clear" w:color="auto" w:fill="FFFFFF"/>
          </w:tcPr>
          <w:p>
            <w:pPr>
              <w:widowControl w:val="0"/>
              <w:rPr>
                <w:color w:val="000000"/>
                <w:szCs w:val="24"/>
              </w:rPr>
            </w:pPr>
            <w:r>
              <w:rPr>
                <w:color w:val="000000"/>
                <w:szCs w:val="24"/>
              </w:rPr>
              <w:t xml:space="preserve">66 </w:t>
            </w:r>
          </w:p>
        </w:tc>
      </w:tr>
      <w:tr>
        <w:trPr>
          <w:cantSplit/>
          <w:trHeight w:val="23"/>
        </w:trPr>
        <w:tc>
          <w:tcPr>
            <w:tcW w:w="3600" w:type="dxa"/>
            <w:tcBorders>
              <w:left w:val="nil"/>
              <w:bottom w:val="single" w:sz="6" w:space="0" w:color="auto"/>
              <w:right w:val="nil"/>
            </w:tcBorders>
            <w:shd w:val="clear" w:color="auto" w:fill="FFFFFF"/>
          </w:tcPr>
          <w:p>
            <w:pPr>
              <w:widowControl w:val="0"/>
              <w:ind w:firstLine="709"/>
              <w:rPr>
                <w:color w:val="000000"/>
                <w:szCs w:val="24"/>
              </w:rPr>
            </w:pPr>
            <w:r>
              <w:rPr>
                <w:color w:val="000000"/>
                <w:szCs w:val="24"/>
              </w:rPr>
              <w:t>Visagino m.*</w:t>
            </w:r>
          </w:p>
        </w:tc>
        <w:tc>
          <w:tcPr>
            <w:tcW w:w="5400" w:type="dxa"/>
            <w:tcBorders>
              <w:left w:val="nil"/>
              <w:bottom w:val="single" w:sz="6" w:space="0" w:color="auto"/>
              <w:right w:val="nil"/>
            </w:tcBorders>
            <w:shd w:val="clear" w:color="auto" w:fill="FFFFFF"/>
          </w:tcPr>
          <w:p>
            <w:pPr>
              <w:widowControl w:val="0"/>
              <w:rPr>
                <w:color w:val="000000"/>
                <w:szCs w:val="24"/>
              </w:rPr>
            </w:pPr>
            <w:r>
              <w:rPr>
                <w:color w:val="000000"/>
                <w:szCs w:val="24"/>
              </w:rPr>
              <w:t>69</w:t>
            </w:r>
          </w:p>
        </w:tc>
      </w:tr>
    </w:tbl>
    <w:p>
      <w:pPr>
        <w:widowControl w:val="0"/>
        <w:ind w:firstLine="709"/>
        <w:jc w:val="both"/>
        <w:rPr>
          <w:color w:val="000000"/>
        </w:rPr>
      </w:pPr>
      <w:r>
        <w:rPr>
          <w:color w:val="000000"/>
        </w:rPr>
        <w:t>* – atvira karšto vandens tiekimo sistema</w:t>
      </w:r>
    </w:p>
    <w:p>
      <w:pPr>
        <w:ind w:firstLine="709"/>
        <w:jc w:val="both"/>
        <w:rPr>
          <w:color w:val="000000"/>
        </w:rPr>
      </w:pPr>
    </w:p>
    <w:p>
      <w:pPr>
        <w:widowControl w:val="0"/>
        <w:ind w:firstLine="709"/>
        <w:jc w:val="both"/>
        <w:rPr>
          <w:color w:val="000000"/>
        </w:rPr>
      </w:pPr>
      <w:r>
        <w:rPr>
          <w:color w:val="000000"/>
        </w:rPr>
        <w:t>Kitokius vidutinius energijos sąnaudų normatyvus šalto vandens kubinio metro pašildymui nustato savivaldybė, suderinusi su Komisija.</w:t>
      </w:r>
    </w:p>
    <w:p>
      <w:pPr>
        <w:widowControl w:val="0"/>
        <w:suppressAutoHyphens/>
        <w:ind w:firstLine="709"/>
        <w:jc w:val="both"/>
        <w:rPr>
          <w:color w:val="000000"/>
        </w:rPr>
      </w:pPr>
      <w:r>
        <w:rPr>
          <w:color w:val="000000"/>
        </w:rPr>
        <w:t>8</w:t>
      </w:r>
      <w:r>
        <w:rPr>
          <w:color w:val="000000"/>
        </w:rPr>
        <w:t>. Vidutiniai energijos sąnaudų normatyvai karšto vandens temperatūrai palaikyti (cirkuliacijai q</w:t>
      </w:r>
      <w:r>
        <w:rPr>
          <w:color w:val="000000"/>
          <w:vertAlign w:val="subscript"/>
        </w:rPr>
        <w:t>Re</w:t>
      </w:r>
      <w:r>
        <w:rPr>
          <w:color w:val="000000"/>
        </w:rPr>
        <w:t>) pateikiami 3 lentelėje:</w:t>
      </w:r>
    </w:p>
    <w:p>
      <w:pPr>
        <w:widowControl w:val="0"/>
        <w:suppressAutoHyphens/>
        <w:ind w:firstLine="709"/>
        <w:jc w:val="both"/>
        <w:rPr>
          <w:color w:val="000000"/>
        </w:rPr>
      </w:pPr>
      <w:r>
        <w:rPr>
          <w:color w:val="000000"/>
        </w:rPr>
        <w:t>3 lentelė</w:t>
      </w:r>
    </w:p>
    <w:tbl>
      <w:tblPr>
        <w:tblW w:w="9072" w:type="dxa"/>
        <w:tblLayout w:type="fixed"/>
        <w:tblCellMar>
          <w:left w:w="0" w:type="dxa"/>
          <w:right w:w="0" w:type="dxa"/>
        </w:tblCellMar>
        <w:tblLook w:val="0000" w:firstRow="0" w:lastRow="0" w:firstColumn="0" w:lastColumn="0" w:noHBand="0" w:noVBand="0"/>
      </w:tblPr>
      <w:tblGrid>
        <w:gridCol w:w="5872"/>
        <w:gridCol w:w="3200"/>
      </w:tblGrid>
      <w:tr>
        <w:trPr>
          <w:trHeight w:val="60"/>
        </w:trPr>
        <w:tc>
          <w:tcPr>
            <w:tcW w:w="6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Karšto vandens tiekimo sistemos tipas</w:t>
            </w:r>
          </w:p>
        </w:tc>
        <w:tc>
          <w:tcPr>
            <w:tcW w:w="34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Vidutiniai energijos sąnaudų cirkuliacijai normatyvai q</w:t>
            </w:r>
            <w:r>
              <w:rPr>
                <w:color w:val="000000"/>
                <w:sz w:val="22"/>
                <w:szCs w:val="22"/>
                <w:vertAlign w:val="subscript"/>
              </w:rPr>
              <w:t>Re</w:t>
            </w:r>
            <w:r>
              <w:rPr>
                <w:color w:val="000000"/>
                <w:sz w:val="22"/>
                <w:szCs w:val="22"/>
              </w:rPr>
              <w:t>,</w:t>
            </w:r>
          </w:p>
          <w:p>
            <w:pPr>
              <w:widowControl w:val="0"/>
              <w:suppressAutoHyphens/>
              <w:jc w:val="center"/>
              <w:rPr>
                <w:color w:val="000000"/>
                <w:sz w:val="22"/>
                <w:szCs w:val="22"/>
              </w:rPr>
            </w:pPr>
            <w:r>
              <w:rPr>
                <w:color w:val="000000"/>
                <w:sz w:val="22"/>
                <w:szCs w:val="22"/>
              </w:rPr>
              <w:t>kWh/būstui per mėn.</w:t>
            </w:r>
          </w:p>
        </w:tc>
      </w:tr>
      <w:tr>
        <w:trPr>
          <w:trHeight w:val="60"/>
        </w:trPr>
        <w:tc>
          <w:tcPr>
            <w:tcW w:w="6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2"/>
              </w:rPr>
            </w:pPr>
            <w:r>
              <w:rPr>
                <w:color w:val="000000"/>
                <w:sz w:val="22"/>
                <w:szCs w:val="22"/>
              </w:rPr>
              <w:t>Kai karšto vandens sistemos tiekimo ir cirkuliacijos stovai įrengti virtuvėje ir buto pagalbinėse patalpose (vonioje ar tualete) bei įrengtas vonios šildytuvas</w:t>
            </w:r>
          </w:p>
        </w:tc>
        <w:tc>
          <w:tcPr>
            <w:tcW w:w="34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240,</w:t>
            </w:r>
          </w:p>
          <w:p>
            <w:pPr>
              <w:widowControl w:val="0"/>
              <w:suppressAutoHyphens/>
              <w:jc w:val="center"/>
              <w:rPr>
                <w:color w:val="000000"/>
                <w:sz w:val="22"/>
                <w:szCs w:val="22"/>
              </w:rPr>
            </w:pPr>
            <w:r>
              <w:rPr>
                <w:color w:val="000000"/>
                <w:sz w:val="22"/>
                <w:szCs w:val="22"/>
              </w:rPr>
              <w:t>iš jų vonios šildytuvas – 80</w:t>
            </w:r>
          </w:p>
        </w:tc>
      </w:tr>
      <w:tr>
        <w:trPr>
          <w:trHeight w:val="60"/>
        </w:trPr>
        <w:tc>
          <w:tcPr>
            <w:tcW w:w="6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2"/>
              </w:rPr>
            </w:pPr>
            <w:r>
              <w:rPr>
                <w:color w:val="000000"/>
                <w:sz w:val="22"/>
                <w:szCs w:val="22"/>
              </w:rPr>
              <w:t>Kai karšto vandens sistemos tiekimo ir cirkuliacijos stovai įrengti buto pagalbinėse patalpose (vonioje ar tualete) bei įrengtas vonios šildytuvas</w:t>
            </w:r>
          </w:p>
        </w:tc>
        <w:tc>
          <w:tcPr>
            <w:tcW w:w="34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160,</w:t>
            </w:r>
          </w:p>
          <w:p>
            <w:pPr>
              <w:widowControl w:val="0"/>
              <w:suppressAutoHyphens/>
              <w:jc w:val="center"/>
              <w:rPr>
                <w:color w:val="000000"/>
                <w:sz w:val="22"/>
                <w:szCs w:val="22"/>
              </w:rPr>
            </w:pPr>
            <w:r>
              <w:rPr>
                <w:color w:val="000000"/>
                <w:sz w:val="22"/>
                <w:szCs w:val="22"/>
              </w:rPr>
              <w:t>iš jų vonios šildytuvas – 80</w:t>
            </w:r>
          </w:p>
        </w:tc>
      </w:tr>
      <w:tr>
        <w:trPr>
          <w:trHeight w:val="60"/>
        </w:trPr>
        <w:tc>
          <w:tcPr>
            <w:tcW w:w="6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2"/>
              </w:rPr>
            </w:pPr>
            <w:r>
              <w:rPr>
                <w:color w:val="000000"/>
                <w:sz w:val="22"/>
                <w:szCs w:val="22"/>
              </w:rPr>
              <w:t>Kai karšto vandens sistemos tiekimo ir cirkuliacijos stovai įrengti buto pagalbinėse patalpose (vonioje ar tualete), bet nėra vonios šildytuvo</w:t>
            </w:r>
          </w:p>
        </w:tc>
        <w:tc>
          <w:tcPr>
            <w:tcW w:w="34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80</w:t>
            </w:r>
          </w:p>
        </w:tc>
      </w:tr>
      <w:tr>
        <w:trPr>
          <w:trHeight w:val="60"/>
        </w:trPr>
        <w:tc>
          <w:tcPr>
            <w:tcW w:w="6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2"/>
              </w:rPr>
            </w:pPr>
            <w:r>
              <w:rPr>
                <w:color w:val="000000"/>
                <w:sz w:val="22"/>
                <w:szCs w:val="22"/>
              </w:rPr>
              <w:t>Kai karšto vandens cirkuliacija yra tik namo rūsyje</w:t>
            </w:r>
          </w:p>
        </w:tc>
        <w:tc>
          <w:tcPr>
            <w:tcW w:w="34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2"/>
              </w:rPr>
            </w:pPr>
            <w:r>
              <w:rPr>
                <w:color w:val="000000"/>
                <w:sz w:val="22"/>
                <w:szCs w:val="22"/>
              </w:rPr>
              <w:t>10</w:t>
            </w:r>
          </w:p>
        </w:tc>
      </w:tr>
    </w:tbl>
    <w:p>
      <w:pPr>
        <w:widowControl w:val="0"/>
        <w:suppressAutoHyphens/>
        <w:ind w:firstLine="567"/>
        <w:jc w:val="right"/>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C3AC3A6E2A">
        <w:r w:rsidRPr="00532B9F">
          <w:rPr>
            <w:rFonts w:ascii="Times New Roman" w:eastAsia="MS Mincho" w:hAnsi="Times New Roman"/>
            <w:sz w:val="20"/>
            <w:i/>
            <w:iCs/>
            <w:color w:val="0000FF" w:themeColor="hyperlink"/>
            <w:u w:val="single"/>
          </w:rPr>
          <w:t>O3-329</w:t>
        </w:r>
      </w:fldSimple>
      <w:r>
        <w:rPr>
          <w:rFonts w:ascii="Times New Roman" w:eastAsia="MS Mincho" w:hAnsi="Times New Roman"/>
          <w:sz w:val="20"/>
          <w:i/>
          <w:iCs/>
        </w:rPr>
        <w:t>,
2012-10-26,
Žin., 2012, Nr.
130-6604 (2012-11-10), i. k. 112106ANUTA00O3-329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2012-11-11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C3AC3A6E2A">
        <w:r w:rsidRPr="00532B9F">
          <w:rPr>
            <w:rFonts w:ascii="Times New Roman" w:eastAsia="MS Mincho" w:hAnsi="Times New Roman"/>
            <w:sz w:val="20"/>
            <w:i/>
            <w:iCs/>
            <w:color w:val="0000FF" w:themeColor="hyperlink"/>
            <w:u w:val="single"/>
          </w:rPr>
          <w:t>O3-329</w:t>
        </w:r>
      </w:fldSimple>
      <w:r>
        <w:rPr>
          <w:rFonts w:ascii="Times New Roman" w:eastAsia="MS Mincho" w:hAnsi="Times New Roman"/>
          <w:sz w:val="20"/>
          <w:i/>
          <w:iCs/>
        </w:rPr>
        <w:t>,
2012-10-26,
Žin. 2012,
Nr.
130-6604 (2012-11-10), i. k. 112106ANUTA00O3-329        </w:t>
      </w:r>
    </w:p>
    <w:p/>
    <w:p>
      <w:pPr>
        <w:widowControl w:val="0"/>
        <w:ind w:firstLine="709"/>
        <w:jc w:val="both"/>
        <w:rPr>
          <w:color w:val="000000"/>
        </w:rPr>
      </w:pPr>
      <w:r>
        <w:rPr>
          <w:color w:val="000000"/>
        </w:rPr>
        <w:t>9</w:t>
      </w:r>
      <w:r>
        <w:rPr>
          <w:color w:val="000000"/>
        </w:rPr>
        <w:t>. Kuro rūšių norminės kuro sąnaudos (C</w:t>
      </w:r>
      <w:r>
        <w:rPr>
          <w:color w:val="000000"/>
          <w:vertAlign w:val="subscript"/>
        </w:rPr>
        <w:t>k</w:t>
      </w:r>
      <w:r>
        <w:rPr>
          <w:color w:val="000000"/>
        </w:rPr>
        <w:t>) pateikiamos 4 lentelėje:</w:t>
      </w:r>
    </w:p>
    <w:p>
      <w:pPr>
        <w:ind w:firstLine="709"/>
        <w:jc w:val="both"/>
        <w:rPr>
          <w:color w:val="000000"/>
        </w:rPr>
      </w:pPr>
    </w:p>
    <w:p>
      <w:pPr>
        <w:widowControl w:val="0"/>
        <w:ind w:firstLine="709"/>
        <w:jc w:val="both"/>
        <w:rPr>
          <w:color w:val="000000"/>
        </w:rPr>
      </w:pPr>
      <w:r>
        <w:rPr>
          <w:color w:val="000000"/>
        </w:rPr>
        <w:t>4 lentelė</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931"/>
        <w:gridCol w:w="2029"/>
        <w:gridCol w:w="3677"/>
      </w:tblGrid>
      <w:tr>
        <w:trPr>
          <w:cantSplit/>
          <w:trHeight w:val="23"/>
        </w:trPr>
        <w:tc>
          <w:tcPr>
            <w:tcW w:w="3720" w:type="dxa"/>
            <w:tcBorders>
              <w:top w:val="single" w:sz="6" w:space="0" w:color="auto"/>
              <w:left w:val="nil"/>
              <w:bottom w:val="single" w:sz="6" w:space="0" w:color="auto"/>
              <w:right w:val="single" w:sz="6" w:space="0" w:color="auto"/>
            </w:tcBorders>
            <w:shd w:val="clear" w:color="auto" w:fill="FFFFFF"/>
          </w:tcPr>
          <w:p>
            <w:pPr>
              <w:widowControl w:val="0"/>
              <w:rPr>
                <w:color w:val="000000"/>
                <w:sz w:val="20"/>
              </w:rPr>
            </w:pPr>
            <w:r>
              <w:rPr>
                <w:color w:val="000000"/>
                <w:sz w:val="20"/>
              </w:rPr>
              <w:t>Kuro rūšys</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Dimensija</w:t>
            </w:r>
          </w:p>
        </w:tc>
        <w:tc>
          <w:tcPr>
            <w:tcW w:w="3480" w:type="dxa"/>
            <w:tcBorders>
              <w:top w:val="single" w:sz="6" w:space="0" w:color="auto"/>
              <w:left w:val="single" w:sz="6" w:space="0" w:color="auto"/>
              <w:bottom w:val="single" w:sz="6" w:space="0" w:color="auto"/>
              <w:right w:val="nil"/>
            </w:tcBorders>
            <w:shd w:val="clear" w:color="auto" w:fill="FFFFFF"/>
          </w:tcPr>
          <w:p>
            <w:pPr>
              <w:widowControl w:val="0"/>
              <w:rPr>
                <w:color w:val="000000"/>
                <w:sz w:val="20"/>
              </w:rPr>
            </w:pPr>
            <w:r>
              <w:rPr>
                <w:color w:val="000000"/>
                <w:sz w:val="20"/>
              </w:rPr>
              <w:t>Norminės kuro sąnaudos C</w:t>
            </w:r>
            <w:r>
              <w:rPr>
                <w:color w:val="000000"/>
                <w:sz w:val="20"/>
                <w:vertAlign w:val="subscript"/>
              </w:rPr>
              <w:t>k</w:t>
            </w:r>
          </w:p>
        </w:tc>
      </w:tr>
      <w:tr>
        <w:trPr>
          <w:cantSplit/>
          <w:trHeight w:val="23"/>
        </w:trPr>
        <w:tc>
          <w:tcPr>
            <w:tcW w:w="3720" w:type="dxa"/>
            <w:tcBorders>
              <w:top w:val="single" w:sz="6" w:space="0" w:color="auto"/>
              <w:left w:val="nil"/>
              <w:bottom w:val="nil"/>
              <w:right w:val="nil"/>
            </w:tcBorders>
            <w:shd w:val="clear" w:color="auto" w:fill="FFFFFF"/>
          </w:tcPr>
          <w:p>
            <w:pPr>
              <w:widowControl w:val="0"/>
              <w:rPr>
                <w:color w:val="000000"/>
                <w:sz w:val="20"/>
              </w:rPr>
            </w:pPr>
            <w:r>
              <w:rPr>
                <w:color w:val="000000"/>
                <w:sz w:val="20"/>
              </w:rPr>
              <w:t>Dyzelinis krosnių kuras</w:t>
            </w:r>
          </w:p>
        </w:tc>
        <w:tc>
          <w:tcPr>
            <w:tcW w:w="1920" w:type="dxa"/>
            <w:tcBorders>
              <w:top w:val="single" w:sz="6" w:space="0" w:color="auto"/>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single" w:sz="6" w:space="0" w:color="auto"/>
              <w:left w:val="nil"/>
              <w:bottom w:val="nil"/>
              <w:right w:val="nil"/>
            </w:tcBorders>
            <w:shd w:val="clear" w:color="auto" w:fill="FFFFFF"/>
          </w:tcPr>
          <w:p>
            <w:pPr>
              <w:widowControl w:val="0"/>
              <w:rPr>
                <w:color w:val="000000"/>
                <w:sz w:val="20"/>
              </w:rPr>
            </w:pPr>
            <w:r>
              <w:rPr>
                <w:color w:val="000000"/>
                <w:sz w:val="20"/>
              </w:rPr>
              <w:t>0,0851</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Suskystintos naftos dujos*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0,0783</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Išgarintos suskystintos naftos dujos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m</w:t>
            </w:r>
            <w:r>
              <w:rPr>
                <w:color w:val="000000"/>
                <w:sz w:val="20"/>
                <w:vertAlign w:val="superscript"/>
              </w:rPr>
              <w:t>3</w:t>
            </w:r>
            <w:r>
              <w:rPr>
                <w:color w:val="000000"/>
                <w:sz w:val="20"/>
              </w:rPr>
              <w:t>/kWh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0,0334</w:t>
            </w:r>
          </w:p>
        </w:tc>
      </w:tr>
      <w:tr>
        <w:trPr>
          <w:cantSplit/>
          <w:trHeight w:val="23"/>
        </w:trPr>
        <w:tc>
          <w:tcPr>
            <w:tcW w:w="3720" w:type="dxa"/>
            <w:vMerge w:val="restart"/>
            <w:tcBorders>
              <w:top w:val="nil"/>
              <w:left w:val="nil"/>
              <w:right w:val="nil"/>
            </w:tcBorders>
            <w:shd w:val="clear" w:color="auto" w:fill="FFFFFF"/>
          </w:tcPr>
          <w:p>
            <w:pPr>
              <w:widowControl w:val="0"/>
              <w:rPr>
                <w:color w:val="000000"/>
                <w:sz w:val="20"/>
              </w:rPr>
            </w:pPr>
            <w:r>
              <w:rPr>
                <w:color w:val="000000"/>
                <w:sz w:val="20"/>
              </w:rPr>
              <w:t>Gamtinės dujos**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0,0763</w:t>
            </w:r>
          </w:p>
        </w:tc>
      </w:tr>
      <w:tr>
        <w:trPr>
          <w:cantSplit/>
          <w:trHeight w:val="23"/>
        </w:trPr>
        <w:tc>
          <w:tcPr>
            <w:tcW w:w="3720" w:type="dxa"/>
            <w:vMerge/>
            <w:tcBorders>
              <w:left w:val="nil"/>
              <w:bottom w:val="nil"/>
              <w:right w:val="nil"/>
            </w:tcBorders>
            <w:shd w:val="clear" w:color="auto" w:fill="FFFFFF"/>
          </w:tcPr>
          <w:p>
            <w:pPr>
              <w:widowControl w:val="0"/>
              <w:rPr>
                <w:color w:val="000000"/>
                <w:sz w:val="20"/>
              </w:rPr>
            </w:pP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nm</w:t>
            </w:r>
            <w:r>
              <w:rPr>
                <w:color w:val="000000"/>
                <w:sz w:val="20"/>
                <w:vertAlign w:val="superscript"/>
              </w:rPr>
              <w:t>3</w:t>
            </w:r>
            <w:r>
              <w:rPr>
                <w:color w:val="000000"/>
                <w:sz w:val="20"/>
              </w:rPr>
              <w:t>/kWh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0,1075</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Suskystintos gamtinės dujos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0,0798</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Akmens anglis****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0,2093–0,1173</w:t>
            </w:r>
          </w:p>
          <w:p>
            <w:pPr>
              <w:widowControl w:val="0"/>
              <w:rPr>
                <w:color w:val="000000"/>
                <w:sz w:val="20"/>
              </w:rPr>
            </w:pPr>
            <w:r>
              <w:rPr>
                <w:color w:val="000000"/>
                <w:sz w:val="20"/>
              </w:rPr>
              <w:t>(Vidutinės 0,1633)</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Antracitas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0,1228</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Durpės****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right w:val="nil"/>
            </w:tcBorders>
            <w:shd w:val="clear" w:color="auto" w:fill="FFFFFF"/>
          </w:tcPr>
          <w:p>
            <w:pPr>
              <w:widowControl w:val="0"/>
              <w:rPr>
                <w:color w:val="000000"/>
                <w:sz w:val="20"/>
              </w:rPr>
            </w:pPr>
            <w:r>
              <w:rPr>
                <w:color w:val="000000"/>
                <w:sz w:val="20"/>
              </w:rPr>
              <w:t>0,4615–0,2609</w:t>
            </w:r>
          </w:p>
          <w:p>
            <w:pPr>
              <w:widowControl w:val="0"/>
              <w:rPr>
                <w:color w:val="000000"/>
                <w:sz w:val="20"/>
              </w:rPr>
            </w:pPr>
            <w:r>
              <w:rPr>
                <w:color w:val="000000"/>
                <w:sz w:val="20"/>
              </w:rPr>
              <w:t>(Vidutinės 0,3612)</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Durpių briketai****</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right w:val="nil"/>
            </w:tcBorders>
            <w:shd w:val="clear" w:color="auto" w:fill="FFFFFF"/>
          </w:tcPr>
          <w:p>
            <w:pPr>
              <w:widowControl w:val="0"/>
              <w:rPr>
                <w:color w:val="000000"/>
                <w:sz w:val="20"/>
              </w:rPr>
            </w:pPr>
            <w:r>
              <w:rPr>
                <w:color w:val="000000"/>
                <w:sz w:val="20"/>
              </w:rPr>
              <w:t>0,2250–0,2143</w:t>
            </w:r>
          </w:p>
          <w:p>
            <w:pPr>
              <w:widowControl w:val="0"/>
              <w:rPr>
                <w:color w:val="000000"/>
                <w:sz w:val="20"/>
              </w:rPr>
            </w:pPr>
            <w:r>
              <w:rPr>
                <w:color w:val="000000"/>
                <w:sz w:val="20"/>
              </w:rPr>
              <w:t>(Vidutinės 0,2197)</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Naudoti tepalai</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0,1321</w:t>
            </w:r>
          </w:p>
        </w:tc>
      </w:tr>
      <w:tr>
        <w:trPr>
          <w:cantSplit/>
          <w:trHeight w:val="23"/>
        </w:trPr>
        <w:tc>
          <w:tcPr>
            <w:tcW w:w="3720" w:type="dxa"/>
            <w:vMerge w:val="restart"/>
            <w:tcBorders>
              <w:top w:val="nil"/>
              <w:left w:val="nil"/>
              <w:right w:val="nil"/>
            </w:tcBorders>
            <w:shd w:val="clear" w:color="auto" w:fill="FFFFFF"/>
          </w:tcPr>
          <w:p>
            <w:pPr>
              <w:widowControl w:val="0"/>
              <w:rPr>
                <w:color w:val="000000"/>
                <w:sz w:val="20"/>
              </w:rPr>
            </w:pPr>
            <w:r>
              <w:rPr>
                <w:color w:val="000000"/>
                <w:sz w:val="20"/>
              </w:rPr>
              <w:t>Malkos 25–30 proc. drėgnumo, natūraliai džiovintos***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0,2609</w:t>
            </w:r>
          </w:p>
        </w:tc>
      </w:tr>
      <w:tr>
        <w:trPr>
          <w:cantSplit/>
          <w:trHeight w:val="23"/>
        </w:trPr>
        <w:tc>
          <w:tcPr>
            <w:tcW w:w="3720" w:type="dxa"/>
            <w:vMerge/>
            <w:tcBorders>
              <w:left w:val="nil"/>
              <w:bottom w:val="nil"/>
              <w:right w:val="nil"/>
            </w:tcBorders>
            <w:shd w:val="clear" w:color="auto" w:fill="FFFFFF"/>
          </w:tcPr>
          <w:p>
            <w:pPr>
              <w:widowControl w:val="0"/>
              <w:rPr>
                <w:color w:val="000000"/>
                <w:sz w:val="20"/>
              </w:rPr>
            </w:pP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ktm</w:t>
            </w:r>
            <w:r>
              <w:rPr>
                <w:color w:val="000000"/>
                <w:sz w:val="20"/>
                <w:vertAlign w:val="superscript"/>
              </w:rPr>
              <w:t>3</w:t>
            </w:r>
            <w:r>
              <w:rPr>
                <w:color w:val="000000"/>
                <w:sz w:val="20"/>
              </w:rPr>
              <w:t>/kWh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0,6536xl0</w:t>
            </w:r>
            <w:r>
              <w:rPr>
                <w:color w:val="000000"/>
                <w:sz w:val="20"/>
                <w:vertAlign w:val="superscript"/>
              </w:rPr>
              <w:t>-3</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Pjuvenų granulės / medienos briketai</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bottom w:val="nil"/>
              <w:right w:val="nil"/>
            </w:tcBorders>
            <w:shd w:val="clear" w:color="auto" w:fill="FFFFFF"/>
          </w:tcPr>
          <w:p>
            <w:pPr>
              <w:widowControl w:val="0"/>
              <w:rPr>
                <w:color w:val="000000"/>
                <w:sz w:val="20"/>
              </w:rPr>
            </w:pPr>
            <w:r>
              <w:rPr>
                <w:color w:val="000000"/>
                <w:sz w:val="20"/>
              </w:rPr>
              <w:t>0,2143</w:t>
            </w:r>
          </w:p>
        </w:tc>
      </w:tr>
      <w:tr>
        <w:trPr>
          <w:cantSplit/>
          <w:trHeight w:val="23"/>
        </w:trPr>
        <w:tc>
          <w:tcPr>
            <w:tcW w:w="3720" w:type="dxa"/>
            <w:tcBorders>
              <w:top w:val="nil"/>
              <w:left w:val="nil"/>
              <w:bottom w:val="nil"/>
              <w:right w:val="nil"/>
            </w:tcBorders>
            <w:shd w:val="clear" w:color="auto" w:fill="FFFFFF"/>
          </w:tcPr>
          <w:p>
            <w:pPr>
              <w:widowControl w:val="0"/>
              <w:rPr>
                <w:color w:val="000000"/>
                <w:sz w:val="20"/>
              </w:rPr>
            </w:pPr>
            <w:r>
              <w:rPr>
                <w:color w:val="000000"/>
                <w:sz w:val="20"/>
              </w:rPr>
              <w:t>Atliekos****</w:t>
            </w:r>
          </w:p>
        </w:tc>
        <w:tc>
          <w:tcPr>
            <w:tcW w:w="1920" w:type="dxa"/>
            <w:tcBorders>
              <w:top w:val="nil"/>
              <w:left w:val="nil"/>
              <w:bottom w:val="nil"/>
              <w:right w:val="nil"/>
            </w:tcBorders>
            <w:shd w:val="clear" w:color="auto" w:fill="FFFFFF"/>
          </w:tcPr>
          <w:p>
            <w:pPr>
              <w:widowControl w:val="0"/>
              <w:rPr>
                <w:color w:val="000000"/>
                <w:sz w:val="20"/>
              </w:rPr>
            </w:pPr>
            <w:r>
              <w:rPr>
                <w:color w:val="000000"/>
                <w:sz w:val="20"/>
              </w:rPr>
              <w:t>kg/kWh</w:t>
            </w:r>
          </w:p>
        </w:tc>
        <w:tc>
          <w:tcPr>
            <w:tcW w:w="3480" w:type="dxa"/>
            <w:tcBorders>
              <w:top w:val="nil"/>
              <w:left w:val="nil"/>
              <w:right w:val="nil"/>
            </w:tcBorders>
            <w:shd w:val="clear" w:color="auto" w:fill="FFFFFF"/>
          </w:tcPr>
          <w:p>
            <w:pPr>
              <w:widowControl w:val="0"/>
              <w:rPr>
                <w:color w:val="000000"/>
                <w:sz w:val="20"/>
              </w:rPr>
            </w:pPr>
            <w:r>
              <w:rPr>
                <w:color w:val="000000"/>
                <w:sz w:val="20"/>
              </w:rPr>
              <w:t>0,4864–0,3365</w:t>
            </w:r>
          </w:p>
          <w:p>
            <w:pPr>
              <w:widowControl w:val="0"/>
              <w:rPr>
                <w:color w:val="000000"/>
                <w:sz w:val="20"/>
              </w:rPr>
            </w:pPr>
            <w:r>
              <w:rPr>
                <w:color w:val="000000"/>
                <w:sz w:val="20"/>
              </w:rPr>
              <w:t>(Vidutinės 0,4114)</w:t>
            </w:r>
          </w:p>
        </w:tc>
      </w:tr>
      <w:tr>
        <w:trPr>
          <w:cantSplit/>
          <w:trHeight w:val="23"/>
        </w:trPr>
        <w:tc>
          <w:tcPr>
            <w:tcW w:w="3720" w:type="dxa"/>
            <w:tcBorders>
              <w:top w:val="nil"/>
              <w:left w:val="nil"/>
              <w:bottom w:val="single" w:sz="6" w:space="0" w:color="auto"/>
              <w:right w:val="nil"/>
            </w:tcBorders>
            <w:shd w:val="clear" w:color="auto" w:fill="FFFFFF"/>
          </w:tcPr>
          <w:p>
            <w:pPr>
              <w:widowControl w:val="0"/>
              <w:rPr>
                <w:color w:val="000000"/>
                <w:sz w:val="20"/>
              </w:rPr>
            </w:pPr>
            <w:r>
              <w:rPr>
                <w:color w:val="000000"/>
                <w:sz w:val="20"/>
              </w:rPr>
              <w:t>Elektros energija/šilumos energija</w:t>
            </w:r>
          </w:p>
        </w:tc>
        <w:tc>
          <w:tcPr>
            <w:tcW w:w="1920" w:type="dxa"/>
            <w:tcBorders>
              <w:top w:val="nil"/>
              <w:left w:val="nil"/>
              <w:bottom w:val="single" w:sz="6" w:space="0" w:color="auto"/>
              <w:right w:val="nil"/>
            </w:tcBorders>
            <w:shd w:val="clear" w:color="auto" w:fill="FFFFFF"/>
          </w:tcPr>
          <w:p>
            <w:pPr>
              <w:widowControl w:val="0"/>
              <w:rPr>
                <w:color w:val="000000"/>
                <w:sz w:val="20"/>
              </w:rPr>
            </w:pPr>
            <w:r>
              <w:rPr>
                <w:color w:val="000000"/>
                <w:sz w:val="20"/>
              </w:rPr>
              <w:t>kWh/kWh</w:t>
            </w:r>
          </w:p>
        </w:tc>
        <w:tc>
          <w:tcPr>
            <w:tcW w:w="3480" w:type="dxa"/>
            <w:tcBorders>
              <w:top w:val="nil"/>
              <w:left w:val="nil"/>
              <w:bottom w:val="single" w:sz="6" w:space="0" w:color="auto"/>
              <w:right w:val="nil"/>
            </w:tcBorders>
            <w:shd w:val="clear" w:color="auto" w:fill="FFFFFF"/>
          </w:tcPr>
          <w:p>
            <w:pPr>
              <w:widowControl w:val="0"/>
              <w:rPr>
                <w:color w:val="000000"/>
                <w:sz w:val="20"/>
              </w:rPr>
            </w:pPr>
            <w:r>
              <w:rPr>
                <w:color w:val="000000"/>
                <w:sz w:val="20"/>
              </w:rPr>
              <w:t>1</w:t>
            </w:r>
          </w:p>
        </w:tc>
      </w:tr>
    </w:tbl>
    <w:p>
      <w:pPr>
        <w:widowControl w:val="0"/>
        <w:ind w:firstLine="709"/>
        <w:jc w:val="both"/>
        <w:rPr>
          <w:color w:val="000000"/>
        </w:rPr>
      </w:pPr>
      <w:r>
        <w:rPr>
          <w:color w:val="000000"/>
        </w:rPr>
        <w:t>* – suskystintas dujas tiekiant iš grupinių rezervuarų, dujų apskaitos ir paskirstymo butams tvarką nustato savivaldybė;</w:t>
      </w:r>
    </w:p>
    <w:p>
      <w:pPr>
        <w:widowControl w:val="0"/>
        <w:ind w:firstLine="709"/>
        <w:jc w:val="both"/>
        <w:rPr>
          <w:color w:val="000000"/>
        </w:rPr>
      </w:pPr>
      <w:r>
        <w:rPr>
          <w:color w:val="000000"/>
        </w:rPr>
        <w:t>** – dujų kiekis, kuris, esant norminėms sąlygoms (temperatūra + 20°C, slėgis – 101,325 kPa), užima vieno kubinio metro tūrį;</w:t>
      </w:r>
    </w:p>
    <w:p>
      <w:pPr>
        <w:widowControl w:val="0"/>
        <w:ind w:firstLine="709"/>
        <w:jc w:val="both"/>
        <w:rPr>
          <w:color w:val="000000"/>
        </w:rPr>
      </w:pPr>
      <w:r>
        <w:rPr>
          <w:color w:val="000000"/>
        </w:rPr>
        <w:t>*** – ktm</w:t>
      </w:r>
      <w:r>
        <w:rPr>
          <w:color w:val="000000"/>
          <w:vertAlign w:val="superscript"/>
        </w:rPr>
        <w:t>3</w:t>
      </w:r>
      <w:r>
        <w:rPr>
          <w:color w:val="000000"/>
        </w:rPr>
        <w:t xml:space="preserve"> – kietmetris;</w:t>
      </w:r>
    </w:p>
    <w:p>
      <w:pPr>
        <w:widowControl w:val="0"/>
        <w:ind w:firstLine="709"/>
        <w:jc w:val="both"/>
        <w:rPr>
          <w:color w:val="000000"/>
        </w:rPr>
      </w:pPr>
      <w:r>
        <w:rPr>
          <w:color w:val="000000"/>
        </w:rPr>
        <w:t>**** – vidutinės norminės kuro sąnaudos taikomos, kai nepateikiama kuro sertifikato kopija.</w:t>
      </w:r>
    </w:p>
    <w:p>
      <w:pPr>
        <w:widowControl w:val="0"/>
        <w:ind w:firstLine="709"/>
        <w:jc w:val="both"/>
      </w:pPr>
      <w:r>
        <w:rPr>
          <w:color w:val="000000"/>
        </w:rPr>
        <w:t>Kitų kuro rūšių normines kuro sąnaudas (C</w:t>
      </w:r>
      <w:r>
        <w:rPr>
          <w:color w:val="000000"/>
          <w:vertAlign w:val="subscript"/>
        </w:rPr>
        <w:t>k</w:t>
      </w:r>
      <w:r>
        <w:rPr>
          <w:color w:val="000000"/>
        </w:rPr>
        <w:t>) nustato savivaldybė, suderinusi su Komisija.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C3AC3A6E2A">
        <w:r w:rsidRPr="00532B9F">
          <w:rPr>
            <w:rFonts w:ascii="Times New Roman" w:eastAsia="MS Mincho" w:hAnsi="Times New Roman"/>
            <w:sz w:val="20"/>
            <w:i/>
            <w:iCs/>
            <w:color w:val="0000FF" w:themeColor="hyperlink"/>
            <w:u w:val="single"/>
          </w:rPr>
          <w:t>O3-329</w:t>
        </w:r>
      </w:fldSimple>
      <w:r>
        <w:rPr>
          <w:rFonts w:ascii="Times New Roman" w:eastAsia="MS Mincho" w:hAnsi="Times New Roman"/>
          <w:sz w:val="20"/>
          <w:i/>
          <w:iCs/>
        </w:rPr>
        <w:t>,
2012-10-26,
Žin., 2012, Nr.
130-6604 (2012-11-10), i. k. 112106ANUTA00O3-329        </w:t>
      </w:r>
    </w:p>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C8E4395DA">
        <w:r w:rsidRPr="00532B9F">
          <w:rPr>
            <w:rFonts w:ascii="Times New Roman" w:eastAsia="MS Mincho" w:hAnsi="Times New Roman"/>
            <w:sz w:val="20"/>
            <w:i/>
            <w:iCs/>
            <w:color w:val="0000FF" w:themeColor="hyperlink"/>
            <w:u w:val="single"/>
          </w:rPr>
          <w:t>O3-5</w:t>
        </w:r>
      </w:fldSimple>
      <w:r>
        <w:rPr>
          <w:rFonts w:ascii="Times New Roman" w:eastAsia="MS Mincho" w:hAnsi="Times New Roman"/>
          <w:sz w:val="20"/>
          <w:i/>
          <w:iCs/>
        </w:rPr>
        <w:t>,
2007-01-29,
Žin., 2007, Nr.
15-579 (2007-02-03), i. k. 107106ANUTA0000O3-5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D0771213BAA">
        <w:r w:rsidRPr="00532B9F">
          <w:rPr>
            <w:rFonts w:ascii="Times New Roman" w:eastAsia="MS Mincho" w:hAnsi="Times New Roman"/>
            <w:sz w:val="20"/>
            <w:iCs/>
            <w:color w:val="0000FF" w:themeColor="hyperlink"/>
            <w:u w:val="single"/>
          </w:rPr>
          <w:t>O3-130</w:t>
        </w:r>
      </w:fldSimple>
      <w:r>
        <w:rPr>
          <w:rFonts w:ascii="Times New Roman" w:eastAsia="MS Mincho" w:hAnsi="Times New Roman"/>
          <w:sz w:val="20"/>
          <w:iCs/>
        </w:rPr>
        <w:t>,
2004-12-03,
Informaciniai pranešimai, 2004, Nr.
94-839 (2004-12-08), i. k. 104106ANUTA00O3-130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šaltam vandeniui pašildyti"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A1C8E4395DA">
        <w:r w:rsidRPr="00532B9F">
          <w:rPr>
            <w:rFonts w:ascii="Times New Roman" w:eastAsia="MS Mincho" w:hAnsi="Times New Roman"/>
            <w:sz w:val="20"/>
            <w:iCs/>
            <w:color w:val="0000FF" w:themeColor="hyperlink"/>
            <w:u w:val="single"/>
          </w:rPr>
          <w:t>O3-5</w:t>
        </w:r>
      </w:fldSimple>
      <w:r>
        <w:rPr>
          <w:rFonts w:ascii="Times New Roman" w:eastAsia="MS Mincho" w:hAnsi="Times New Roman"/>
          <w:sz w:val="20"/>
          <w:iCs/>
        </w:rPr>
        <w:t>,
2007-01-29,
Žin., 2007, Nr.
15-579 (2007-02-03), i. k. 107106ANUTA0000O3-5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šaltam vandeniui pašildyti"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2C3AC3A6E2A">
        <w:r w:rsidRPr="00532B9F">
          <w:rPr>
            <w:rFonts w:ascii="Times New Roman" w:eastAsia="MS Mincho" w:hAnsi="Times New Roman"/>
            <w:sz w:val="20"/>
            <w:iCs/>
            <w:color w:val="0000FF" w:themeColor="hyperlink"/>
            <w:u w:val="single"/>
          </w:rPr>
          <w:t>O3-329</w:t>
        </w:r>
      </w:fldSimple>
      <w:r>
        <w:rPr>
          <w:rFonts w:ascii="Times New Roman" w:eastAsia="MS Mincho" w:hAnsi="Times New Roman"/>
          <w:sz w:val="20"/>
          <w:iCs/>
        </w:rPr>
        <w:t>,
2012-10-26,
Žin., 2012, Nr.
130-6604 (2012-11-10), i. k. 112106ANUTA00O3-329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karštam vandeniui ruošti"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CD087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EEE59417F13"/>
  <Relationship Id="rId18" Type="http://schemas.openxmlformats.org/officeDocument/2006/relationships/hyperlink" TargetMode="External" Target="https://www.e-tar.lt/portal/lt/legalAct/TAR.54C17840B708"/>
  <Relationship Id="rId19" Type="http://schemas.openxmlformats.org/officeDocument/2006/relationships/hyperlink" TargetMode="External" Target="https://www.e-tar.lt/portal/lt/legalAct/TAR.3EEE59417F13"/>
  <Relationship Id="rId2" Type="http://schemas.openxmlformats.org/officeDocument/2006/relationships/header" Target="header2.xml"/>
  <Relationship Id="rId20" Type="http://schemas.openxmlformats.org/officeDocument/2006/relationships/hyperlink" TargetMode="External" Target="https://www.e-tar.lt/portal/lt/legalAct/TAR.73A2859894C8"/>
  <Relationship Id="rId21" Type="http://schemas.openxmlformats.org/officeDocument/2006/relationships/hyperlink" TargetMode="External" Target="https://www.e-tar.lt/portal/lt/legalAct/TAR.44235B485568"/>
  <Relationship Id="rId22" Type="http://schemas.openxmlformats.org/officeDocument/2006/relationships/hyperlink" TargetMode="External" Target="https://www.e-tar.lt/portal/lt/legalAct/TAR.16DE92067E6F"/>
  <Relationship Id="rId23" Type="http://schemas.openxmlformats.org/officeDocument/2006/relationships/hyperlink" TargetMode="External" Target="https://www.e-tar.lt/portal/lt/legalAct/TAR.F62AD965997D"/>
  <Relationship Id="rId24" Type="http://schemas.openxmlformats.org/officeDocument/2006/relationships/hyperlink" TargetMode="External" Target="https://www.e-tar.lt/portal/lt/legalAct/TAR.74E56D229B1A"/>
  <Relationship Id="rId25" Type="http://schemas.openxmlformats.org/officeDocument/2006/relationships/hyperlink" TargetMode="External" Target="https://www.e-tar.lt/portal/lt/legalAct/TAR.AB58CC62DE9C"/>
  <Relationship Id="rId26" Type="http://schemas.openxmlformats.org/officeDocument/2006/relationships/hyperlink" TargetMode="External" Target="https://www.e-tar.lt/portal/lt/legalAct/TAR.8AE000043246"/>
  <Relationship Id="rId27" Type="http://schemas.openxmlformats.org/officeDocument/2006/relationships/hyperlink" TargetMode="External" Target="https://www.e-tar.lt/portal/lt/legalAct/TAR.1F3FB56815CB"/>
  <Relationship Id="rId28" Type="http://schemas.openxmlformats.org/officeDocument/2006/relationships/hyperlink" TargetMode="External" Target="https://www.e-tar.lt/portal/lt/legalAct/TAR.088016C08FAF"/>
  <Relationship Id="rId29" Type="http://schemas.openxmlformats.org/officeDocument/2006/relationships/hyperlink" TargetMode="External" Target="https://www.e-tar.lt/portal/lt/legalAct/TAR.66297892965F"/>
  <Relationship Id="rId3" Type="http://schemas.openxmlformats.org/officeDocument/2006/relationships/footer" Target="footer1.xml"/>
  <Relationship Id="rId30" Type="http://schemas.openxmlformats.org/officeDocument/2006/relationships/hyperlink" TargetMode="External" Target="https://www.e-tar.lt/portal/lt/legalAct/TAR.EFD0F8F17ADB"/>
  <Relationship Id="rId31" Type="http://schemas.openxmlformats.org/officeDocument/2006/relationships/hyperlink" TargetMode="External" Target="https://www.e-tar.lt/portal/lt/legalAct/TAR.50124A87975C"/>
  <Relationship Id="rId32" Type="http://schemas.openxmlformats.org/officeDocument/2006/relationships/hyperlink" TargetMode="External" Target="https://www.e-tar.lt/portal/lt/legalAct/TAR.D40E1D9998C3"/>
  <Relationship Id="rId33" Type="http://schemas.openxmlformats.org/officeDocument/2006/relationships/hyperlink" TargetMode="External" Target="https://www.e-tar.lt/portal/lt/legalAct/TAR.6CF9D598DF10"/>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7</Pages>
  <Words>10157</Words>
  <Characters>5790</Characters>
  <Application>Microsoft Office Word</Application>
  <DocSecurity>0</DocSecurity>
  <Lines>48</Lines>
  <Paragraphs>31</Paragraphs>
  <ScaleCrop>false</ScaleCrop>
  <Company/>
  <LinksUpToDate>false</LinksUpToDate>
  <CharactersWithSpaces>15916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2015-10-10T23:58:00Z</dcterms:created>
  <dc:creator>Tadeuš Buivid</dc:creator>
  <lastModifiedBy>DRAZDAUSKIENĖ Nijolė</lastModifiedBy>
  <dcterms:modified xsi:type="dcterms:W3CDTF">2016-02-24T06:54:00Z</dcterms:modified>
  <revision>6</revision>
</coreProperties>
</file>