
<file path=[Content_Types].xml><?xml version="1.0" encoding="utf-8"?>
<Types xmlns="http://schemas.openxmlformats.org/package/2006/content-types">
  <Default Extension="bin" ContentType="application/vnd.ms-office.activeX"/>
  <Default Extension="emf" ContentType="image/x-emf"/>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activeX/activeX1.xml" ContentType="application/vnd.ms-office.activeX+xml"/>
  <Override PartName="/word/activeX/activeX2.xml" ContentType="application/vnd.ms-office.activeX+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stylesWithEffects.xml" ContentType="application/vnd.ms-word.stylesWithEffect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p>
      <w:pPr>
        <w:jc w:val="both"/>
        <w:rPr>
          <w:rFonts w:ascii="Times New Roman" w:hAnsi="Times New Roman"/>
        </w:rPr>
      </w:pPr>
      <w:r>
        <w:rPr>
          <w:rFonts w:ascii="Times New Roman" w:hAnsi="Times New Roman"/>
          <w:b/>
          <w:i/>
        </w:rPr>
        <w:t>Suvestinė redakcija nuo 2016-12-02</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2003, Nr. </w:t>
      </w:r>
      <w:fldSimple w:instr="HYPERLINK https://www.e-tar.lt/portal/legalAct.html?documentId=TAR.C288A9EC756C">
        <w:r w:rsidRPr="00532B9F">
          <w:rPr>
            <w:rFonts w:ascii="Times New Roman" w:eastAsia="MS Mincho" w:hAnsi="Times New Roman"/>
            <w:sz w:val="20"/>
            <w:i/>
            <w:iCs/>
            <w:color w:val="0000FF" w:themeColor="hyperlink"/>
            <w:u w:val="single"/>
          </w:rPr>
          <w:t>121-5509</w:t>
        </w:r>
      </w:fldSimple>
      <w:r>
        <w:rPr>
          <w:rFonts w:ascii="Times New Roman" w:eastAsia="MS Mincho" w:hAnsi="Times New Roman"/>
          <w:sz w:val="20"/>
          <w:i/>
          <w:iCs/>
        </w:rPr>
        <w:t>, i. k. 1032055ISAK000V-325</w:t>
      </w:r>
    </w:p>
    <w:p>
      <w:pPr>
        <w:jc w:val="both"/>
        <w:rPr>
          <w:rFonts w:ascii="Times New Roman" w:hAnsi="Times New Roman"/>
          <w:sz w:val="20"/>
        </w:rPr>
      </w:pPr>
    </w:p>
    <w:p>
      <w:pPr>
        <w:tabs>
          <w:tab w:val="center" w:pos="4153"/>
          <w:tab w:val="right" w:pos="8306"/>
        </w:tabs>
        <w:jc w:val="center"/>
        <w:rPr>
          <w:b/>
          <w:color w:val="000000"/>
        </w:rPr>
      </w:pPr>
      <w:r>
        <w:rPr>
          <w:b/>
          <w:color w:val="000000"/>
          <w:lang w:eastAsia="lt-LT"/>
        </w:rPr>
        <w:pict>
          <v:shapetype id="_x0000_t201" coordsize="21600,21600" o:spt="201" path="m,l,21600r21600,l21600,xe">
            <v:stroke joinstyle="miter"/>
            <v:path shadowok="f" o:extrusionok="f" strokeok="f" fillok="f" o:connecttype="rect"/>
            <o:lock v:ext="edit" shapetype="t"/>
          </v:shapetype>
          <v:shape id="_x0000_s1027" type="#_x0000_t201" style="position:absolute;left:0;text-align:left;margin-left:-85.05pt;margin-top:-56.7pt;width:.75pt;height:.75pt;z-index:251657728;visibility:hidden;mso-position-horizontal-relative:text;mso-position-vertical-relative:text" stroked="f">
            <v:imagedata r:id="rId15" o:title=""/>
          </v:shape>
          <w:control r:id="rId16" w:name="Control 3" w:shapeid="_x0000_s1027"/>
        </w:pict>
      </w:r>
      <w:r>
        <w:rPr>
          <w:b/>
          <w:color w:val="000000"/>
        </w:rPr>
        <w:t>VALSTYBINĖS MOKESČIŲ INSPEKCIJOS PRIE LIETUVOS RESPUBLIKOS FINANSŲ MINISTERIJOS VIRŠININKO</w:t>
      </w:r>
    </w:p>
    <w:p>
      <w:pPr>
        <w:jc w:val="center"/>
        <w:rPr>
          <w:color w:val="000000"/>
        </w:rPr>
      </w:pPr>
    </w:p>
    <w:p>
      <w:pPr>
        <w:jc w:val="center"/>
        <w:rPr>
          <w:b/>
          <w:color w:val="000000"/>
        </w:rPr>
      </w:pPr>
      <w:r>
        <w:rPr>
          <w:b/>
          <w:color w:val="000000"/>
        </w:rPr>
        <w:t>Į S A K Y M A S</w:t>
      </w:r>
    </w:p>
    <w:p>
      <w:pPr>
        <w:jc w:val="center"/>
        <w:rPr>
          <w:b/>
          <w:color w:val="000000"/>
        </w:rPr>
      </w:pPr>
      <w:r>
        <w:rPr>
          <w:b/>
          <w:color w:val="000000"/>
        </w:rPr>
        <w:t xml:space="preserve">DĖL PAVELDIMO TURTO MOKESČIO DEKLARACIJOS, KAI TURTAS PAVELDĖTAS UŽSIENIO VALSTYBĖSE, FR0585 FORMOS IR JOS PRIEDO FR0585P FORMOS UŽPILDYMO IR PATEIKIMO TAISYKLIŲ PATVIRTINIMO </w:t>
      </w:r>
    </w:p>
    <w:p>
      <w:pPr>
        <w:jc w:val="center"/>
        <w:rPr>
          <w:color w:val="000000"/>
        </w:rPr>
      </w:pPr>
    </w:p>
    <w:p>
      <w:pPr>
        <w:jc w:val="center"/>
        <w:rPr>
          <w:color w:val="000000"/>
        </w:rPr>
      </w:pPr>
      <w:r>
        <w:rPr>
          <w:color w:val="000000"/>
        </w:rPr>
        <w:t>2003 m. gruodžio 17 d. Nr. V-325</w:t>
      </w:r>
    </w:p>
    <w:p>
      <w:pPr>
        <w:jc w:val="center"/>
        <w:rPr>
          <w:color w:val="000000"/>
        </w:rPr>
      </w:pPr>
      <w:r>
        <w:rPr>
          <w:color w:val="000000"/>
        </w:rPr>
        <w:t>Vilnius</w:t>
      </w:r>
    </w:p>
    <w:p>
      <w:pPr>
        <w:ind w:firstLine="709"/>
        <w:jc w:val="both"/>
        <w:rPr>
          <w:color w:val="000000"/>
        </w:rPr>
      </w:pPr>
    </w:p>
    <w:p>
      <w:pPr>
        <w:ind w:firstLine="709"/>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Pakeistas teisės akto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1cf10063fd11e4ab32a37dfc9a0878">
        <w:r w:rsidRPr="00532B9F">
          <w:rPr>
            <w:rFonts w:ascii="Times New Roman" w:eastAsia="MS Mincho" w:hAnsi="Times New Roman"/>
            <w:sz w:val="20"/>
            <w:i/>
            <w:iCs/>
            <w:color w:val="0000FF" w:themeColor="hyperlink"/>
            <w:u w:val="single"/>
          </w:rPr>
          <w:t>VA-127</w:t>
        </w:r>
      </w:fldSimple>
      <w:r>
        <w:rPr>
          <w:rFonts w:ascii="Times New Roman" w:eastAsia="MS Mincho" w:hAnsi="Times New Roman"/>
          <w:sz w:val="20"/>
          <w:i/>
          <w:iCs/>
        </w:rPr>
        <w:t>,
2014-11-04,
paskelbta TAR 2014-11-04, i. k. 2014-15637        </w:t>
      </w:r>
    </w:p>
    <w:p>
      <w:pPr>
        <w:pStyle w:val="PlainText"/>
        <w:rPr>
          <w:rFonts w:ascii="Times New Roman" w:eastAsia="MS Mincho" w:hAnsi="Times New Roman"/>
          <w:sz w:val="20"/>
          <w:i/>
          <w:iCs/>
        </w:rPr>
      </w:pPr>
      <w:r>
        <w:rPr>
          <w:rFonts w:ascii="Times New Roman" w:eastAsia="MS Mincho" w:hAnsi="Times New Roman"/>
          <w:sz w:val="20"/>
          <w:i/>
          <w:iCs/>
        </w:rPr>
        <w:t>Pakeistas teisės akto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30f9c10b7bf11e693eea1ef35f20da9">
        <w:r w:rsidRPr="00532B9F">
          <w:rPr>
            <w:rFonts w:ascii="Times New Roman" w:eastAsia="MS Mincho" w:hAnsi="Times New Roman"/>
            <w:sz w:val="20"/>
            <w:i/>
            <w:iCs/>
            <w:color w:val="0000FF" w:themeColor="hyperlink"/>
            <w:u w:val="single"/>
          </w:rPr>
          <w:t>VA-147</w:t>
        </w:r>
      </w:fldSimple>
      <w:r>
        <w:rPr>
          <w:rFonts w:ascii="Times New Roman" w:eastAsia="MS Mincho" w:hAnsi="Times New Roman"/>
          <w:sz w:val="20"/>
          <w:i/>
          <w:iCs/>
        </w:rPr>
        <w:t>,
2016-12-01,
paskelbta TAR 2016-12-01, i. k. 2016-27966        </w:t>
      </w:r>
    </w:p>
    <w:p/>
    <w:p>
      <w:pPr>
        <w:ind w:firstLine="709"/>
        <w:jc w:val="both"/>
        <w:rPr>
          <w:color w:val="000000"/>
        </w:rPr>
      </w:pPr>
      <w:r>
        <w:rPr>
          <w:color w:val="000000"/>
        </w:rPr>
        <w:t xml:space="preserve">Vadovaudamasi Valstybinės mokesčių inspekcijos prie Finansų ministerijos nuostatų, patvirtintų Lietuvos Respublikos finansų ministro 1997 m. liepos 29 d. įsakymu Nr. 110 (Žin., 1997, Nr. </w:t>
      </w:r>
      <w:hyperlink r:id="rId17" w:tgtFrame="_blank" w:history="1">
        <w:r>
          <w:rPr>
            <w:color w:val="0000FF" w:themeColor="hyperlink"/>
            <w:u w:val="single"/>
          </w:rPr>
          <w:t>87-2212</w:t>
        </w:r>
      </w:hyperlink>
      <w:r>
        <w:rPr>
          <w:color w:val="000000"/>
        </w:rPr>
        <w:t xml:space="preserve">; 2001, Nr. </w:t>
      </w:r>
      <w:hyperlink r:id="rId18" w:tgtFrame="_blank" w:history="1">
        <w:r>
          <w:rPr>
            <w:color w:val="0000FF" w:themeColor="hyperlink"/>
            <w:u w:val="single"/>
          </w:rPr>
          <w:t>85-2991</w:t>
        </w:r>
      </w:hyperlink>
      <w:r>
        <w:rPr>
          <w:color w:val="000000"/>
        </w:rPr>
        <w:t xml:space="preserve">; 2002, Nr. </w:t>
      </w:r>
      <w:hyperlink r:id="rId19" w:tgtFrame="_blank" w:history="1">
        <w:r>
          <w:rPr>
            <w:color w:val="0000FF" w:themeColor="hyperlink"/>
            <w:u w:val="single"/>
          </w:rPr>
          <w:t>20-786</w:t>
        </w:r>
      </w:hyperlink>
      <w:r>
        <w:rPr>
          <w:color w:val="000000"/>
        </w:rPr>
        <w:t xml:space="preserve">), 18.11 punktu ir siekdama įgyvendinti Lietuvos Respublikos paveldimo turto mokesčio įstatymo (Žin., 2002, Nr. </w:t>
      </w:r>
      <w:hyperlink r:id="rId20" w:tgtFrame="_blank" w:history="1">
        <w:r>
          <w:rPr>
            <w:color w:val="0000FF" w:themeColor="hyperlink"/>
            <w:u w:val="single"/>
          </w:rPr>
          <w:t>123-5531</w:t>
        </w:r>
      </w:hyperlink>
      <w:r>
        <w:rPr>
          <w:color w:val="000000"/>
        </w:rPr>
        <w:t>) 8 str. 5 dalies nuostatas:</w:t>
      </w:r>
    </w:p>
    <w:p>
      <w:pPr>
        <w:ind w:firstLine="709"/>
        <w:jc w:val="both"/>
        <w:rPr>
          <w:color w:val="000000"/>
        </w:rPr>
      </w:pPr>
      <w:r>
        <w:rPr>
          <w:color w:val="000000"/>
        </w:rPr>
        <w:t>1</w:t>
      </w:r>
      <w:r>
        <w:rPr>
          <w:color w:val="000000"/>
        </w:rPr>
        <w:t xml:space="preserve">. </w:t>
      </w:r>
      <w:r>
        <w:rPr>
          <w:color w:val="000000"/>
          <w:spacing w:val="60"/>
        </w:rPr>
        <w:t>Tvirtinu</w:t>
      </w:r>
      <w:r>
        <w:rPr>
          <w:color w:val="000000"/>
        </w:rPr>
        <w:t xml:space="preserve"> pridedamas:</w:t>
      </w:r>
    </w:p>
    <w:p>
      <w:pPr>
        <w:ind w:firstLine="709"/>
        <w:jc w:val="both"/>
        <w:rPr>
          <w:color w:val="000000"/>
        </w:rPr>
      </w:pPr>
      <w:r>
        <w:rPr>
          <w:color w:val="000000"/>
        </w:rPr>
        <w:t>1.1</w:t>
      </w:r>
      <w:r>
        <w:rPr>
          <w:color w:val="000000"/>
        </w:rPr>
        <w:t>. Užsienio valstybėse paveldimo turto mokesčio deklaracijos FR0585 formą (toliau – FR0585 forma) su jos papildomo lapo FR0585P forma (toliau – FR0585P forma).</w:t>
      </w:r>
    </w:p>
    <w:p>
      <w:pPr>
        <w:ind w:firstLine="709"/>
        <w:jc w:val="both"/>
        <w:rPr>
          <w:color w:val="000000"/>
        </w:rPr>
      </w:pPr>
      <w:r>
        <w:rPr>
          <w:color w:val="000000"/>
        </w:rPr>
        <w:t>1.2</w:t>
      </w:r>
      <w:r>
        <w:rPr>
          <w:color w:val="000000"/>
        </w:rPr>
        <w:t>. Užsienio valstybėse paveldimo turto mokesčio deklaracijos bei jos papildomo lapo pildymo ir teikimo taisykles (toliau – Taisyklės).</w:t>
      </w:r>
    </w:p>
    <w:p>
      <w:pPr>
        <w:ind w:firstLine="709"/>
        <w:jc w:val="both"/>
        <w:rPr>
          <w:color w:val="000000"/>
        </w:rPr>
      </w:pPr>
      <w:r>
        <w:rPr>
          <w:color w:val="000000"/>
        </w:rPr>
        <w:t>2</w:t>
      </w:r>
      <w:r>
        <w:rPr>
          <w:color w:val="000000"/>
        </w:rPr>
        <w:t xml:space="preserve">. </w:t>
      </w:r>
      <w:r>
        <w:rPr>
          <w:color w:val="000000"/>
          <w:spacing w:val="60"/>
        </w:rPr>
        <w:t>Įsaka</w:t>
      </w:r>
      <w:r>
        <w:rPr>
          <w:color w:val="000000"/>
        </w:rPr>
        <w:t>u:</w:t>
      </w:r>
    </w:p>
    <w:p>
      <w:pPr>
        <w:ind w:firstLine="709"/>
        <w:jc w:val="both"/>
        <w:rPr>
          <w:color w:val="000000"/>
        </w:rPr>
      </w:pPr>
      <w:r>
        <w:rPr>
          <w:color w:val="000000"/>
        </w:rPr>
        <w:t>2.1</w:t>
      </w:r>
      <w:r>
        <w:rPr>
          <w:color w:val="000000"/>
        </w:rPr>
        <w:t>. Apskričių valstybinių mokesčių inspekcijų (toliau – AVMI) viršininkams kontroliuoti, kad nuolatiniai Lietuvos gyventojai, deklaruodami užsienio valstybėse paveldėtą turtą, naudotų FR0585 formą ir FR0585P formą ir jas pildytų vadovaudamiesi Taisyklėmis.</w:t>
      </w:r>
    </w:p>
    <w:p>
      <w:pPr>
        <w:pStyle w:val="PlainText"/>
        <w:ind w:firstLine="567"/>
        <w:jc w:val="both"/>
        <w:rPr>
          <w:rFonts w:ascii="Times New Roman" w:hAnsi="Times New Roman"/>
          <w:b/>
          <w:bCs/>
          <w:sz w:val="22"/>
        </w:rPr>
      </w:pPr>
      <w:r>
        <w:rPr>
          <w:rFonts w:ascii="Times New Roman" w:hAnsi="Times New Roman"/>
          <w:sz w:val="22"/>
        </w:rPr>
        <w:t>2.2</w:t>
      </w:r>
      <w:r>
        <w:rPr>
          <w:rFonts w:ascii="Times New Roman" w:hAnsi="Times New Roman"/>
          <w:sz w:val="22"/>
        </w:rPr>
        <w:t>.</w:t>
      </w:r>
      <w:r>
        <w:rPr>
          <w:rFonts w:ascii="Times New Roman" w:eastAsia="MS Mincho" w:hAnsi="Times New Roman"/>
          <w:sz w:val="20"/>
          <w:i/>
          <w:iCs/>
        </w:rPr>
        <w:t xml:space="preserve"> Neteko galios nuo 2014-11-05</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1cf10063fd11e4ab32a37dfc9a0878">
        <w:r w:rsidRPr="00532B9F">
          <w:rPr>
            <w:rFonts w:ascii="Times New Roman" w:eastAsia="MS Mincho" w:hAnsi="Times New Roman"/>
            <w:sz w:val="20"/>
            <w:i/>
            <w:iCs/>
            <w:color w:val="0000FF" w:themeColor="hyperlink"/>
            <w:u w:val="single"/>
          </w:rPr>
          <w:t>VA-127</w:t>
        </w:r>
      </w:fldSimple>
      <w:r>
        <w:rPr>
          <w:rFonts w:ascii="Times New Roman" w:eastAsia="MS Mincho" w:hAnsi="Times New Roman"/>
          <w:sz w:val="20"/>
          <w:i/>
          <w:iCs/>
        </w:rPr>
        <w:t>,
2014-11-04,
paskelbta TAR 2014-11-04, i. k. 2014-15637        </w:t>
      </w:r>
    </w:p>
    <w:p/>
    <w:p>
      <w:pPr>
        <w:pStyle w:val="PlainText"/>
        <w:ind w:firstLine="567"/>
        <w:jc w:val="both"/>
        <w:rPr>
          <w:rFonts w:ascii="Times New Roman" w:hAnsi="Times New Roman"/>
          <w:b/>
          <w:bCs/>
          <w:sz w:val="22"/>
        </w:rPr>
      </w:pPr>
      <w:r>
        <w:rPr>
          <w:rFonts w:ascii="Times New Roman" w:hAnsi="Times New Roman"/>
          <w:sz w:val="22"/>
        </w:rPr>
        <w:t>2.3</w:t>
      </w:r>
      <w:r>
        <w:rPr>
          <w:rFonts w:ascii="Times New Roman" w:hAnsi="Times New Roman"/>
          <w:sz w:val="22"/>
        </w:rPr>
        <w:t>.</w:t>
      </w:r>
      <w:r>
        <w:rPr>
          <w:rFonts w:ascii="Times New Roman" w:eastAsia="MS Mincho" w:hAnsi="Times New Roman"/>
          <w:sz w:val="20"/>
          <w:i/>
          <w:iCs/>
        </w:rPr>
        <w:t xml:space="preserve"> Neteko galios nuo 2014-11-05</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1cf10063fd11e4ab32a37dfc9a0878">
        <w:r w:rsidRPr="00532B9F">
          <w:rPr>
            <w:rFonts w:ascii="Times New Roman" w:eastAsia="MS Mincho" w:hAnsi="Times New Roman"/>
            <w:sz w:val="20"/>
            <w:i/>
            <w:iCs/>
            <w:color w:val="0000FF" w:themeColor="hyperlink"/>
            <w:u w:val="single"/>
          </w:rPr>
          <w:t>VA-127</w:t>
        </w:r>
      </w:fldSimple>
      <w:r>
        <w:rPr>
          <w:rFonts w:ascii="Times New Roman" w:eastAsia="MS Mincho" w:hAnsi="Times New Roman"/>
          <w:sz w:val="20"/>
          <w:i/>
          <w:iCs/>
        </w:rPr>
        <w:t>,
2014-11-04,
paskelbta TAR 2014-11-04, i. k. 2014-15637        </w:t>
      </w:r>
    </w:p>
    <w:p/>
    <w:p>
      <w:pPr>
        <w:pStyle w:val="PlainText"/>
        <w:ind w:firstLine="567"/>
        <w:jc w:val="both"/>
        <w:rPr>
          <w:rFonts w:ascii="Times New Roman" w:hAnsi="Times New Roman"/>
          <w:b/>
          <w:bCs/>
          <w:sz w:val="22"/>
        </w:rPr>
      </w:pPr>
      <w:r>
        <w:rPr>
          <w:rFonts w:ascii="Times New Roman" w:hAnsi="Times New Roman"/>
          <w:sz w:val="22"/>
        </w:rPr>
        <w:t>2.4</w:t>
      </w:r>
      <w:r>
        <w:rPr>
          <w:rFonts w:ascii="Times New Roman" w:hAnsi="Times New Roman"/>
          <w:sz w:val="22"/>
        </w:rPr>
        <w:t>.</w:t>
      </w:r>
      <w:r>
        <w:rPr>
          <w:rFonts w:ascii="Times New Roman" w:eastAsia="MS Mincho" w:hAnsi="Times New Roman"/>
          <w:sz w:val="20"/>
          <w:i/>
          <w:iCs/>
        </w:rPr>
        <w:t xml:space="preserve"> Neteko galios nuo 2014-11-05</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1cf10063fd11e4ab32a37dfc9a0878">
        <w:r w:rsidRPr="00532B9F">
          <w:rPr>
            <w:rFonts w:ascii="Times New Roman" w:eastAsia="MS Mincho" w:hAnsi="Times New Roman"/>
            <w:sz w:val="20"/>
            <w:i/>
            <w:iCs/>
            <w:color w:val="0000FF" w:themeColor="hyperlink"/>
            <w:u w:val="single"/>
          </w:rPr>
          <w:t>VA-127</w:t>
        </w:r>
      </w:fldSimple>
      <w:r>
        <w:rPr>
          <w:rFonts w:ascii="Times New Roman" w:eastAsia="MS Mincho" w:hAnsi="Times New Roman"/>
          <w:sz w:val="20"/>
          <w:i/>
          <w:iCs/>
        </w:rPr>
        <w:t>,
2014-11-04,
paskelbta TAR 2014-11-04, i. k. 2014-15637        </w:t>
      </w:r>
    </w:p>
    <w:p/>
    <w:p>
      <w:pPr>
        <w:pStyle w:val="PlainText"/>
        <w:ind w:firstLine="567"/>
        <w:jc w:val="both"/>
        <w:rPr>
          <w:rFonts w:ascii="Times New Roman" w:hAnsi="Times New Roman"/>
          <w:b/>
          <w:bCs/>
          <w:sz w:val="22"/>
        </w:rPr>
      </w:pPr>
      <w:r>
        <w:rPr>
          <w:rFonts w:ascii="Times New Roman" w:hAnsi="Times New Roman"/>
          <w:sz w:val="22"/>
        </w:rPr>
        <w:t>2.5</w:t>
      </w:r>
      <w:r>
        <w:rPr>
          <w:rFonts w:ascii="Times New Roman" w:hAnsi="Times New Roman"/>
          <w:sz w:val="22"/>
        </w:rPr>
        <w:t>.</w:t>
      </w:r>
      <w:r>
        <w:rPr>
          <w:rFonts w:ascii="Times New Roman" w:eastAsia="MS Mincho" w:hAnsi="Times New Roman"/>
          <w:sz w:val="20"/>
          <w:i/>
          <w:iCs/>
        </w:rPr>
        <w:t xml:space="preserve"> Neteko galios nuo 2014-11-05</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1cf10063fd11e4ab32a37dfc9a0878">
        <w:r w:rsidRPr="00532B9F">
          <w:rPr>
            <w:rFonts w:ascii="Times New Roman" w:eastAsia="MS Mincho" w:hAnsi="Times New Roman"/>
            <w:sz w:val="20"/>
            <w:i/>
            <w:iCs/>
            <w:color w:val="0000FF" w:themeColor="hyperlink"/>
            <w:u w:val="single"/>
          </w:rPr>
          <w:t>VA-127</w:t>
        </w:r>
      </w:fldSimple>
      <w:r>
        <w:rPr>
          <w:rFonts w:ascii="Times New Roman" w:eastAsia="MS Mincho" w:hAnsi="Times New Roman"/>
          <w:sz w:val="20"/>
          <w:i/>
          <w:iCs/>
        </w:rPr>
        <w:t>,
2014-11-04,
paskelbta TAR 2014-11-04, i. k. 2014-15637        </w:t>
      </w:r>
    </w:p>
    <w:p/>
    <w:p>
      <w:pPr>
        <w:ind w:firstLine="709"/>
        <w:jc w:val="both"/>
        <w:rPr>
          <w:color w:val="000000"/>
        </w:rPr>
      </w:pPr>
      <w:r>
        <w:rPr>
          <w:color w:val="000000"/>
        </w:rPr>
        <w:t>2.6</w:t>
      </w:r>
      <w:r>
        <w:rPr>
          <w:color w:val="000000"/>
        </w:rPr>
        <w:t>. Atitinkamas veiklos sritis kuruojantiems Inspekcijos viršininko pavaduotojams kontroliuoti šio įsakymo vykdymą.</w:t>
      </w:r>
    </w:p>
    <w:p>
      <w:pPr>
        <w:tabs>
          <w:tab w:val="right" w:pos="9639"/>
        </w:tabs>
      </w:pPr>
    </w:p>
    <w:p>
      <w:pPr>
        <w:tabs>
          <w:tab w:val="right" w:pos="9639"/>
        </w:tabs>
      </w:pPr>
    </w:p>
    <w:p>
      <w:pPr>
        <w:tabs>
          <w:tab w:val="right" w:pos="9639"/>
        </w:tabs>
      </w:pPr>
    </w:p>
    <w:p>
      <w:pPr>
        <w:tabs>
          <w:tab w:val="right" w:pos="9639"/>
        </w:tabs>
        <w:rPr>
          <w:caps/>
        </w:rPr>
      </w:pPr>
      <w:r>
        <w:rPr>
          <w:caps/>
        </w:rPr>
        <w:t>VIRŠININKĖ</w:t>
        <w:tab/>
        <w:t>VIOLETA LATVIENĖ</w:t>
      </w:r>
    </w:p>
    <w:p>
      <w:pPr>
        <w:rPr>
          <w:rFonts w:ascii="TimesLT" w:hAnsi="TimesLT"/>
          <w:sz w:val="20"/>
        </w:rPr>
      </w:pPr>
    </w:p>
    <w:p>
      <w:pPr>
        <w:jc w:val="both"/>
      </w:pPr>
      <w:r>
        <w:br w:type="page"/>
      </w:r>
    </w:p>
    <w:p>
      <w:pPr>
        <w:ind w:left="4678" w:firstLine="567"/>
        <w:jc w:val="both"/>
        <w:rPr>
          <w:szCs w:val="24"/>
        </w:rPr>
      </w:pPr>
      <w:r>
        <w:rPr>
          <w:szCs w:val="24"/>
        </w:rPr>
        <w:t>PATVIRTINTA</w:t>
      </w:r>
    </w:p>
    <w:p>
      <w:pPr>
        <w:ind w:left="4678" w:firstLine="567"/>
        <w:jc w:val="both"/>
        <w:rPr>
          <w:szCs w:val="24"/>
        </w:rPr>
      </w:pPr>
      <w:r>
        <w:rPr>
          <w:szCs w:val="24"/>
        </w:rPr>
        <w:t>Valstybinės mokesčių inspekcijos prie</w:t>
      </w:r>
    </w:p>
    <w:p>
      <w:pPr>
        <w:ind w:left="4678" w:firstLine="567"/>
        <w:jc w:val="both"/>
        <w:rPr>
          <w:szCs w:val="24"/>
        </w:rPr>
      </w:pPr>
      <w:r>
        <w:rPr>
          <w:szCs w:val="24"/>
        </w:rPr>
        <w:t>Lietuvos Respublikos finansų ministerijos</w:t>
      </w:r>
    </w:p>
    <w:p>
      <w:pPr>
        <w:ind w:left="4678" w:firstLine="567"/>
        <w:jc w:val="both"/>
        <w:rPr>
          <w:szCs w:val="24"/>
        </w:rPr>
      </w:pPr>
      <w:r>
        <w:rPr>
          <w:szCs w:val="24"/>
        </w:rPr>
        <w:t xml:space="preserve">viršininko 2003 m. gruodžio 17 d. </w:t>
      </w:r>
    </w:p>
    <w:p>
      <w:pPr>
        <w:ind w:left="4678" w:firstLine="567"/>
        <w:jc w:val="both"/>
        <w:rPr>
          <w:szCs w:val="24"/>
        </w:rPr>
      </w:pPr>
      <w:r>
        <w:rPr>
          <w:szCs w:val="24"/>
        </w:rPr>
        <w:t>įsakymu Nr. V-325</w:t>
      </w:r>
    </w:p>
    <w:p>
      <w:pPr>
        <w:ind w:left="4678" w:firstLine="567"/>
        <w:jc w:val="both"/>
        <w:rPr>
          <w:szCs w:val="24"/>
        </w:rPr>
      </w:pPr>
      <w:r>
        <w:rPr>
          <w:szCs w:val="24"/>
        </w:rPr>
        <w:t>(Valstybinės mokesčių inspekcijos prie</w:t>
      </w:r>
    </w:p>
    <w:p>
      <w:pPr>
        <w:ind w:left="4678" w:firstLine="567"/>
        <w:jc w:val="both"/>
        <w:rPr>
          <w:szCs w:val="24"/>
        </w:rPr>
      </w:pPr>
      <w:r>
        <w:rPr>
          <w:szCs w:val="24"/>
        </w:rPr>
        <w:t>Lietuvos Respublikos finansų ministerijos</w:t>
      </w:r>
    </w:p>
    <w:p>
      <w:pPr>
        <w:ind w:left="4678" w:firstLine="567"/>
        <w:jc w:val="both"/>
        <w:rPr>
          <w:szCs w:val="24"/>
        </w:rPr>
      </w:pPr>
      <w:r>
        <w:rPr>
          <w:szCs w:val="24"/>
        </w:rPr>
        <w:t xml:space="preserve">viršininko 2016 m. gruodžio 1 d. </w:t>
      </w:r>
    </w:p>
    <w:p>
      <w:pPr>
        <w:ind w:left="4678" w:firstLine="567"/>
        <w:jc w:val="both"/>
        <w:rPr>
          <w:szCs w:val="24"/>
        </w:rPr>
      </w:pPr>
      <w:r>
        <w:rPr>
          <w:szCs w:val="24"/>
        </w:rPr>
        <w:t>įsakymo Nr. VA-147 redakcija)</w:t>
      </w:r>
    </w:p>
    <w:p>
      <w:pPr/>
    </w:p>
    <w:p>
      <w:pPr>
        <w:ind w:firstLine="567"/>
        <w:jc w:val="both"/>
        <w:rPr>
          <w:szCs w:val="24"/>
        </w:rPr>
      </w:pPr>
    </w:p>
    <w:p>
      <w:pPr>
        <w:keepNext/>
        <w:ind w:firstLine="567"/>
        <w:jc w:val="center"/>
        <w:rPr>
          <w:b/>
          <w:caps/>
          <w:kern w:val="28"/>
          <w:szCs w:val="24"/>
        </w:rPr>
      </w:pPr>
      <w:r>
        <w:rPr>
          <w:b/>
          <w:caps/>
          <w:kern w:val="28"/>
        </w:rPr>
        <w:t>PAVELDIMO TURTO MOKESČIO DEKLARACIJOS, kai TURTAS PAVELDĖTAS UŽSIENIO VALSTYBĖSE, FR0585 FORMOS IR JOS PRIEDO fr0585p FORMOS UŽPILDYMO IR PATEIKIMO TAISYKLĖS</w:t>
      </w:r>
    </w:p>
    <w:p>
      <w:pPr/>
    </w:p>
    <w:p>
      <w:pPr>
        <w:jc w:val="both"/>
        <w:rPr>
          <w:szCs w:val="24"/>
        </w:rPr>
      </w:pPr>
    </w:p>
    <w:p>
      <w:pPr>
        <w:keepNext/>
        <w:ind w:firstLine="567"/>
        <w:jc w:val="center"/>
        <w:rPr>
          <w:b/>
          <w:caps/>
          <w:kern w:val="28"/>
          <w:szCs w:val="24"/>
        </w:rPr>
      </w:pPr>
      <w:r>
        <w:rPr>
          <w:b/>
          <w:caps/>
          <w:kern w:val="28"/>
        </w:rPr>
        <w:t>I</w:t>
      </w:r>
      <w:r>
        <w:rPr>
          <w:b/>
          <w:caps/>
          <w:kern w:val="28"/>
        </w:rPr>
        <w:t xml:space="preserve"> SKYRIUS</w:t>
      </w:r>
    </w:p>
    <w:p>
      <w:pPr>
        <w:keepNext/>
        <w:jc w:val="center"/>
        <w:rPr>
          <w:b/>
          <w:caps/>
          <w:kern w:val="28"/>
        </w:rPr>
      </w:pPr>
      <w:r>
        <w:rPr>
          <w:b/>
          <w:caps/>
          <w:kern w:val="28"/>
        </w:rPr>
        <w:t>BENDROSIOS NUOSTATOS</w:t>
      </w:r>
    </w:p>
    <w:p>
      <w:pPr>
        <w:rPr>
          <w:sz w:val="22"/>
          <w:szCs w:val="22"/>
        </w:rPr>
      </w:pPr>
    </w:p>
    <w:p>
      <w:pPr>
        <w:ind w:firstLine="567"/>
        <w:jc w:val="both"/>
        <w:rPr>
          <w:szCs w:val="24"/>
        </w:rPr>
      </w:pPr>
      <w:r>
        <w:rPr>
          <w:szCs w:val="24"/>
        </w:rPr>
        <w:t>1</w:t>
      </w:r>
      <w:r>
        <w:rPr>
          <w:szCs w:val="24"/>
        </w:rPr>
        <w:t>. Paveldimo turto mokesčio deklaracijos, kai turtas paveldėtas užsienio valstybėse, FR0585 formos ir jos priedo FR0585P formos užpildymo ir pateikimo taisyklės (toliau – Taisyklės) nustato nuolatinio Lietuvos gyventojo (toliau – gyventojas), mokestiniais metais (kalendoriniais metais, kuriais turtas buvo paveldėtas) paveldėjusio turtą užsienio valstybėse, Paveldimo turto mokesčio deklaracijos, kai turtas paveldėtas užsienio valstybėse, FR0585 formos (toliau – deklaracija) ir jos priedo FR0585P formos (toliau – deklaracijos priedas) užpildymo ir pateikimo tvarką.</w:t>
      </w:r>
    </w:p>
    <w:p>
      <w:pPr>
        <w:ind w:firstLine="567"/>
        <w:jc w:val="both"/>
        <w:rPr>
          <w:szCs w:val="24"/>
        </w:rPr>
      </w:pPr>
      <w:r>
        <w:rPr>
          <w:szCs w:val="24"/>
        </w:rPr>
        <w:t>2</w:t>
      </w:r>
      <w:r>
        <w:rPr>
          <w:szCs w:val="24"/>
        </w:rPr>
        <w:t xml:space="preserve">. Taisyklės parengtos, vadovaujantis Lietuvos Respublikos paveldimo turto mokesčio įstatymu (toliau – Įstatymas), Paveldimo turto apmokestinamosios vertės apskaičiavimo taisyklėmis, patvirtintomis Lietuvos Respublikos Vyriausybės 2003 m. sausio 13 d. nutarimu Nr. 24 „Dėl Paveldimo turto apmokestinamosios vertės apskaičiavimo taisyklių patvirtinimo“, Užsienio valstybių, kuriose sumokėtą paveldimo turto mokesčio arba jam tapataus mokesčio sumą galima atskaityti iš Lietuvos Respublikos paveldimo turto mokesčio įstatymo nustatyta tvarka apskaičiuoto paveldimo turto mokesčio sumos, sąrašu, patvirtintu Lietuvos Respublikos finansų ministro 2003 m. liepos 17 d. įsakymu Nr. 1K-203 „Dėl Užsienio valstybių, kuriose sumokėtą paveldimo turto mokesčio arba jam tapataus mokesčio sumą galima atskaityti iš Lietuvos Respublikos paveldimo turto mokesčio įstatymo nustatyta tvarka apskaičiuoto paveldimo turto mokesčio sumos, sąrašo patvirtinimo“ (toliau – Užsienio valstybių, kuriose sumokėtą paveldimo turto mokesčio arba jam tapataus mokesčio sumą galima atskaityti iš Lietuvos Respublikos paveldimo turto mokesčio įstatymo nustatyta tvarka apskaičiuoto paveldimo turto mokesčio sumos, sąrašas) ir kitais teisės aktais. </w:t>
      </w:r>
    </w:p>
    <w:p>
      <w:pPr>
        <w:ind w:firstLine="567"/>
        <w:jc w:val="both"/>
      </w:pPr>
      <w:r>
        <w:rPr>
          <w:szCs w:val="24"/>
        </w:rPr>
        <w:t>3</w:t>
      </w:r>
      <w:r>
        <w:rPr>
          <w:szCs w:val="24"/>
        </w:rPr>
        <w:t>. Taisyklėse vartojamos sąvokos atitinka Įstatymo 2 straipsnyje nurodytas sąvokas.</w:t>
      </w:r>
    </w:p>
    <w:p>
      <w:pPr>
        <w:tabs>
          <w:tab w:val="left" w:pos="4820"/>
          <w:tab w:val="right" w:pos="9638"/>
        </w:tabs>
        <w:ind w:firstLine="567"/>
        <w:jc w:val="both"/>
        <w:rPr>
          <w:szCs w:val="24"/>
        </w:rPr>
      </w:pPr>
      <w:r>
        <w:rPr>
          <w:szCs w:val="24"/>
        </w:rPr>
        <w:t>4</w:t>
      </w:r>
      <w:r>
        <w:rPr>
          <w:szCs w:val="24"/>
        </w:rPr>
        <w:t>. Deklaracijoje turi būti įrašomi užsienio valstybėje turtą paveldėjusio gyventojo duomenys ir paveldimo turto mokesčio suma, privaloma sumokėti nuo viso užsienio valstybėse per mokestinius metus paveldėto turto apmokestinamosios vertės. Deklaracijos priede turi būti pateikiami duomenys apie turto palikėją, užsienio valstybėje paveldėtą turtą ir joje sumokėtą paveldimo turto mokestį ar jam tapatų mokestį, apskaičiuotą Lietuvoje mokėtiną paveldimo turto mokestį. Gyventojas turi užpildyti tiek deklaracijos priedo lapų, keliose užsienio valstybėse jis iš to paties ar skirtingų turto palikėjų paveldėjo turtą.</w:t>
      </w:r>
    </w:p>
    <w:p>
      <w:pPr>
        <w:ind w:firstLine="567"/>
        <w:jc w:val="both"/>
        <w:rPr>
          <w:szCs w:val="24"/>
        </w:rPr>
      </w:pPr>
      <w:r>
        <w:rPr>
          <w:szCs w:val="24"/>
        </w:rPr>
        <w:t>Pavyzdžiai</w:t>
      </w:r>
    </w:p>
    <w:p>
      <w:pPr>
        <w:pBdr>
          <w:top w:val="single" w:sz="4" w:space="1" w:color="auto"/>
          <w:left w:val="single" w:sz="4" w:space="4" w:color="auto"/>
          <w:bottom w:val="single" w:sz="4" w:space="1" w:color="auto"/>
          <w:right w:val="single" w:sz="4" w:space="4" w:color="auto"/>
        </w:pBdr>
        <w:ind w:firstLine="567"/>
        <w:jc w:val="both"/>
        <w:rPr>
          <w:szCs w:val="24"/>
        </w:rPr>
      </w:pPr>
      <w:r>
        <w:rPr>
          <w:szCs w:val="24"/>
        </w:rPr>
        <w:t>1. Gyventojas paveldėjo vieno turto palikėjo turtą, esantį vienoje užsienio valstybėje. Jis turės užpildyti vieną deklaraciją ir vieną deklaracijos priedo lapą.</w:t>
      </w:r>
    </w:p>
    <w:p>
      <w:pPr>
        <w:pBdr>
          <w:top w:val="single" w:sz="4" w:space="1" w:color="auto"/>
          <w:left w:val="single" w:sz="4" w:space="4" w:color="auto"/>
          <w:bottom w:val="single" w:sz="4" w:space="1" w:color="auto"/>
          <w:right w:val="single" w:sz="4" w:space="4" w:color="auto"/>
        </w:pBdr>
        <w:ind w:firstLine="567"/>
        <w:jc w:val="both"/>
        <w:rPr>
          <w:szCs w:val="24"/>
        </w:rPr>
      </w:pPr>
      <w:r>
        <w:rPr>
          <w:szCs w:val="24"/>
        </w:rPr>
        <w:t xml:space="preserve">2. Gyventojas paveldėjo vieno turto palikėjo turtą, esantį dvejose užsienio valstybėse. Jis turės užpildyti vieną deklaraciją ir du deklaracijos priedo lapus. </w:t>
      </w:r>
    </w:p>
    <w:p>
      <w:pPr>
        <w:pBdr>
          <w:top w:val="single" w:sz="4" w:space="1" w:color="auto"/>
          <w:left w:val="single" w:sz="4" w:space="4" w:color="auto"/>
          <w:bottom w:val="single" w:sz="4" w:space="1" w:color="auto"/>
          <w:right w:val="single" w:sz="4" w:space="4" w:color="auto"/>
        </w:pBdr>
        <w:ind w:firstLine="567"/>
        <w:jc w:val="both"/>
        <w:rPr>
          <w:szCs w:val="24"/>
        </w:rPr>
      </w:pPr>
      <w:r>
        <w:rPr>
          <w:szCs w:val="24"/>
        </w:rPr>
        <w:t>3. Gyventojas paveldėjo vieno turto palikėjo turtą, esantį dvejose užsienio valstybėse, o iš antro turto palikėjo – turtą, esantį trijose užsienio valstybėse. Jis turės užpildyti vieną deklaraciją ir penkis deklaracijos priedo lapus.</w:t>
      </w:r>
    </w:p>
    <w:p>
      <w:pPr>
        <w:pBdr>
          <w:top w:val="single" w:sz="4" w:space="1" w:color="auto"/>
          <w:left w:val="single" w:sz="4" w:space="4" w:color="auto"/>
          <w:bottom w:val="single" w:sz="4" w:space="1" w:color="auto"/>
          <w:right w:val="single" w:sz="4" w:space="4" w:color="auto"/>
        </w:pBdr>
        <w:ind w:firstLine="567"/>
        <w:jc w:val="both"/>
        <w:rPr>
          <w:szCs w:val="24"/>
        </w:rPr>
      </w:pPr>
    </w:p>
    <w:p>
      <w:pPr>
        <w:ind w:firstLine="567"/>
        <w:jc w:val="both"/>
        <w:rPr>
          <w:szCs w:val="24"/>
        </w:rPr>
      </w:pPr>
      <w:r>
        <w:rPr>
          <w:szCs w:val="24"/>
        </w:rPr>
        <w:t>5</w:t>
      </w:r>
      <w:r>
        <w:rPr>
          <w:szCs w:val="24"/>
        </w:rPr>
        <w:t>. Deklaracijos pateikti nereikia, kai:</w:t>
      </w:r>
    </w:p>
    <w:p>
      <w:pPr>
        <w:ind w:firstLine="567"/>
        <w:jc w:val="both"/>
        <w:rPr>
          <w:szCs w:val="24"/>
        </w:rPr>
      </w:pPr>
      <w:r>
        <w:rPr>
          <w:szCs w:val="24"/>
        </w:rPr>
        <w:t>5.1</w:t>
      </w:r>
      <w:r>
        <w:rPr>
          <w:szCs w:val="24"/>
        </w:rPr>
        <w:t>. vienam sutuoktiniui mirus, kitas sutuoktinis paveldi jo turtą;</w:t>
      </w:r>
    </w:p>
    <w:p>
      <w:pPr>
        <w:ind w:firstLine="567"/>
        <w:jc w:val="both"/>
        <w:rPr>
          <w:szCs w:val="24"/>
        </w:rPr>
      </w:pPr>
      <w:r>
        <w:rPr>
          <w:szCs w:val="24"/>
        </w:rPr>
        <w:t>5.2</w:t>
      </w:r>
      <w:r>
        <w:rPr>
          <w:szCs w:val="24"/>
        </w:rPr>
        <w:t>. paveldimas vaikų (įvaikių), tėvų (įtėvių), globėjų (rūpintojų), globotinių (rūpintinių), senelių, vaikaičių, brolių, seserų turtas;</w:t>
      </w:r>
    </w:p>
    <w:p>
      <w:pPr>
        <w:ind w:firstLine="567"/>
        <w:jc w:val="both"/>
        <w:rPr>
          <w:szCs w:val="24"/>
        </w:rPr>
      </w:pPr>
      <w:r>
        <w:rPr>
          <w:szCs w:val="24"/>
        </w:rPr>
        <w:t>5.3</w:t>
      </w:r>
      <w:r>
        <w:rPr>
          <w:szCs w:val="24"/>
        </w:rPr>
        <w:t>. paveldimo turto apmokestinamoji vertė nėra didesnė nei 3 000 eurų, t. y. kai viso iš to paties turto palikėjo paveldėto turto vertė yra ne didesnė nei 4 286 eurų.</w:t>
      </w:r>
    </w:p>
    <w:p>
      <w:pPr>
        <w:ind w:firstLine="567"/>
        <w:jc w:val="both"/>
        <w:rPr>
          <w:szCs w:val="24"/>
        </w:rPr>
      </w:pPr>
      <w:r>
        <w:rPr>
          <w:szCs w:val="24"/>
        </w:rPr>
        <w:t>6</w:t>
      </w:r>
      <w:r>
        <w:rPr>
          <w:szCs w:val="24"/>
        </w:rPr>
        <w:t>. Gyventojas, paveldėjęs turtą užsienio valstybėse, privalo pats apskaičiuoti paveldimo turto apmokestinamąją vertę, mokėtiną paveldimo turto mokestį ir jį sumokėti į Valstybinės mokesčių inspekcijos biudžeto pajamų surenkamąją sąskaitą.</w:t>
      </w:r>
    </w:p>
    <w:p>
      <w:pPr>
        <w:ind w:firstLine="567"/>
        <w:jc w:val="both"/>
        <w:rPr>
          <w:szCs w:val="24"/>
        </w:rPr>
      </w:pPr>
      <w:r>
        <w:rPr>
          <w:szCs w:val="24"/>
        </w:rPr>
        <w:t>7</w:t>
      </w:r>
      <w:r>
        <w:rPr>
          <w:szCs w:val="24"/>
        </w:rPr>
        <w:t>. Paveldimo turto mokestis turi būti sumokėtas iki kalendorinių metų, einančių po mokestinių metų, kovo 1 dienos.</w:t>
      </w:r>
    </w:p>
    <w:p>
      <w:pPr>
        <w:ind w:firstLine="567"/>
        <w:jc w:val="both"/>
        <w:rPr>
          <w:szCs w:val="24"/>
        </w:rPr>
      </w:pPr>
      <w:r>
        <w:rPr>
          <w:szCs w:val="24"/>
        </w:rPr>
        <w:t>8</w:t>
      </w:r>
      <w:r>
        <w:rPr>
          <w:szCs w:val="24"/>
        </w:rPr>
        <w:t>. Užpildyti ir pateikti deklaraciją gali pats turtą paveldėjęs gyventojas arba jo atstovas.</w:t>
      </w:r>
    </w:p>
    <w:p>
      <w:pPr>
        <w:tabs>
          <w:tab w:val="left" w:pos="4820"/>
          <w:tab w:val="right" w:pos="9638"/>
        </w:tabs>
        <w:ind w:firstLine="567"/>
        <w:jc w:val="both"/>
        <w:rPr>
          <w:szCs w:val="24"/>
        </w:rPr>
      </w:pPr>
      <w:r>
        <w:rPr>
          <w:szCs w:val="24"/>
        </w:rPr>
        <w:t>9</w:t>
      </w:r>
      <w:r>
        <w:rPr>
          <w:szCs w:val="24"/>
        </w:rPr>
        <w:t xml:space="preserve">. Prie užpildytos deklaracijos turi būti pridėti užsienio valstybėje paveldėto turto vertę įrodantys ir paveldimo turto mokesčio ar jam tapataus mokesčio sumokėjimą užsienio valstybėje patvirtinantys dokumentai (kai užsienio valstybėje sumokėtas mokestis gali būti atskaitomas iš mokėtinos mokesčio sumos ir turtą paveldėjęs gyventojas pageidauja jį atskaityti).  </w:t>
      </w:r>
    </w:p>
    <w:p>
      <w:pPr>
        <w:ind w:firstLine="567"/>
        <w:jc w:val="both"/>
        <w:rPr>
          <w:szCs w:val="24"/>
        </w:rPr>
      </w:pPr>
      <w:r>
        <w:rPr>
          <w:szCs w:val="24"/>
        </w:rPr>
        <w:t xml:space="preserve">Jeigu paveldimo turto mokestį arba jam tapatų mokestį gyventojas sumokėjo toje užsienio valstybėje, kurioje šis turtas yra, ir pagal Užsienio valstybių, kuriose sumokėtą paveldimo turto mokesčio arba jam tapataus mokesčio sumą galima atskaityti iš Lietuvos Respublikos paveldimo turto mokesčio įstatymo nustatyta tvarka apskaičiuoto paveldimo turto mokesčio sumos, sąrašą toje užsienio valstybėje sumokėtą mokestį galima atskaityti, tai pateikiami paveldimo turto mokesčio ar jam tapataus mokesčio sumokėjimą patvirtinantys dokumentai turi būti patvirtinti užsienio valstybės mokesčių administratoriaus. Užsienio valstybės mokesčių administratoriaus patvirtinti ar jo išduoti paveldimo turto mokesčio ar jam tapataus mokesčio sumokėjimo dokumentai, taip pat dokumentai apie užsienio valstybėje paveldėtą turtą (užsienio valstybėje palikimą tvarkančio advokato, palikimo administratoriaus, testamento vykdytojo pranešimas, laiškas ir pan.) turi būti išversti į lietuvių kalbą, o vertėjo patvirtinti vertimai pridėti prie užpildytos deklaracijos. </w:t>
      </w:r>
    </w:p>
    <w:p>
      <w:pPr>
        <w:keepNext/>
        <w:ind w:firstLine="567"/>
        <w:jc w:val="center"/>
        <w:rPr>
          <w:b/>
          <w:caps/>
          <w:kern w:val="28"/>
        </w:rPr>
      </w:pPr>
    </w:p>
    <w:p>
      <w:pPr>
        <w:keepNext/>
        <w:ind w:firstLine="567"/>
        <w:jc w:val="center"/>
        <w:rPr>
          <w:b/>
          <w:caps/>
          <w:kern w:val="28"/>
          <w:szCs w:val="24"/>
        </w:rPr>
      </w:pPr>
      <w:r>
        <w:rPr>
          <w:b/>
          <w:caps/>
          <w:kern w:val="28"/>
        </w:rPr>
        <w:t>II</w:t>
      </w:r>
      <w:r>
        <w:rPr>
          <w:b/>
          <w:caps/>
          <w:kern w:val="28"/>
        </w:rPr>
        <w:t xml:space="preserve"> SKYRIUS</w:t>
      </w:r>
    </w:p>
    <w:p>
      <w:pPr>
        <w:keepNext/>
        <w:jc w:val="center"/>
        <w:rPr>
          <w:b/>
          <w:caps/>
          <w:kern w:val="28"/>
        </w:rPr>
      </w:pPr>
      <w:r>
        <w:rPr>
          <w:b/>
          <w:caps/>
          <w:kern w:val="28"/>
        </w:rPr>
        <w:t>DEKLARACIJOS UŽPILDYMO REIKALAVIMAI</w:t>
      </w:r>
    </w:p>
    <w:p>
      <w:pPr/>
    </w:p>
    <w:p>
      <w:pPr>
        <w:tabs>
          <w:tab w:val="left" w:pos="480"/>
          <w:tab w:val="left" w:pos="4820"/>
          <w:tab w:val="right" w:pos="9638"/>
        </w:tabs>
        <w:ind w:firstLine="567"/>
        <w:jc w:val="both"/>
        <w:rPr>
          <w:szCs w:val="24"/>
        </w:rPr>
      </w:pPr>
      <w:r>
        <w:rPr>
          <w:szCs w:val="24"/>
        </w:rPr>
        <w:t>10</w:t>
      </w:r>
      <w:r>
        <w:rPr>
          <w:szCs w:val="24"/>
        </w:rPr>
        <w:t>. Deklaracija ir jos priedas turi būti užpildomi, laikantis tokių taisyklių:</w:t>
      </w:r>
    </w:p>
    <w:p>
      <w:pPr>
        <w:ind w:firstLine="567"/>
        <w:jc w:val="both"/>
        <w:rPr>
          <w:szCs w:val="24"/>
        </w:rPr>
      </w:pPr>
      <w:r>
        <w:rPr>
          <w:szCs w:val="24"/>
        </w:rPr>
        <w:t>10.1</w:t>
      </w:r>
      <w:r>
        <w:rPr>
          <w:szCs w:val="24"/>
        </w:rPr>
        <w:t>. užpildoma juodu arba tamsiai mėlynu rašikliu (rašalu);</w:t>
      </w:r>
    </w:p>
    <w:p>
      <w:pPr>
        <w:tabs>
          <w:tab w:val="left" w:pos="4820"/>
          <w:tab w:val="right" w:pos="9638"/>
        </w:tabs>
        <w:ind w:firstLine="567"/>
        <w:jc w:val="both"/>
        <w:rPr>
          <w:szCs w:val="24"/>
        </w:rPr>
      </w:pPr>
      <w:r>
        <w:rPr>
          <w:szCs w:val="24"/>
        </w:rPr>
        <w:t>10.2</w:t>
      </w:r>
      <w:r>
        <w:rPr>
          <w:szCs w:val="24"/>
        </w:rPr>
        <w:t xml:space="preserve">. kiekviena raidė ir skaičius turi būti tiksliai įrašomi į atskirą laukelio langelį, nepažeidžiant nurodytų laukų linijų. Kai rodiklis turi mažiau ženklų negu atitinkamame laukelyje yra langelių, tai tušti langeliai gali būti paliekami dešinėje laukelio pusėje, išskyrus laukelius, kuriuose įrašomos sumos. Sumos įrašomos tik dešinėje laukelio pusėje; </w:t>
      </w:r>
    </w:p>
    <w:p>
      <w:pPr>
        <w:ind w:firstLine="567"/>
        <w:jc w:val="both"/>
        <w:rPr>
          <w:strike/>
          <w:szCs w:val="24"/>
        </w:rPr>
      </w:pPr>
      <w:r>
        <w:rPr>
          <w:szCs w:val="24"/>
        </w:rPr>
        <w:t>10.3</w:t>
      </w:r>
      <w:r>
        <w:rPr>
          <w:szCs w:val="24"/>
        </w:rPr>
        <w:t>. sumos (paveldėto turto vertės, apmokestinamosios vertės, paveldimo turto mokesčio) suapvalinamos ir įrašomos tik sveikais skaičiais, t. y. 49 ir mažiau centų – atmetami, 50 ir daugiau centų – laikomi euru;</w:t>
      </w:r>
    </w:p>
    <w:p>
      <w:pPr>
        <w:ind w:firstLine="567"/>
        <w:jc w:val="both"/>
        <w:rPr>
          <w:szCs w:val="24"/>
        </w:rPr>
      </w:pPr>
      <w:r>
        <w:rPr>
          <w:szCs w:val="24"/>
        </w:rPr>
        <w:t>10.4</w:t>
      </w:r>
      <w:r>
        <w:rPr>
          <w:szCs w:val="24"/>
        </w:rPr>
        <w:t>. tekstas turi būti rašomas tik didžiosiomis spausdintinėmis raidėmis. Tarp žodžių paliekami vieno langelio tarpai;</w:t>
      </w:r>
    </w:p>
    <w:p>
      <w:pPr>
        <w:ind w:firstLine="567"/>
        <w:jc w:val="both"/>
        <w:rPr>
          <w:szCs w:val="24"/>
        </w:rPr>
      </w:pPr>
      <w:r>
        <w:rPr>
          <w:szCs w:val="24"/>
        </w:rPr>
        <w:t>10.5</w:t>
      </w:r>
      <w:r>
        <w:rPr>
          <w:szCs w:val="24"/>
        </w:rPr>
        <w:t>. kiekvienam simboliui įrašyti skiriamas atskiras langelis;</w:t>
      </w:r>
    </w:p>
    <w:p>
      <w:pPr>
        <w:tabs>
          <w:tab w:val="left" w:pos="480"/>
        </w:tabs>
        <w:ind w:firstLine="567"/>
        <w:jc w:val="both"/>
        <w:rPr>
          <w:szCs w:val="24"/>
        </w:rPr>
      </w:pPr>
      <w:r>
        <w:rPr>
          <w:szCs w:val="24"/>
        </w:rPr>
        <w:t>10.6</w:t>
      </w:r>
      <w:r>
        <w:rPr>
          <w:szCs w:val="24"/>
        </w:rPr>
        <w:t xml:space="preserve">. laukeliai, kurie neužpildomi, paliekami tušti (neužpildomuose laukeliuose nerašoma jokių brūkšnelių ar kitų simbolių); </w:t>
      </w:r>
    </w:p>
    <w:p>
      <w:pPr>
        <w:tabs>
          <w:tab w:val="left" w:pos="480"/>
        </w:tabs>
        <w:ind w:firstLine="567"/>
        <w:jc w:val="both"/>
        <w:rPr>
          <w:szCs w:val="24"/>
        </w:rPr>
      </w:pPr>
      <w:r>
        <w:rPr>
          <w:szCs w:val="24"/>
        </w:rPr>
        <w:t>10.7</w:t>
      </w:r>
      <w:r>
        <w:rPr>
          <w:szCs w:val="24"/>
        </w:rPr>
        <w:t>. kompiuteriu išspausdintuose deklaracijoje ir deklaracijos priede turi išlikti originalo proporcijos (atstumai tarp ženklų, esančių kampuose, atstumai tarp šių ženklų ir užpildomų laukelių).</w:t>
      </w:r>
    </w:p>
    <w:p>
      <w:pPr>
        <w:tabs>
          <w:tab w:val="left" w:pos="480"/>
        </w:tabs>
        <w:ind w:firstLine="567"/>
        <w:jc w:val="both"/>
        <w:rPr>
          <w:szCs w:val="24"/>
        </w:rPr>
      </w:pPr>
      <w:r>
        <w:rPr>
          <w:szCs w:val="24"/>
        </w:rPr>
        <w:t>11</w:t>
      </w:r>
      <w:r>
        <w:rPr>
          <w:szCs w:val="24"/>
        </w:rPr>
        <w:t>. Deklaruojamos sumos turi būti tiksliai įrašomos į tam skirtus deklaracijos ir deklaracijos priedo laukelius, o aritmetiniai veiksmai atlikti taip, kaip yra nurodyta Taisyklėse.</w:t>
      </w:r>
    </w:p>
    <w:p>
      <w:pPr>
        <w:tabs>
          <w:tab w:val="left" w:pos="480"/>
        </w:tabs>
        <w:ind w:left="283" w:firstLine="567"/>
        <w:jc w:val="both"/>
        <w:rPr>
          <w:szCs w:val="24"/>
        </w:rPr>
      </w:pPr>
    </w:p>
    <w:p>
      <w:pPr>
        <w:tabs>
          <w:tab w:val="left" w:pos="480"/>
        </w:tabs>
        <w:ind w:left="283"/>
        <w:jc w:val="center"/>
        <w:rPr>
          <w:b/>
          <w:bCs/>
          <w:szCs w:val="24"/>
        </w:rPr>
      </w:pPr>
      <w:r>
        <w:rPr>
          <w:b/>
          <w:bCs/>
          <w:szCs w:val="24"/>
        </w:rPr>
        <w:t>III</w:t>
      </w:r>
      <w:r>
        <w:rPr>
          <w:b/>
          <w:bCs/>
          <w:szCs w:val="24"/>
        </w:rPr>
        <w:t xml:space="preserve"> SKYRIUS</w:t>
      </w:r>
    </w:p>
    <w:p>
      <w:pPr>
        <w:tabs>
          <w:tab w:val="left" w:pos="480"/>
        </w:tabs>
        <w:ind w:left="283"/>
        <w:jc w:val="center"/>
        <w:rPr>
          <w:b/>
          <w:bCs/>
          <w:szCs w:val="24"/>
        </w:rPr>
      </w:pPr>
      <w:r>
        <w:rPr>
          <w:b/>
          <w:bCs/>
          <w:szCs w:val="24"/>
        </w:rPr>
        <w:t>DEKLARACIJOS UŽPILDYMAS</w:t>
      </w:r>
    </w:p>
    <w:p>
      <w:pPr>
        <w:widowControl w:val="0"/>
        <w:ind w:right="-6" w:firstLine="567"/>
        <w:jc w:val="both"/>
        <w:rPr>
          <w:szCs w:val="24"/>
        </w:rPr>
      </w:pPr>
    </w:p>
    <w:p>
      <w:pPr>
        <w:widowControl w:val="0"/>
        <w:ind w:right="-6" w:firstLine="567"/>
        <w:jc w:val="both"/>
        <w:rPr>
          <w:rFonts w:ascii="Arial" w:hAnsi="Arial" w:cs="Arial"/>
          <w:color w:val="000000"/>
          <w:sz w:val="20"/>
        </w:rPr>
      </w:pPr>
      <w:r>
        <w:rPr>
          <w:szCs w:val="24"/>
        </w:rPr>
        <w:t>12</w:t>
      </w:r>
      <w:r>
        <w:rPr>
          <w:szCs w:val="24"/>
        </w:rPr>
        <w:t xml:space="preserve">. Deklaracijos </w:t>
      </w:r>
      <w:r>
        <w:rPr>
          <w:b/>
          <w:bCs/>
          <w:szCs w:val="24"/>
        </w:rPr>
        <w:t>1 laukelyje</w:t>
      </w:r>
      <w:r>
        <w:rPr>
          <w:szCs w:val="24"/>
        </w:rPr>
        <w:t xml:space="preserve"> „Mokesčių mokėtojo identifikacinis numeris (asmens kodas)“ turi būti įrašomas turtą paveldėjusio gyventojo identifikacinis numeris, kuris atitinka gyventojo asmens kodą, o jei gyventojas asmens kodo neturi, tai turi būti įrašomas jam priskirtas mokesčių mokėtojo identifikacinis numeris.</w:t>
      </w:r>
    </w:p>
    <w:p>
      <w:pPr>
        <w:ind w:firstLine="567"/>
        <w:jc w:val="both"/>
        <w:rPr>
          <w:szCs w:val="24"/>
        </w:rPr>
      </w:pPr>
      <w:r>
        <w:rPr>
          <w:szCs w:val="24"/>
        </w:rPr>
        <w:t>13</w:t>
      </w:r>
      <w:r>
        <w:rPr>
          <w:szCs w:val="24"/>
        </w:rPr>
        <w:t xml:space="preserve">. Deklaracijos </w:t>
      </w:r>
      <w:r>
        <w:rPr>
          <w:b/>
          <w:bCs/>
          <w:szCs w:val="24"/>
        </w:rPr>
        <w:t xml:space="preserve">2 laukelyje </w:t>
      </w:r>
      <w:r>
        <w:rPr>
          <w:szCs w:val="24"/>
        </w:rPr>
        <w:t>turi būti</w:t>
      </w:r>
      <w:r>
        <w:rPr>
          <w:b/>
          <w:bCs/>
          <w:szCs w:val="24"/>
        </w:rPr>
        <w:t xml:space="preserve"> </w:t>
      </w:r>
      <w:r>
        <w:rPr>
          <w:szCs w:val="24"/>
        </w:rPr>
        <w:t xml:space="preserve">įrašomas gyventojo vardas (vardai). Jeigu vardai netelpa, įrašomas pirmasis vardas. </w:t>
      </w:r>
    </w:p>
    <w:p>
      <w:pPr>
        <w:ind w:firstLine="567"/>
        <w:jc w:val="both"/>
        <w:rPr>
          <w:szCs w:val="24"/>
        </w:rPr>
      </w:pPr>
      <w:r>
        <w:rPr>
          <w:szCs w:val="24"/>
        </w:rPr>
        <w:t>14</w:t>
      </w:r>
      <w:r>
        <w:rPr>
          <w:szCs w:val="24"/>
        </w:rPr>
        <w:t xml:space="preserve">. Deklaracijos </w:t>
      </w:r>
      <w:r>
        <w:rPr>
          <w:b/>
          <w:szCs w:val="24"/>
        </w:rPr>
        <w:t>3 laukelyje</w:t>
      </w:r>
      <w:r>
        <w:rPr>
          <w:szCs w:val="24"/>
        </w:rPr>
        <w:t xml:space="preserve"> turi būti įrašoma gyventojo pavardė (pavardės). Jeigu pavardės netelpa, turi būti įrašoma pirmoji pavardė.</w:t>
      </w:r>
    </w:p>
    <w:p>
      <w:pPr>
        <w:ind w:right="-1" w:firstLine="567"/>
        <w:jc w:val="both"/>
        <w:rPr>
          <w:szCs w:val="24"/>
          <w:lang w:eastAsia="lt-LT"/>
        </w:rPr>
      </w:pPr>
      <w:r>
        <w:rPr>
          <w:szCs w:val="24"/>
        </w:rPr>
        <w:t>15</w:t>
      </w:r>
      <w:r>
        <w:rPr>
          <w:szCs w:val="24"/>
        </w:rPr>
        <w:t xml:space="preserve">. Deklaracijos </w:t>
      </w:r>
      <w:r>
        <w:rPr>
          <w:b/>
          <w:bCs/>
          <w:szCs w:val="24"/>
        </w:rPr>
        <w:t xml:space="preserve">4 laukelyje </w:t>
      </w:r>
      <w:r>
        <w:rPr>
          <w:szCs w:val="24"/>
        </w:rPr>
        <w:t>turi būti įrašomas gyventojo nuolatinės gyvenamosios vietos adresas deklaracijos pateikimo metu.</w:t>
      </w:r>
      <w:r>
        <w:rPr>
          <w:szCs w:val="24"/>
          <w:lang w:eastAsia="lt-LT"/>
        </w:rPr>
        <w:t xml:space="preserve"> </w:t>
      </w:r>
      <w:r>
        <w:rPr>
          <w:szCs w:val="24"/>
        </w:rPr>
        <w:t>Nurodoma ta savivaldybė, kurios teritorijoje deklaracijos pateikimo metu gyventojas gyvena.</w:t>
      </w:r>
    </w:p>
    <w:p>
      <w:pPr>
        <w:ind w:right="-1" w:firstLine="567"/>
        <w:jc w:val="both"/>
        <w:rPr>
          <w:szCs w:val="24"/>
          <w:lang w:eastAsia="lt-LT"/>
        </w:rPr>
      </w:pPr>
      <w:r>
        <w:rPr>
          <w:szCs w:val="24"/>
          <w:lang w:eastAsia="lt-LT"/>
        </w:rPr>
        <w:t>Tarp miesto ir gatvės pavadinimų, gatvės pavadinimo ir namo numerio paliekama po vieną tuščią langelį. Namo numeris ir buto numeris atskiriami brūkšneliu (-). Adresas įrašomas tokia eilės tvarka:</w:t>
      </w:r>
    </w:p>
    <w:p>
      <w:pPr>
        <w:ind w:right="-1" w:firstLine="567"/>
        <w:jc w:val="both"/>
        <w:rPr>
          <w:szCs w:val="24"/>
          <w:lang w:eastAsia="lt-LT"/>
        </w:rPr>
      </w:pPr>
      <w:r>
        <w:rPr>
          <w:szCs w:val="24"/>
          <w:lang w:eastAsia="lt-LT"/>
        </w:rPr>
        <w:t>15.1</w:t>
      </w:r>
      <w:r>
        <w:rPr>
          <w:szCs w:val="24"/>
          <w:lang w:eastAsia="lt-LT"/>
        </w:rPr>
        <w:t>. savivaldybės (išskyrus atvejus, kai adreso objektas yra savivaldybės centre) pavadinimas;</w:t>
      </w:r>
    </w:p>
    <w:p>
      <w:pPr>
        <w:ind w:right="-1" w:firstLine="567"/>
        <w:jc w:val="both"/>
        <w:rPr>
          <w:szCs w:val="24"/>
          <w:lang w:eastAsia="lt-LT"/>
        </w:rPr>
      </w:pPr>
      <w:r>
        <w:rPr>
          <w:szCs w:val="24"/>
          <w:lang w:eastAsia="lt-LT"/>
        </w:rPr>
        <w:t>15.2</w:t>
      </w:r>
      <w:r>
        <w:rPr>
          <w:szCs w:val="24"/>
          <w:lang w:eastAsia="lt-LT"/>
        </w:rPr>
        <w:t>. seniūnijos (išskyrus miestų seniūnijas) pavadinimas;</w:t>
      </w:r>
    </w:p>
    <w:p>
      <w:pPr>
        <w:ind w:right="-1" w:firstLine="567"/>
        <w:jc w:val="both"/>
        <w:rPr>
          <w:szCs w:val="24"/>
          <w:lang w:eastAsia="lt-LT"/>
        </w:rPr>
      </w:pPr>
      <w:r>
        <w:rPr>
          <w:szCs w:val="24"/>
          <w:lang w:eastAsia="lt-LT"/>
        </w:rPr>
        <w:t>15.3</w:t>
      </w:r>
      <w:r>
        <w:rPr>
          <w:szCs w:val="24"/>
          <w:lang w:eastAsia="lt-LT"/>
        </w:rPr>
        <w:t>. gyvenamosios vietovės pavadinimas;</w:t>
      </w:r>
    </w:p>
    <w:p>
      <w:pPr>
        <w:ind w:right="-1" w:firstLine="567"/>
        <w:jc w:val="both"/>
        <w:rPr>
          <w:szCs w:val="24"/>
          <w:lang w:eastAsia="lt-LT"/>
        </w:rPr>
      </w:pPr>
      <w:r>
        <w:rPr>
          <w:szCs w:val="24"/>
          <w:lang w:eastAsia="lt-LT"/>
        </w:rPr>
        <w:t>15.4</w:t>
      </w:r>
      <w:r>
        <w:rPr>
          <w:szCs w:val="24"/>
          <w:lang w:eastAsia="lt-LT"/>
        </w:rPr>
        <w:t>. gatvės (išskyrus gyvenamąsias vietoves, kuriose gatvės nesudaromos) pavadinimas;</w:t>
      </w:r>
    </w:p>
    <w:p>
      <w:pPr>
        <w:ind w:right="-1" w:firstLine="567"/>
        <w:jc w:val="both"/>
        <w:rPr>
          <w:szCs w:val="24"/>
          <w:lang w:eastAsia="lt-LT"/>
        </w:rPr>
      </w:pPr>
      <w:r>
        <w:rPr>
          <w:szCs w:val="24"/>
          <w:lang w:eastAsia="lt-LT"/>
        </w:rPr>
        <w:t>15.5</w:t>
      </w:r>
      <w:r>
        <w:rPr>
          <w:szCs w:val="24"/>
          <w:lang w:eastAsia="lt-LT"/>
        </w:rPr>
        <w:t>. pastato numeris gatvėje ar gyvenamojoje vietovėje;</w:t>
      </w:r>
    </w:p>
    <w:p>
      <w:pPr>
        <w:ind w:right="-1" w:firstLine="567"/>
        <w:jc w:val="both"/>
        <w:rPr>
          <w:szCs w:val="24"/>
          <w:lang w:eastAsia="lt-LT"/>
        </w:rPr>
      </w:pPr>
      <w:r>
        <w:rPr>
          <w:szCs w:val="24"/>
          <w:lang w:eastAsia="lt-LT"/>
        </w:rPr>
        <w:t>15.6</w:t>
      </w:r>
      <w:r>
        <w:rPr>
          <w:szCs w:val="24"/>
          <w:lang w:eastAsia="lt-LT"/>
        </w:rPr>
        <w:t>. korpuso numeris (jeigu yra suteiktas);</w:t>
      </w:r>
    </w:p>
    <w:p>
      <w:pPr>
        <w:ind w:right="-1" w:firstLine="567"/>
        <w:jc w:val="both"/>
        <w:rPr>
          <w:szCs w:val="24"/>
          <w:lang w:eastAsia="lt-LT"/>
        </w:rPr>
      </w:pPr>
      <w:r>
        <w:rPr>
          <w:szCs w:val="24"/>
          <w:lang w:eastAsia="lt-LT"/>
        </w:rPr>
        <w:t>15.7</w:t>
      </w:r>
      <w:r>
        <w:rPr>
          <w:szCs w:val="24"/>
          <w:lang w:eastAsia="lt-LT"/>
        </w:rPr>
        <w:t xml:space="preserve">. buto ar kitos gyvenamosios patalpos numeris. </w:t>
      </w:r>
    </w:p>
    <w:p>
      <w:pPr>
        <w:tabs>
          <w:tab w:val="left" w:pos="4820"/>
          <w:tab w:val="right" w:pos="9638"/>
        </w:tabs>
        <w:ind w:firstLine="567"/>
        <w:jc w:val="both"/>
        <w:rPr>
          <w:szCs w:val="24"/>
        </w:rPr>
      </w:pPr>
      <w:r>
        <w:rPr>
          <w:szCs w:val="24"/>
        </w:rPr>
        <w:t>16</w:t>
      </w:r>
      <w:r>
        <w:rPr>
          <w:szCs w:val="24"/>
        </w:rPr>
        <w:t xml:space="preserve">. Deklaracijos </w:t>
      </w:r>
      <w:r>
        <w:rPr>
          <w:b/>
          <w:bCs/>
          <w:szCs w:val="24"/>
        </w:rPr>
        <w:t xml:space="preserve">5 laukelyje </w:t>
      </w:r>
      <w:r>
        <w:rPr>
          <w:szCs w:val="24"/>
        </w:rPr>
        <w:t>turi būti įrašomas gyventojo nuolatinės gyvenamosios vietos (nurodytos 4 laukelyje) savivaldybės kodas (savivaldybių kodų sąrašas yra pateiktas deklaracijos lapo apačioje).</w:t>
      </w:r>
    </w:p>
    <w:p>
      <w:pPr>
        <w:tabs>
          <w:tab w:val="left" w:pos="4820"/>
          <w:tab w:val="right" w:pos="9638"/>
        </w:tabs>
        <w:ind w:firstLine="567"/>
        <w:jc w:val="both"/>
        <w:rPr>
          <w:szCs w:val="24"/>
        </w:rPr>
      </w:pPr>
      <w:r>
        <w:rPr>
          <w:szCs w:val="24"/>
        </w:rPr>
        <w:t>17</w:t>
      </w:r>
      <w:r>
        <w:rPr>
          <w:szCs w:val="24"/>
        </w:rPr>
        <w:t xml:space="preserve">. Deklaracijos </w:t>
      </w:r>
      <w:r>
        <w:rPr>
          <w:b/>
          <w:bCs/>
          <w:szCs w:val="24"/>
        </w:rPr>
        <w:t xml:space="preserve">6 laukelyje </w:t>
      </w:r>
      <w:r>
        <w:rPr>
          <w:szCs w:val="24"/>
        </w:rPr>
        <w:t xml:space="preserve">turi būti įrašomas gyventojo telefono (laidinio ar mobiliojo) kodas ir numeris. Jeigu telefonas yra registruotas užsienio valstybėje, tai prieš skaitmenis turi būti įrašomas ženklas „+“. </w:t>
      </w:r>
    </w:p>
    <w:p>
      <w:pPr>
        <w:ind w:firstLine="570"/>
        <w:jc w:val="both"/>
        <w:rPr>
          <w:szCs w:val="24"/>
        </w:rPr>
      </w:pPr>
      <w:r>
        <w:rPr>
          <w:szCs w:val="24"/>
        </w:rPr>
        <w:t>18</w:t>
      </w:r>
      <w:r>
        <w:rPr>
          <w:szCs w:val="24"/>
        </w:rPr>
        <w:t xml:space="preserve">. Deklaracijos </w:t>
      </w:r>
      <w:r>
        <w:rPr>
          <w:b/>
          <w:bCs/>
          <w:szCs w:val="24"/>
        </w:rPr>
        <w:t xml:space="preserve">7 laukelyje </w:t>
      </w:r>
      <w:r>
        <w:rPr>
          <w:szCs w:val="24"/>
        </w:rPr>
        <w:t>turi būti</w:t>
      </w:r>
      <w:r>
        <w:rPr>
          <w:b/>
          <w:bCs/>
          <w:szCs w:val="24"/>
        </w:rPr>
        <w:t xml:space="preserve"> </w:t>
      </w:r>
      <w:r>
        <w:rPr>
          <w:szCs w:val="24"/>
        </w:rPr>
        <w:t>įrašomi mokestiniai metai, kurių deklaracija teikiama.</w:t>
      </w:r>
    </w:p>
    <w:p>
      <w:pPr>
        <w:ind w:firstLine="570"/>
        <w:jc w:val="both"/>
        <w:rPr>
          <w:szCs w:val="24"/>
        </w:rPr>
      </w:pPr>
      <w:r>
        <w:rPr>
          <w:szCs w:val="24"/>
        </w:rPr>
        <w:t>19</w:t>
      </w:r>
      <w:r>
        <w:rPr>
          <w:szCs w:val="24"/>
        </w:rPr>
        <w:t xml:space="preserve">. Deklaracijos </w:t>
      </w:r>
      <w:r>
        <w:rPr>
          <w:b/>
          <w:bCs/>
          <w:szCs w:val="24"/>
        </w:rPr>
        <w:t xml:space="preserve">8 laukelyje </w:t>
      </w:r>
      <w:r>
        <w:rPr>
          <w:szCs w:val="24"/>
        </w:rPr>
        <w:t>turi būti įrašoma visa privaloma sumokėti paveldimo turto mokesčio suma nuo visose užsienio valstybėse per mokestinius metus paveldėto turto vertės. Visa privaloma sumokėti paveldimo turto mokesčio suma yra lygi deklaracijos priedo visų lapų P16 laukelių sumai.</w:t>
      </w:r>
    </w:p>
    <w:p>
      <w:pPr>
        <w:ind w:firstLine="570"/>
        <w:jc w:val="both"/>
        <w:rPr>
          <w:szCs w:val="24"/>
        </w:rPr>
      </w:pPr>
      <w:r>
        <w:rPr>
          <w:szCs w:val="24"/>
        </w:rPr>
        <w:t>20</w:t>
      </w:r>
      <w:r>
        <w:rPr>
          <w:szCs w:val="24"/>
        </w:rPr>
        <w:t xml:space="preserve">. Deklaracijos </w:t>
      </w:r>
      <w:r>
        <w:rPr>
          <w:b/>
          <w:bCs/>
          <w:szCs w:val="24"/>
        </w:rPr>
        <w:t xml:space="preserve">9 laukelyje </w:t>
      </w:r>
      <w:r>
        <w:rPr>
          <w:szCs w:val="24"/>
        </w:rPr>
        <w:t>turi būti įrašoma paveldimo turto mokesčio suma (eurais), nuo mokestinių metų deklaracijoje nurodyto turto sumokėta į Valstybinės mokesčių inspekcijos biudžeto pajamų surenkamąją sąskaitą iki deklaracijos pateikimo. Jeigu iki deklaracijos pateikimo paveldimo turto mokestis nebuvo sumokėtas, deklaracijos 9 laukelyje turi būti įrašomas nulis.</w:t>
      </w:r>
    </w:p>
    <w:p>
      <w:pPr>
        <w:ind w:firstLine="570"/>
        <w:jc w:val="both"/>
        <w:rPr>
          <w:szCs w:val="24"/>
        </w:rPr>
      </w:pPr>
      <w:r>
        <w:rPr>
          <w:szCs w:val="24"/>
        </w:rPr>
        <w:t>21</w:t>
      </w:r>
      <w:r>
        <w:rPr>
          <w:szCs w:val="24"/>
        </w:rPr>
        <w:t xml:space="preserve">. Deklaracijos </w:t>
      </w:r>
      <w:r>
        <w:rPr>
          <w:b/>
          <w:bCs/>
          <w:szCs w:val="24"/>
        </w:rPr>
        <w:t xml:space="preserve">10 laukelyje </w:t>
      </w:r>
      <w:r>
        <w:rPr>
          <w:szCs w:val="24"/>
        </w:rPr>
        <w:t>turi būti įrašomas turto palikėjų, iš kurių per mokestinius metus buvo paveldėtas turtas užsienio valstybėse, skaičius. Į turto palikėjų skaičių neįskaitomi turto palikėjai, iš kurių paveldėtas turtas yra tik Lietuvos Respublikoje.</w:t>
      </w:r>
    </w:p>
    <w:p>
      <w:pPr>
        <w:ind w:firstLine="570"/>
        <w:jc w:val="both"/>
        <w:rPr>
          <w:szCs w:val="24"/>
        </w:rPr>
      </w:pPr>
      <w:r>
        <w:rPr>
          <w:szCs w:val="24"/>
        </w:rPr>
        <w:t>22</w:t>
      </w:r>
      <w:r>
        <w:rPr>
          <w:szCs w:val="24"/>
        </w:rPr>
        <w:t xml:space="preserve">. Deklaracijos </w:t>
      </w:r>
      <w:r>
        <w:rPr>
          <w:b/>
          <w:szCs w:val="24"/>
        </w:rPr>
        <w:t>1</w:t>
      </w:r>
      <w:r>
        <w:rPr>
          <w:b/>
          <w:bCs/>
          <w:szCs w:val="24"/>
        </w:rPr>
        <w:t>1 laukelyje</w:t>
      </w:r>
      <w:r>
        <w:rPr>
          <w:szCs w:val="24"/>
        </w:rPr>
        <w:t xml:space="preserve"> turi būti įrašomas prie deklaracijos pridedamų priedo lapų skaičius.</w:t>
      </w:r>
    </w:p>
    <w:p>
      <w:pPr>
        <w:ind w:firstLine="570"/>
        <w:jc w:val="both"/>
        <w:rPr>
          <w:szCs w:val="24"/>
        </w:rPr>
      </w:pPr>
      <w:r>
        <w:rPr>
          <w:szCs w:val="24"/>
        </w:rPr>
        <w:t>23</w:t>
      </w:r>
      <w:r>
        <w:rPr>
          <w:szCs w:val="24"/>
        </w:rPr>
        <w:t>. Deklaracijos</w:t>
      </w:r>
      <w:r>
        <w:rPr>
          <w:b/>
          <w:bCs/>
          <w:szCs w:val="24"/>
        </w:rPr>
        <w:t xml:space="preserve"> 12 laukelyje </w:t>
      </w:r>
      <w:r>
        <w:rPr>
          <w:szCs w:val="24"/>
        </w:rPr>
        <w:t>turi būti įrašomas prie deklaracijos pridedamų dokumentų lapų skaičius.</w:t>
      </w:r>
    </w:p>
    <w:p>
      <w:pPr>
        <w:tabs>
          <w:tab w:val="left" w:pos="4820"/>
          <w:tab w:val="right" w:pos="9638"/>
        </w:tabs>
        <w:ind w:firstLine="570"/>
        <w:jc w:val="both"/>
        <w:rPr>
          <w:szCs w:val="24"/>
        </w:rPr>
      </w:pPr>
      <w:r>
        <w:rPr>
          <w:szCs w:val="24"/>
        </w:rPr>
        <w:t>24</w:t>
      </w:r>
      <w:r>
        <w:rPr>
          <w:szCs w:val="24"/>
        </w:rPr>
        <w:t xml:space="preserve">. Deklaracijos </w:t>
      </w:r>
      <w:r>
        <w:rPr>
          <w:b/>
          <w:szCs w:val="24"/>
        </w:rPr>
        <w:t>13 laukelyje</w:t>
      </w:r>
      <w:r>
        <w:rPr>
          <w:szCs w:val="24"/>
        </w:rPr>
        <w:t xml:space="preserve"> turi būti įrašomas gyventojo atstovo identifikacinis numeris (kodas), kai deklaraciją už gyventoją užpildo ir pasirašo jo atstovas. </w:t>
      </w:r>
    </w:p>
    <w:p>
      <w:pPr>
        <w:tabs>
          <w:tab w:val="left" w:pos="4820"/>
          <w:tab w:val="right" w:pos="9638"/>
        </w:tabs>
        <w:ind w:firstLine="570"/>
        <w:jc w:val="both"/>
        <w:rPr>
          <w:szCs w:val="24"/>
        </w:rPr>
      </w:pPr>
      <w:r>
        <w:rPr>
          <w:szCs w:val="24"/>
        </w:rPr>
        <w:t>Popierinę deklaraciją tam skirtoje vietoje turi pasirašyti gyventojas, kuriam yra nustatyta prievolė pateikti deklaraciją, arba jo atstovas.</w:t>
      </w:r>
    </w:p>
    <w:p>
      <w:pPr>
        <w:tabs>
          <w:tab w:val="left" w:pos="4820"/>
          <w:tab w:val="right" w:pos="9638"/>
        </w:tabs>
        <w:ind w:firstLine="570"/>
        <w:jc w:val="both"/>
        <w:rPr>
          <w:szCs w:val="24"/>
        </w:rPr>
      </w:pPr>
      <w:r>
        <w:rPr>
          <w:szCs w:val="24"/>
        </w:rPr>
        <w:t xml:space="preserve">Kai užpildyti ir pasirašyti deklaraciją įstatymų nustatyta tvarka yra pavesta atstovui, ją pasirašyti ir nurodyti savo vardą bei pavardę turi tas atstovas. Tokiu atveju prie deklaracijos turi būti pridedamas įstatymų nustatyta tvarka išduotas įgaliojimas ar kitas atstovavimą patvirtinantis dokumentas (išskyrus atvejus, kai deklaraciją už nepilnametį vaiką (įvaikį) užpildo ir pasirašo jo įstatyminis atstovas). </w:t>
      </w:r>
    </w:p>
    <w:p>
      <w:pPr>
        <w:tabs>
          <w:tab w:val="left" w:pos="4820"/>
          <w:tab w:val="right" w:pos="9638"/>
        </w:tabs>
        <w:ind w:firstLine="570"/>
        <w:jc w:val="both"/>
        <w:rPr>
          <w:szCs w:val="24"/>
        </w:rPr>
      </w:pPr>
      <w:r>
        <w:rPr>
          <w:szCs w:val="24"/>
        </w:rPr>
        <w:t xml:space="preserve">Elektronine forma teikiama deklaracija turi būti patvirtinta elektroniniu parašu arba kitu būdu, nurodytu Dokumentų teikimo elektroniniu būdu taisyklėse, patvirtintose Valstybinės mokesčių inspekcijos prie Lietuvos Respublikos finansų ministerijos viršininko 2010 m. liepos 21 d. įsakymu Nr. VA-83 „Dėl Dokumentų teikimo elektroniniu būdu taisyklių patvirtinimo“, ir užtikrinančiu ją pateikusio asmens tapatybę. </w:t>
      </w:r>
    </w:p>
    <w:p>
      <w:pPr/>
    </w:p>
    <w:p>
      <w:pPr>
        <w:keepNext/>
        <w:ind w:firstLine="567"/>
        <w:jc w:val="center"/>
        <w:rPr>
          <w:b/>
          <w:caps/>
          <w:kern w:val="28"/>
          <w:szCs w:val="24"/>
        </w:rPr>
      </w:pPr>
      <w:r>
        <w:rPr>
          <w:b/>
          <w:caps/>
          <w:kern w:val="28"/>
        </w:rPr>
        <w:t>IV</w:t>
      </w:r>
      <w:r>
        <w:rPr>
          <w:b/>
          <w:caps/>
          <w:kern w:val="28"/>
        </w:rPr>
        <w:t xml:space="preserve"> SKYRIUS</w:t>
      </w:r>
    </w:p>
    <w:p>
      <w:pPr>
        <w:keepNext/>
        <w:jc w:val="center"/>
        <w:rPr>
          <w:b/>
          <w:caps/>
          <w:kern w:val="28"/>
        </w:rPr>
      </w:pPr>
      <w:r>
        <w:rPr>
          <w:b/>
          <w:caps/>
          <w:kern w:val="28"/>
        </w:rPr>
        <w:t xml:space="preserve">DEKLARACIJOS PRIEDO UŽPILDYMAS </w:t>
      </w:r>
    </w:p>
    <w:p>
      <w:pPr>
        <w:ind w:firstLine="570"/>
        <w:jc w:val="both"/>
        <w:rPr>
          <w:szCs w:val="24"/>
        </w:rPr>
      </w:pPr>
    </w:p>
    <w:p>
      <w:pPr>
        <w:ind w:firstLine="570"/>
        <w:jc w:val="both"/>
        <w:rPr>
          <w:szCs w:val="24"/>
        </w:rPr>
      </w:pPr>
      <w:r>
        <w:rPr>
          <w:szCs w:val="24"/>
        </w:rPr>
        <w:t>25</w:t>
      </w:r>
      <w:r>
        <w:rPr>
          <w:szCs w:val="24"/>
        </w:rPr>
        <w:t>. Deklaracijos priedo laukelyje „Lapo numeris“ turi būti įrašomas deklaracijos priedo lapo numeris (pavyzdžiui, 1, 2 ir t. t.).</w:t>
      </w:r>
    </w:p>
    <w:p>
      <w:pPr>
        <w:ind w:firstLine="570"/>
        <w:jc w:val="both"/>
        <w:rPr>
          <w:szCs w:val="24"/>
        </w:rPr>
      </w:pPr>
      <w:r>
        <w:rPr>
          <w:szCs w:val="24"/>
        </w:rPr>
        <w:t>26</w:t>
      </w:r>
      <w:r>
        <w:rPr>
          <w:szCs w:val="24"/>
        </w:rPr>
        <w:t xml:space="preserve">. Deklaracijos priedo </w:t>
      </w:r>
      <w:r>
        <w:rPr>
          <w:b/>
          <w:bCs/>
          <w:szCs w:val="24"/>
        </w:rPr>
        <w:t xml:space="preserve">1 </w:t>
      </w:r>
      <w:r>
        <w:rPr>
          <w:bCs/>
          <w:szCs w:val="24"/>
        </w:rPr>
        <w:t>ir</w:t>
      </w:r>
      <w:r>
        <w:rPr>
          <w:b/>
          <w:bCs/>
          <w:szCs w:val="24"/>
        </w:rPr>
        <w:t xml:space="preserve"> 7 </w:t>
      </w:r>
      <w:r>
        <w:rPr>
          <w:b/>
          <w:szCs w:val="24"/>
        </w:rPr>
        <w:t xml:space="preserve">laukeliai </w:t>
      </w:r>
      <w:r>
        <w:rPr>
          <w:szCs w:val="24"/>
        </w:rPr>
        <w:t>turi būti užpildomi kaip deklaracijos 1 ir 7 laukeliai.</w:t>
      </w:r>
    </w:p>
    <w:p>
      <w:pPr>
        <w:ind w:firstLine="570"/>
        <w:jc w:val="both"/>
        <w:rPr>
          <w:szCs w:val="24"/>
        </w:rPr>
      </w:pPr>
      <w:r>
        <w:rPr>
          <w:szCs w:val="24"/>
        </w:rPr>
        <w:t>27</w:t>
      </w:r>
      <w:r>
        <w:rPr>
          <w:szCs w:val="24"/>
        </w:rPr>
        <w:t xml:space="preserve">. Deklaracijos </w:t>
      </w:r>
      <w:r>
        <w:rPr>
          <w:bCs/>
          <w:szCs w:val="24"/>
        </w:rPr>
        <w:t>priedo</w:t>
      </w:r>
      <w:r>
        <w:rPr>
          <w:b/>
          <w:bCs/>
          <w:szCs w:val="24"/>
        </w:rPr>
        <w:t xml:space="preserve"> P1 laukelyje </w:t>
      </w:r>
      <w:r>
        <w:rPr>
          <w:szCs w:val="24"/>
        </w:rPr>
        <w:t>turi būti įrašomas turto palikėjo, iš kurio buvo paveldėtas užsienio valstybėje esantis turtas, vardas (vardai). Jeigu vardai netelpa, įrašomas pirmasis vardas.</w:t>
      </w:r>
    </w:p>
    <w:p>
      <w:pPr>
        <w:ind w:firstLine="570"/>
        <w:jc w:val="both"/>
        <w:rPr>
          <w:szCs w:val="24"/>
        </w:rPr>
      </w:pPr>
      <w:r>
        <w:rPr>
          <w:szCs w:val="24"/>
        </w:rPr>
        <w:t>28</w:t>
      </w:r>
      <w:r>
        <w:rPr>
          <w:szCs w:val="24"/>
        </w:rPr>
        <w:t xml:space="preserve">. Deklaracijos priedo </w:t>
      </w:r>
      <w:r>
        <w:rPr>
          <w:b/>
          <w:bCs/>
          <w:szCs w:val="24"/>
        </w:rPr>
        <w:t xml:space="preserve">P2 laukelyje </w:t>
      </w:r>
      <w:r>
        <w:rPr>
          <w:szCs w:val="24"/>
        </w:rPr>
        <w:t>turi būti įrašoma turto palikėjo pavardė (pavardės). Jeigu pavardės netelpa, įrašoma pirmoji pavardė.</w:t>
      </w:r>
    </w:p>
    <w:p>
      <w:pPr>
        <w:ind w:firstLine="570"/>
        <w:jc w:val="both"/>
        <w:rPr>
          <w:szCs w:val="24"/>
        </w:rPr>
      </w:pPr>
      <w:r>
        <w:rPr>
          <w:szCs w:val="24"/>
        </w:rPr>
        <w:t>29</w:t>
      </w:r>
      <w:r>
        <w:rPr>
          <w:szCs w:val="24"/>
        </w:rPr>
        <w:t xml:space="preserve">. Deklaracijos priedo </w:t>
      </w:r>
      <w:r>
        <w:rPr>
          <w:b/>
          <w:szCs w:val="24"/>
        </w:rPr>
        <w:t>P3 laukelyje</w:t>
      </w:r>
      <w:r>
        <w:rPr>
          <w:szCs w:val="24"/>
        </w:rPr>
        <w:t xml:space="preserve"> turi būti įrašomas turto palikėjo asmens kodas ar kitas identifikacinis numeris. Jeigu turto palikėjas neturi asmens kodo ar kito identifikacinio numerio, šiame laukelyje turi būti įrašomi jo asmens tapatybę patvirtinančio dokumento serija ir numeris bei požymio ženklas „D“ (tarp dokumento serijos ir numerio simbolių bei požymio ženklo turi būti paliekama po vieną tuščią langelį).</w:t>
      </w:r>
    </w:p>
    <w:p>
      <w:pPr>
        <w:ind w:firstLine="570"/>
        <w:jc w:val="both"/>
        <w:rPr>
          <w:szCs w:val="24"/>
        </w:rPr>
      </w:pPr>
      <w:r>
        <w:rPr>
          <w:szCs w:val="24"/>
        </w:rPr>
        <w:t>30</w:t>
      </w:r>
      <w:r>
        <w:rPr>
          <w:szCs w:val="24"/>
        </w:rPr>
        <w:t>. Jeigu iš to paties turto palikėjo buvo paveldėtas turtas ne tik užsienio valstybėje, bet ir Lietuvoje, tai deklaracijos priedo</w:t>
      </w:r>
      <w:r>
        <w:rPr>
          <w:b/>
          <w:bCs/>
          <w:szCs w:val="24"/>
        </w:rPr>
        <w:t xml:space="preserve"> P4 laukelyje </w:t>
      </w:r>
      <w:r>
        <w:rPr>
          <w:szCs w:val="24"/>
        </w:rPr>
        <w:t xml:space="preserve">turi būti įrašoma Lietuvoje paveldėto turto apmokestinamoji vertė. Jeigu Lietuvoje esantis turtas nebuvo paveldėtas, P4 laukelyje turi būti įrašomas nulis (0). </w:t>
      </w:r>
    </w:p>
    <w:p>
      <w:pPr>
        <w:ind w:firstLine="570"/>
        <w:jc w:val="both"/>
        <w:rPr>
          <w:szCs w:val="24"/>
        </w:rPr>
      </w:pPr>
      <w:r>
        <w:rPr>
          <w:szCs w:val="24"/>
        </w:rPr>
        <w:t>31</w:t>
      </w:r>
      <w:r>
        <w:rPr>
          <w:szCs w:val="24"/>
        </w:rPr>
        <w:t>. Deklaracijos priedo</w:t>
      </w:r>
      <w:r>
        <w:rPr>
          <w:b/>
          <w:bCs/>
          <w:szCs w:val="24"/>
        </w:rPr>
        <w:t xml:space="preserve"> P5 laukelyje </w:t>
      </w:r>
      <w:r>
        <w:rPr>
          <w:bCs/>
          <w:szCs w:val="24"/>
        </w:rPr>
        <w:t>turi būti įrašomas užsienio valstybės, kurioje yra paveldėtas turtas, kodas iš „</w:t>
      </w:r>
      <w:r>
        <w:rPr>
          <w:szCs w:val="24"/>
        </w:rPr>
        <w:t>Užsienio valstybių kodų sąrašo“ (Taisyklių 1 priedas).</w:t>
      </w:r>
    </w:p>
    <w:p>
      <w:pPr>
        <w:ind w:firstLine="570"/>
        <w:jc w:val="both"/>
        <w:rPr>
          <w:szCs w:val="24"/>
        </w:rPr>
      </w:pPr>
      <w:r>
        <w:rPr>
          <w:szCs w:val="24"/>
        </w:rPr>
        <w:t>32</w:t>
      </w:r>
      <w:r>
        <w:rPr>
          <w:szCs w:val="24"/>
        </w:rPr>
        <w:t xml:space="preserve">. Deklaracijos priedo </w:t>
      </w:r>
      <w:r>
        <w:rPr>
          <w:b/>
          <w:bCs/>
          <w:szCs w:val="24"/>
        </w:rPr>
        <w:t xml:space="preserve">P6 laukelyje </w:t>
      </w:r>
      <w:r>
        <w:rPr>
          <w:szCs w:val="24"/>
        </w:rPr>
        <w:t>turi būti</w:t>
      </w:r>
      <w:r>
        <w:rPr>
          <w:b/>
          <w:bCs/>
          <w:szCs w:val="24"/>
        </w:rPr>
        <w:t xml:space="preserve"> </w:t>
      </w:r>
      <w:r>
        <w:rPr>
          <w:szCs w:val="24"/>
        </w:rPr>
        <w:t>įrašomas kiekvieno P5 laukelyje nurodytoje užsienio valstybėje paveldėto turto objekto (daikto ar lėšų) eilės numeris. Duomenys apie kiekvieną paveldėtą turto objektą turi būti įrašomi atskirose deklaracijos priedo eilutėse, išskyrus atvejus, kai yra paveldimi du ar daugiau vienarūšiai turto objektai (pavyzdžiui, toje pačioje vietovėje esantys žemės sklypai arba skirtingų įmonių akcijos, arba meno kūriniai). Tokiu atveju vienarūšiai objektai gali būti nurodomi vienoje deklaracijos priedo eilutėje.</w:t>
      </w:r>
    </w:p>
    <w:p>
      <w:pPr>
        <w:ind w:firstLine="570"/>
        <w:jc w:val="both"/>
        <w:rPr>
          <w:szCs w:val="24"/>
        </w:rPr>
      </w:pPr>
      <w:r>
        <w:rPr>
          <w:szCs w:val="24"/>
        </w:rPr>
        <w:t>33</w:t>
      </w:r>
      <w:r>
        <w:rPr>
          <w:szCs w:val="24"/>
        </w:rPr>
        <w:t>. Deklaracijos priedo</w:t>
      </w:r>
      <w:r>
        <w:rPr>
          <w:b/>
          <w:bCs/>
          <w:szCs w:val="24"/>
        </w:rPr>
        <w:t xml:space="preserve"> P7 laukelyje </w:t>
      </w:r>
      <w:r>
        <w:rPr>
          <w:szCs w:val="24"/>
        </w:rPr>
        <w:t>turi būti įrašomas turto rūšies kodas iš „Turto rūšių kodų sąrašo“ (Taisyklių 2 priedas).</w:t>
      </w:r>
    </w:p>
    <w:p>
      <w:pPr>
        <w:ind w:firstLine="570"/>
        <w:jc w:val="both"/>
        <w:rPr>
          <w:szCs w:val="24"/>
        </w:rPr>
      </w:pPr>
      <w:r>
        <w:rPr>
          <w:szCs w:val="24"/>
        </w:rPr>
        <w:t>34</w:t>
      </w:r>
      <w:r>
        <w:rPr>
          <w:szCs w:val="24"/>
        </w:rPr>
        <w:t>. Deklaracijos priedo</w:t>
      </w:r>
      <w:r>
        <w:rPr>
          <w:b/>
          <w:bCs/>
          <w:szCs w:val="24"/>
        </w:rPr>
        <w:t xml:space="preserve"> P8 laukelyje </w:t>
      </w:r>
      <w:r>
        <w:rPr>
          <w:szCs w:val="24"/>
        </w:rPr>
        <w:t>turi būti įrašomas paveldėto turto objekto pavadinimas arba adresas. Kai paveldėtas kilnojamasis daiktas, vertybiniai popieriai, pinigai užsienio valiuta, turi būti įrašomas turto pavadinimas (pavyzdžiui, „Opel Omega“, įmonės XXX akcijos, JAV doleriai), o kai paveldėtas nekilnojamasis daiktas, turi būti įrašomas to daikto adresas (pavyzdžiui, gyvenamojo namo adresas: Ryga, Vilniaus g. 5-3). Kai vienoje deklaracijos priedo eilutėje yra deklaruojami du ar daugiau vienarūšiai turto objektai, gali būti įrašomas jų skaičius ir / ar pavadinimas (pavyzdžiui, „2 žemės sklypai“ ir vietovės adresas, „10 paveikslų“, „28 akcijos“ ir pan.).</w:t>
      </w:r>
    </w:p>
    <w:p>
      <w:pPr>
        <w:ind w:firstLine="570"/>
        <w:jc w:val="both"/>
        <w:rPr>
          <w:szCs w:val="24"/>
        </w:rPr>
      </w:pPr>
      <w:r>
        <w:rPr>
          <w:szCs w:val="24"/>
        </w:rPr>
        <w:t>35</w:t>
      </w:r>
      <w:r>
        <w:rPr>
          <w:szCs w:val="24"/>
        </w:rPr>
        <w:t xml:space="preserve">. Deklaracijos priedo </w:t>
      </w:r>
      <w:r>
        <w:rPr>
          <w:b/>
          <w:bCs/>
          <w:szCs w:val="24"/>
        </w:rPr>
        <w:t xml:space="preserve">P9 laukelyje </w:t>
      </w:r>
      <w:r>
        <w:rPr>
          <w:szCs w:val="24"/>
        </w:rPr>
        <w:t xml:space="preserve">turi būti įrašoma P8 laukelyje nurodyto turto objekto (objektų) vertė eurais. </w:t>
      </w:r>
    </w:p>
    <w:p>
      <w:pPr>
        <w:ind w:firstLine="570"/>
        <w:jc w:val="both"/>
        <w:rPr>
          <w:szCs w:val="24"/>
        </w:rPr>
      </w:pPr>
      <w:r>
        <w:rPr>
          <w:szCs w:val="24"/>
        </w:rPr>
        <w:t>Užsienio valstybėse paveldėto turto vertė yra vertė, nurodyta paveldėjimo dokumentuose. Jeigu paveldėto turto vertė paveldėjimo dokumentuose nenurodyta, tai turto vertė nustatoma pagal gyventojo, paveldėjusio turtą, pateiktus kitus dokumentus, įrodančius šio turto vertę. Užsienio valstybėse paveldėto turto vertė turi būti perskaičiuojama į eurus pagal paveldėjimo dokumente nurodytą dieną buvusį euro ir atitinkamos užsienio valiutos perskaičiavimo santykį, nustatytą Europos centrinio banko.</w:t>
      </w:r>
    </w:p>
    <w:p>
      <w:pPr>
        <w:ind w:firstLine="570"/>
        <w:jc w:val="both"/>
        <w:rPr>
          <w:szCs w:val="24"/>
        </w:rPr>
      </w:pPr>
      <w:r>
        <w:rPr>
          <w:szCs w:val="24"/>
        </w:rPr>
        <w:t>36</w:t>
      </w:r>
      <w:r>
        <w:rPr>
          <w:szCs w:val="24"/>
        </w:rPr>
        <w:t>. Deklaracijos priedo</w:t>
      </w:r>
      <w:r>
        <w:rPr>
          <w:b/>
          <w:bCs/>
          <w:szCs w:val="24"/>
        </w:rPr>
        <w:t xml:space="preserve"> P10 laukelyje </w:t>
      </w:r>
      <w:r>
        <w:rPr>
          <w:szCs w:val="24"/>
        </w:rPr>
        <w:t xml:space="preserve">turi būti įrašoma P5 laukelyje nurodytoje užsienio valstybėje sumokėto paveldimo turto mokesčio ar jam tapataus mokesčio suma. Šiame laukelyje sumos gali būti įrašomos tik tuo atveju, jeigu: </w:t>
      </w:r>
    </w:p>
    <w:p>
      <w:pPr>
        <w:ind w:firstLine="570"/>
        <w:jc w:val="both"/>
        <w:rPr>
          <w:szCs w:val="24"/>
        </w:rPr>
      </w:pPr>
      <w:r>
        <w:rPr>
          <w:szCs w:val="24"/>
        </w:rPr>
        <w:t>36.1</w:t>
      </w:r>
      <w:r>
        <w:rPr>
          <w:szCs w:val="24"/>
        </w:rPr>
        <w:t>. yra pateikti užsienio valstybės mokesčių administratoriaus patvirtinti dokumentai apie toje valstybėje esantį paveldėtą turtą bei nuo jo apskaičiuotą ir sumokėtą paveldimo turto mokesčio arba jam tapataus mokesčio sumą;</w:t>
      </w:r>
    </w:p>
    <w:p>
      <w:pPr>
        <w:ind w:firstLine="570"/>
        <w:jc w:val="both"/>
        <w:rPr>
          <w:szCs w:val="24"/>
        </w:rPr>
      </w:pPr>
      <w:r>
        <w:rPr>
          <w:szCs w:val="24"/>
        </w:rPr>
        <w:t>36.2</w:t>
      </w:r>
      <w:r>
        <w:rPr>
          <w:szCs w:val="24"/>
        </w:rPr>
        <w:t>. užsienio valstybė yra įrašyta į Užsienio valstybių, kuriose sumokėtą paveldimo turto mokesčio arba jam tapataus mokesčio sumą galima atskaityti iš Lietuvos Respublikos paveldimo turto mokesčio įstatymo nustatyta tvarka apskaičiuoto paveldimo turto mokesčio sumos, sąrašą.</w:t>
      </w:r>
    </w:p>
    <w:p>
      <w:pPr>
        <w:ind w:firstLine="570"/>
        <w:jc w:val="both"/>
        <w:rPr>
          <w:szCs w:val="24"/>
        </w:rPr>
      </w:pPr>
      <w:r>
        <w:rPr>
          <w:szCs w:val="24"/>
        </w:rPr>
        <w:t xml:space="preserve">Užsienio valstybėje sumokėto paveldimo turto mokesčio ar jam tapataus mokesčio suma turi būti perskaičiuojama eurais pagal euro ir atitinkamos užsienio valiutos perskaičiavimo santykį, nustatytą Europos centrinio banko. </w:t>
      </w:r>
    </w:p>
    <w:p>
      <w:pPr>
        <w:ind w:firstLine="570"/>
        <w:jc w:val="both"/>
        <w:rPr>
          <w:szCs w:val="24"/>
        </w:rPr>
      </w:pPr>
      <w:r>
        <w:rPr>
          <w:szCs w:val="24"/>
        </w:rPr>
        <w:t xml:space="preserve">Jeigu užsienio valstybėje paveldimo turto mokestis ar jam tapatus mokestis nebuvo sumokėtas arba jei joje sumokėtas mokestis negali būti atskaitytas iš mokėtino mokesčio sumos, P10 laukelyje turi būti įrašomas nulis (0).  </w:t>
      </w:r>
    </w:p>
    <w:p>
      <w:pPr>
        <w:ind w:firstLine="567"/>
        <w:jc w:val="both"/>
        <w:rPr>
          <w:szCs w:val="24"/>
        </w:rPr>
      </w:pPr>
      <w:r>
        <w:rPr>
          <w:szCs w:val="24"/>
        </w:rPr>
        <w:t>37</w:t>
      </w:r>
      <w:r>
        <w:rPr>
          <w:szCs w:val="24"/>
        </w:rPr>
        <w:t>. Deklaracijos priedo</w:t>
      </w:r>
      <w:r>
        <w:rPr>
          <w:b/>
          <w:bCs/>
          <w:szCs w:val="24"/>
        </w:rPr>
        <w:t xml:space="preserve"> P11 laukelyje </w:t>
      </w:r>
      <w:r>
        <w:rPr>
          <w:szCs w:val="24"/>
        </w:rPr>
        <w:t xml:space="preserve">turi būti įrašoma visa P5 laukelyje nurodytoje užsienio valstybėje paveldėto turto vertė (t. y. P9 laukelių suma) eurais. </w:t>
      </w:r>
    </w:p>
    <w:p>
      <w:pPr>
        <w:ind w:firstLine="567"/>
        <w:jc w:val="both"/>
        <w:rPr>
          <w:szCs w:val="24"/>
        </w:rPr>
      </w:pPr>
      <w:r>
        <w:rPr>
          <w:szCs w:val="24"/>
        </w:rPr>
        <w:t>38</w:t>
      </w:r>
      <w:r>
        <w:rPr>
          <w:szCs w:val="24"/>
        </w:rPr>
        <w:t>. Deklaracijos priedo</w:t>
      </w:r>
      <w:r>
        <w:rPr>
          <w:b/>
          <w:bCs/>
          <w:szCs w:val="24"/>
        </w:rPr>
        <w:t xml:space="preserve"> P12 laukelyje </w:t>
      </w:r>
      <w:r>
        <w:rPr>
          <w:szCs w:val="24"/>
        </w:rPr>
        <w:t>turi būti įrašoma visa P5 laukelyje nurodytoje užsienio valstybėje sumokėto paveldimo turto mokesčio ar jam tapataus mokesčio suma (t. y. P10 laukelių suma). Kai P10 laukelyje (laukeliuose) įrašytas nulis, P12 laukelyje turi būti įrašomas nulis (0).</w:t>
      </w:r>
    </w:p>
    <w:p>
      <w:pPr>
        <w:ind w:firstLine="567"/>
        <w:jc w:val="both"/>
        <w:rPr>
          <w:szCs w:val="24"/>
        </w:rPr>
      </w:pPr>
      <w:r>
        <w:rPr>
          <w:szCs w:val="24"/>
        </w:rPr>
        <w:t>39</w:t>
      </w:r>
      <w:r>
        <w:rPr>
          <w:szCs w:val="24"/>
        </w:rPr>
        <w:t>. Deklaracijos priedo</w:t>
      </w:r>
      <w:r>
        <w:rPr>
          <w:b/>
          <w:bCs/>
          <w:szCs w:val="24"/>
        </w:rPr>
        <w:t xml:space="preserve"> P13 laukelyje </w:t>
      </w:r>
      <w:r>
        <w:rPr>
          <w:szCs w:val="24"/>
        </w:rPr>
        <w:t>turi būti įrašoma visa P5 laukelyje nurodytoje užsienio valstybėje paveldėto turto apmokestinamoji vertė, kuri apskaičiuojama taip: deklaracijos priedo lapo P11 laukelyje nurodyta visa turto vertė yra mažinama 30 procentų (t. y. padauginama iš 70 ir padalijama iš 100).</w:t>
      </w:r>
    </w:p>
    <w:p>
      <w:pPr>
        <w:ind w:firstLine="567"/>
        <w:jc w:val="both"/>
        <w:rPr>
          <w:szCs w:val="24"/>
        </w:rPr>
      </w:pPr>
      <w:r>
        <w:rPr>
          <w:szCs w:val="24"/>
        </w:rPr>
        <w:t>40</w:t>
      </w:r>
      <w:r>
        <w:rPr>
          <w:szCs w:val="24"/>
        </w:rPr>
        <w:t>. Deklaracijos priedo</w:t>
      </w:r>
      <w:r>
        <w:rPr>
          <w:b/>
          <w:bCs/>
          <w:szCs w:val="24"/>
        </w:rPr>
        <w:t xml:space="preserve"> P14 laukelyje </w:t>
      </w:r>
      <w:r>
        <w:rPr>
          <w:szCs w:val="24"/>
        </w:rPr>
        <w:t>turi būti įrašoma P5 laukelyje nurodytoje užsienio valstybėje paveldėto turto apmokestinamoji vertė, perskaičiuota, pritaikius Įstatymo 7 straipsnio 1 dalies 3 punkte numatytą lengvatą (paveldėto turto apmokestinamoji vertė mažinama 3 000 eurų suma), t. y. iš deklaracijos priedo lapo P13 laukelyje nurodytos sumos atimama 3 000 eurų. Gyventojui iš to paties turto palikėjo paveldėjus turtą, esantį Lietuvoje ir užsienio valstybėje, lengvata taikoma tik vieną kartą.</w:t>
      </w:r>
    </w:p>
    <w:p>
      <w:pPr>
        <w:ind w:firstLine="567"/>
        <w:jc w:val="both"/>
        <w:rPr>
          <w:szCs w:val="24"/>
        </w:rPr>
      </w:pPr>
      <w:r>
        <w:rPr>
          <w:szCs w:val="24"/>
        </w:rPr>
        <w:t xml:space="preserve">Jeigu Įstatymo 7 straipsnio 1 dalies 3 punkte numatyta mokesčio lengvata jau buvo pritaikyta, apmokestinant iš to paties turto palikėjo Lietuvoje paveldėtą turtą, tai, apmokestinant užsienio valstybėse paveldėtą turtą, ši lengvata netaikoma. Tokiu atveju P14 laukelyje turi būti įrašoma P13 laukelyje nurodyta suma.  Kai, apmokestinant Lietuvoje paveldėtą turtą, buvo pritaikyta ne visa 3 000 eurų lengvata, tai nepanaudota lengvatos suma yra mažinama užsienio valstybėje paveldėto turto apmokestinamoji vertė. Lengvatos suma, kuria nebuvo pasinaudota, apskaičiuojant paveldimo turto mokestį nuo Lietuvoje esančio turto, gali būti nustatoma, remiantis mokesčių administratoriaus gyventojui išduotos Paveldimo turto apmokestinamosios vertės ir paveldimo turto mokesčio apskaičiavimo FR0514P formos (patvirtinta Valstybinės mokesčių inspekcijos prie Lietuvos Respublikos finansų ministerijos viršininko 2003 m. kovo 24 d. įsakymu Nr. 80 „Dėl Paveldimo turto vertės pažymos FR0513 formos, Paveldimo turto apmokestinamosios vertės pažymos FR0514 formos, Paveldimo turto mokesčio įskaitymo į savivaldybių biudžetus aprašo FR1030 formos ir Paveldimo turto vertės pažymos, Paveldimo turto apmokestinamosios vertės pažymos ir Paveldimo turto mokesčio įskaitymo į savivaldybių biudžetus aprašo formų užpildymo taisyklių patvirtinimo“) duomenimis. </w:t>
      </w:r>
    </w:p>
    <w:p>
      <w:pPr>
        <w:ind w:firstLine="567"/>
        <w:jc w:val="both"/>
        <w:rPr>
          <w:szCs w:val="24"/>
        </w:rPr>
      </w:pPr>
      <w:r>
        <w:rPr>
          <w:szCs w:val="24"/>
        </w:rPr>
        <w:t xml:space="preserve">Kai iš to paties turto palikėjo paveldėtas turtas yra keliose užsienio valstybėse, o gyventojo pasirinkimu visa 3 000 eurų lengvata taikoma vienoje pasirinktoje užsienio valstybėje esančiam turtui, jo apmokestinamoji vertė perskaičiuojama (iš P13 laukelio sumos atėmus 3 000) ir įrašoma tik vieno deklaracijos priedo lapo (kurio P5 laukelyje įrašytas pasirinktos valstybės kodas) P14 laukelyje. Deklaracijos priedo lapų, kuriuose deklaruojamas kitose užsienio valstybėse esantis iš to paties turto palikėjo paveldėtas turtas, P14 laukeliuose turi būti įrašomos P13 laukeliuose nurodytos sumos.  </w:t>
      </w:r>
    </w:p>
    <w:p>
      <w:pPr>
        <w:ind w:firstLine="567"/>
        <w:jc w:val="both"/>
        <w:rPr>
          <w:szCs w:val="24"/>
        </w:rPr>
      </w:pPr>
      <w:r>
        <w:rPr>
          <w:szCs w:val="24"/>
        </w:rPr>
        <w:t>Gyventojo, iš to paties turto palikėjo paveldėjusio keliose užsienio valstybėse esantį turtą, pasirinkimu 3 000 eurų lengvata gali būti pritaikoma pagal pasirinktas proporcijas, apskaičiuojant paveldimo turto mokestį nuo kiekvienoje valstybėje esančio turto.</w:t>
      </w:r>
    </w:p>
    <w:p>
      <w:pPr>
        <w:ind w:firstLine="567"/>
        <w:jc w:val="both"/>
        <w:rPr>
          <w:szCs w:val="24"/>
        </w:rPr>
      </w:pPr>
      <w:r>
        <w:rPr>
          <w:szCs w:val="24"/>
        </w:rPr>
        <w:t xml:space="preserve">Pavyzdys </w:t>
      </w:r>
    </w:p>
    <w:p>
      <w:pPr>
        <w:pBdr>
          <w:top w:val="single" w:sz="4" w:space="1" w:color="auto"/>
          <w:left w:val="single" w:sz="4" w:space="2" w:color="auto"/>
          <w:bottom w:val="single" w:sz="4" w:space="1" w:color="auto"/>
          <w:right w:val="single" w:sz="4" w:space="4" w:color="auto"/>
        </w:pBdr>
        <w:ind w:firstLine="567"/>
        <w:jc w:val="both"/>
        <w:rPr>
          <w:szCs w:val="24"/>
        </w:rPr>
      </w:pPr>
      <w:r>
        <w:rPr>
          <w:szCs w:val="24"/>
        </w:rPr>
        <w:t>1. Gyventojas iš to paties palikėjo 2016 m. paveldėjo 11 585 eurų vertės turtą Vokietijoje ir 17 377 eurų vertės turtą Latvijoje. Gyventojas pasirinko, kad Įstatymo 7 straipsnio 1 dalies 3 punkte numatyta mokesčio lengvata (3 000 Eur) būtų taikoma lygiomis dalimis abejose valstybėse.</w:t>
      </w:r>
    </w:p>
    <w:p>
      <w:pPr>
        <w:pBdr>
          <w:top w:val="single" w:sz="4" w:space="1" w:color="auto"/>
          <w:left w:val="single" w:sz="4" w:space="2" w:color="auto"/>
          <w:bottom w:val="single" w:sz="4" w:space="1" w:color="auto"/>
          <w:right w:val="single" w:sz="4" w:space="4" w:color="auto"/>
        </w:pBdr>
        <w:ind w:firstLine="567"/>
        <w:jc w:val="both"/>
        <w:rPr>
          <w:szCs w:val="24"/>
        </w:rPr>
      </w:pPr>
      <w:r>
        <w:rPr>
          <w:szCs w:val="24"/>
        </w:rPr>
        <w:t>1) Apskaičiuojama Vokietijoje paveldėto turto apmokestinamoji vertė:</w:t>
      </w:r>
    </w:p>
    <w:p>
      <w:pPr>
        <w:pBdr>
          <w:top w:val="single" w:sz="4" w:space="1" w:color="auto"/>
          <w:left w:val="single" w:sz="4" w:space="2" w:color="auto"/>
          <w:bottom w:val="single" w:sz="4" w:space="1" w:color="auto"/>
          <w:right w:val="single" w:sz="4" w:space="4" w:color="auto"/>
        </w:pBdr>
        <w:ind w:firstLine="567"/>
        <w:jc w:val="both"/>
        <w:rPr>
          <w:szCs w:val="24"/>
        </w:rPr>
      </w:pPr>
      <w:r>
        <w:rPr>
          <w:szCs w:val="24"/>
        </w:rPr>
        <w:t>11 585 x 70 : 100 = 8 110 Eur.</w:t>
      </w:r>
    </w:p>
    <w:p>
      <w:pPr>
        <w:pBdr>
          <w:top w:val="single" w:sz="4" w:space="1" w:color="auto"/>
          <w:left w:val="single" w:sz="4" w:space="2" w:color="auto"/>
          <w:bottom w:val="single" w:sz="4" w:space="1" w:color="auto"/>
          <w:right w:val="single" w:sz="4" w:space="4" w:color="auto"/>
        </w:pBdr>
        <w:ind w:firstLine="567"/>
        <w:jc w:val="both"/>
        <w:rPr>
          <w:szCs w:val="24"/>
        </w:rPr>
      </w:pPr>
      <w:r>
        <w:rPr>
          <w:szCs w:val="24"/>
        </w:rPr>
        <w:t>2) Perskaičiuojama Vokietijoje paveldėto turto apmokestinamoji vertė, pritaikius Įstatymo 7 straipsnio 1 dalies 3 punkte nurodytą lengvatą pagal gyventojo pasirinktą proporciją, t. y. turto apmokestinamoji vertė sumažinama 1 500 Eur (3 000 : 2):</w:t>
      </w:r>
    </w:p>
    <w:p>
      <w:pPr>
        <w:pBdr>
          <w:top w:val="single" w:sz="4" w:space="1" w:color="auto"/>
          <w:left w:val="single" w:sz="4" w:space="2" w:color="auto"/>
          <w:bottom w:val="single" w:sz="4" w:space="1" w:color="auto"/>
          <w:right w:val="single" w:sz="4" w:space="4" w:color="auto"/>
        </w:pBdr>
        <w:ind w:firstLine="567"/>
        <w:jc w:val="both"/>
        <w:rPr>
          <w:szCs w:val="24"/>
        </w:rPr>
      </w:pPr>
      <w:r>
        <w:rPr>
          <w:szCs w:val="24"/>
        </w:rPr>
        <w:t>8 110 – 1 500 = 6 610 Eur.</w:t>
      </w:r>
    </w:p>
    <w:p>
      <w:pPr>
        <w:pBdr>
          <w:top w:val="single" w:sz="4" w:space="1" w:color="auto"/>
          <w:left w:val="single" w:sz="4" w:space="2" w:color="auto"/>
          <w:bottom w:val="single" w:sz="4" w:space="1" w:color="auto"/>
          <w:right w:val="single" w:sz="4" w:space="4" w:color="auto"/>
        </w:pBdr>
        <w:ind w:firstLine="567"/>
        <w:jc w:val="both"/>
        <w:rPr>
          <w:szCs w:val="24"/>
        </w:rPr>
      </w:pPr>
      <w:r>
        <w:rPr>
          <w:szCs w:val="24"/>
        </w:rPr>
        <w:t xml:space="preserve">Deklaracijos priedo lapo, kurio P5 laukelyje įrašytas Vokietijos kodas (DE), P14 laukelyje turi būti įrašoma 6 610 suma.  </w:t>
      </w:r>
    </w:p>
    <w:p>
      <w:pPr>
        <w:pBdr>
          <w:top w:val="single" w:sz="4" w:space="1" w:color="auto"/>
          <w:left w:val="single" w:sz="4" w:space="2" w:color="auto"/>
          <w:bottom w:val="single" w:sz="4" w:space="1" w:color="auto"/>
          <w:right w:val="single" w:sz="4" w:space="4" w:color="auto"/>
        </w:pBdr>
        <w:ind w:firstLine="567"/>
        <w:jc w:val="both"/>
        <w:rPr>
          <w:szCs w:val="24"/>
        </w:rPr>
      </w:pPr>
      <w:r>
        <w:rPr>
          <w:szCs w:val="24"/>
        </w:rPr>
        <w:t>3) Apskaičiuojama Latvijoje paveldėto turto apmokestinamoji vertė:</w:t>
      </w:r>
    </w:p>
    <w:p>
      <w:pPr>
        <w:pBdr>
          <w:top w:val="single" w:sz="4" w:space="1" w:color="auto"/>
          <w:left w:val="single" w:sz="4" w:space="2" w:color="auto"/>
          <w:bottom w:val="single" w:sz="4" w:space="1" w:color="auto"/>
          <w:right w:val="single" w:sz="4" w:space="4" w:color="auto"/>
        </w:pBdr>
        <w:ind w:firstLine="567"/>
        <w:jc w:val="both"/>
        <w:rPr>
          <w:szCs w:val="24"/>
        </w:rPr>
      </w:pPr>
      <w:r>
        <w:rPr>
          <w:szCs w:val="24"/>
        </w:rPr>
        <w:t xml:space="preserve">17 377 x 70 : 100 = 12 164 Eur. </w:t>
      </w:r>
    </w:p>
    <w:p>
      <w:pPr>
        <w:pBdr>
          <w:top w:val="single" w:sz="4" w:space="1" w:color="auto"/>
          <w:left w:val="single" w:sz="4" w:space="2" w:color="auto"/>
          <w:bottom w:val="single" w:sz="4" w:space="1" w:color="auto"/>
          <w:right w:val="single" w:sz="4" w:space="4" w:color="auto"/>
        </w:pBdr>
        <w:ind w:firstLine="567"/>
        <w:jc w:val="both"/>
        <w:rPr>
          <w:szCs w:val="24"/>
        </w:rPr>
      </w:pPr>
      <w:r>
        <w:rPr>
          <w:szCs w:val="24"/>
        </w:rPr>
        <w:t>4) Perskaičiuojama Latvijoje paveldėto turto apmokestinamoji vertė, pritaikius minėtą lengvatą pagal gyventojo pasirinktą proporciją, t. y. turto apmokestinamoji vertė sumažinama 1 500 Eur:</w:t>
      </w:r>
    </w:p>
    <w:p>
      <w:pPr>
        <w:pBdr>
          <w:top w:val="single" w:sz="4" w:space="1" w:color="auto"/>
          <w:left w:val="single" w:sz="4" w:space="2" w:color="auto"/>
          <w:bottom w:val="single" w:sz="4" w:space="1" w:color="auto"/>
          <w:right w:val="single" w:sz="4" w:space="4" w:color="auto"/>
        </w:pBdr>
        <w:ind w:firstLine="567"/>
        <w:jc w:val="both"/>
        <w:rPr>
          <w:szCs w:val="24"/>
        </w:rPr>
      </w:pPr>
      <w:r>
        <w:rPr>
          <w:szCs w:val="24"/>
        </w:rPr>
        <w:t>12 164 – 1 500 = 10 664 Eur.</w:t>
      </w:r>
    </w:p>
    <w:p>
      <w:pPr>
        <w:pBdr>
          <w:top w:val="single" w:sz="4" w:space="1" w:color="auto"/>
          <w:left w:val="single" w:sz="4" w:space="2" w:color="auto"/>
          <w:bottom w:val="single" w:sz="4" w:space="1" w:color="auto"/>
          <w:right w:val="single" w:sz="4" w:space="4" w:color="auto"/>
        </w:pBdr>
        <w:ind w:firstLine="567"/>
        <w:jc w:val="both"/>
        <w:rPr>
          <w:szCs w:val="24"/>
        </w:rPr>
      </w:pPr>
      <w:r>
        <w:rPr>
          <w:szCs w:val="24"/>
        </w:rPr>
        <w:t>Deklaracijos priedo lapo, kurio P5 laukelyje įrašytas Latvijos kodas (LV), P14 laukelyje turi būti įrašoma 10 664 suma.</w:t>
      </w:r>
    </w:p>
    <w:p>
      <w:pPr>
        <w:pBdr>
          <w:top w:val="single" w:sz="4" w:space="1" w:color="auto"/>
          <w:left w:val="single" w:sz="4" w:space="2" w:color="auto"/>
          <w:bottom w:val="single" w:sz="4" w:space="1" w:color="auto"/>
          <w:right w:val="single" w:sz="4" w:space="4" w:color="auto"/>
        </w:pBdr>
        <w:ind w:firstLine="567"/>
        <w:jc w:val="both"/>
        <w:rPr>
          <w:sz w:val="16"/>
          <w:szCs w:val="16"/>
        </w:rPr>
      </w:pPr>
    </w:p>
    <w:p>
      <w:pPr>
        <w:ind w:firstLine="567"/>
        <w:jc w:val="both"/>
        <w:rPr>
          <w:szCs w:val="24"/>
        </w:rPr>
      </w:pPr>
      <w:r>
        <w:rPr>
          <w:szCs w:val="24"/>
        </w:rPr>
        <w:t>Kai gyventojas per mokestinius metus paveldi turtą užsienio valstybėse kelis kartus iš skirtingų turto palikėjų, tai paveldimo turto apmokestinamoji vertė 3 000 eurų suma mažinama kiekvieno paveldėjimo atveju.</w:t>
      </w:r>
    </w:p>
    <w:p>
      <w:pPr>
        <w:ind w:firstLine="567"/>
        <w:jc w:val="both"/>
        <w:rPr>
          <w:szCs w:val="24"/>
        </w:rPr>
      </w:pPr>
      <w:r>
        <w:rPr>
          <w:szCs w:val="24"/>
        </w:rPr>
        <w:t xml:space="preserve">Kai turto palikėjo turtą paveldi daugiau nei vienas gyventojas, Įstatymo 7 straipsnio 1 dalies 3 punkto nuostata, kad yra neapmokestinama paveldimo turto apmokestinamoji vertė, ne didesnė kaip 3 000 eurų, yra taikoma kiekvienam gyventojui. </w:t>
      </w:r>
    </w:p>
    <w:p>
      <w:pPr>
        <w:ind w:firstLine="567"/>
        <w:jc w:val="both"/>
        <w:rPr>
          <w:szCs w:val="24"/>
        </w:rPr>
      </w:pPr>
      <w:r>
        <w:rPr>
          <w:szCs w:val="24"/>
        </w:rPr>
        <w:t>41</w:t>
      </w:r>
      <w:r>
        <w:rPr>
          <w:szCs w:val="24"/>
        </w:rPr>
        <w:t>. Deklaracijos priedo</w:t>
      </w:r>
      <w:r>
        <w:rPr>
          <w:b/>
          <w:bCs/>
          <w:szCs w:val="24"/>
        </w:rPr>
        <w:t xml:space="preserve"> P15 laukelyje </w:t>
      </w:r>
      <w:r>
        <w:rPr>
          <w:szCs w:val="24"/>
        </w:rPr>
        <w:t>turi būti įrašoma paveldimo turto mokesčio suma, apskaičiuota nuo P5 laukelyje nurodytoje užsienio valstybėje paveldėto turto.</w:t>
      </w:r>
    </w:p>
    <w:p>
      <w:pPr>
        <w:ind w:firstLine="567"/>
        <w:jc w:val="both"/>
        <w:rPr>
          <w:szCs w:val="24"/>
        </w:rPr>
      </w:pPr>
      <w:r>
        <w:rPr>
          <w:szCs w:val="24"/>
        </w:rPr>
        <w:t>Jeigu visa iš to paties turto palikėjo Lietuvoje ir užsienio valstybėse paveldėto turto apmokestinamoji vertė (deklaracijos priedo lapo P4 laukelio + visų deklaracijos priedo lapų P13 laukelių suma) nėra didesnė nei 150 000 eurų, tai paveldimo turto mokestis apskaičiuojamas, taikant 5 procentų mokesčio tarifą, o kai visa paveldėto turto apmokestinamoji vertė yra didesnė nei 150 000 eurų, taikomas 10 procentų mokesčio tarifas.</w:t>
      </w:r>
    </w:p>
    <w:p>
      <w:pPr>
        <w:ind w:firstLine="567"/>
        <w:jc w:val="both"/>
        <w:rPr>
          <w:szCs w:val="24"/>
        </w:rPr>
      </w:pPr>
      <w:r>
        <w:rPr>
          <w:szCs w:val="24"/>
        </w:rPr>
        <w:t>P15 laukelyje įrašytina suma apskaičiuojama taip:</w:t>
      </w:r>
    </w:p>
    <w:p>
      <w:pPr>
        <w:ind w:firstLine="567"/>
        <w:jc w:val="both"/>
        <w:rPr>
          <w:szCs w:val="24"/>
        </w:rPr>
      </w:pPr>
      <w:r>
        <w:rPr>
          <w:szCs w:val="24"/>
        </w:rPr>
        <w:t>41.1</w:t>
      </w:r>
      <w:r>
        <w:rPr>
          <w:szCs w:val="24"/>
        </w:rPr>
        <w:t>. deklaracijos priedo lapo P14 laukelyje įrašyta suma padauginama iš 5 ir padalijama iš 100 (kai visa paveldėto turto apmokestinamoji vertė yra ne didesnė kaip 150 000 eurų), arba</w:t>
      </w:r>
    </w:p>
    <w:p>
      <w:pPr>
        <w:ind w:firstLine="567"/>
        <w:jc w:val="both"/>
        <w:rPr>
          <w:szCs w:val="24"/>
        </w:rPr>
      </w:pPr>
      <w:r>
        <w:rPr>
          <w:szCs w:val="24"/>
        </w:rPr>
        <w:t>41.2</w:t>
      </w:r>
      <w:r>
        <w:rPr>
          <w:szCs w:val="24"/>
        </w:rPr>
        <w:t>. deklaracijos priedo lapo P14 laukelyje įrašyta suma padauginama iš 10 ir padalijama iš 100 (kai visa paveldėto turto apmokestinamoji vertė yra didesnė kaip 150 000 eurų).</w:t>
      </w:r>
    </w:p>
    <w:p>
      <w:pPr>
        <w:ind w:firstLine="567"/>
        <w:jc w:val="both"/>
        <w:rPr>
          <w:szCs w:val="24"/>
        </w:rPr>
      </w:pPr>
      <w:r>
        <w:rPr>
          <w:szCs w:val="24"/>
        </w:rPr>
        <w:t>42</w:t>
      </w:r>
      <w:r>
        <w:rPr>
          <w:szCs w:val="24"/>
        </w:rPr>
        <w:t xml:space="preserve">. Deklaracijos priedo lapo </w:t>
      </w:r>
      <w:r>
        <w:rPr>
          <w:b/>
          <w:bCs/>
          <w:szCs w:val="24"/>
        </w:rPr>
        <w:t xml:space="preserve">P16 laukelyje </w:t>
      </w:r>
      <w:r>
        <w:rPr>
          <w:szCs w:val="24"/>
        </w:rPr>
        <w:t>turi būti įrašoma nuo P5 laukelyje nurodytoje užsienio valstybėje paveldėto turto privaloma sumokėti paveldimo turto mokesčio suma, apskaičiuota, iš šiame lape nurodyto turto apskaičiuotos paveldimo turto mokesčio (P15 laukelio) sumos atėmus užsienio valstybėje sumokėto atskaitytino paveldimo turto mokesčio (P12 laukelio) sumą.</w:t>
      </w:r>
    </w:p>
    <w:p>
      <w:pPr>
        <w:tabs>
          <w:tab w:val="left" w:pos="4820"/>
          <w:tab w:val="right" w:pos="9638"/>
        </w:tabs>
        <w:ind w:firstLine="567"/>
        <w:jc w:val="both"/>
        <w:rPr>
          <w:szCs w:val="24"/>
        </w:rPr>
      </w:pPr>
      <w:r>
        <w:rPr>
          <w:szCs w:val="24"/>
        </w:rPr>
        <w:t>Kai apskaičiuota paveldimo turto mokesčio suma yra didesnė už paveldimo turto mokesčio ar jam tapataus mokesčio sumą, nuo paveldėto turto sumokėtą toje užsienio valstybėje, kurioje jis yra, tai atskaitoma tik užsienio valstybėje sumokėta mokesčio suma. Įstatymo nustatyta tvarka apskaičiuotos paveldimo turto mokesčio sumos ir užsienio valstybėje sumokėtos paveldimo turto mokesčio ar jam tapataus mokesčio sumos skirtumas turi būti sumokėtas iki Įstatyme nustatyto deklaracijos pateikimo termino pabaigos (t. y. iki kalendorinių metų, einančių po mokestinių metų, kovo 1 dienos).</w:t>
      </w:r>
    </w:p>
    <w:p>
      <w:pPr>
        <w:ind w:firstLine="567"/>
        <w:jc w:val="both"/>
        <w:rPr>
          <w:szCs w:val="24"/>
        </w:rPr>
      </w:pPr>
      <w:r>
        <w:rPr>
          <w:szCs w:val="24"/>
        </w:rPr>
        <w:t>Jeigu apskaičiuota paveldimo turto mokesčio suma yra mažesnė už paveldimo turto mokesčio ar jam tapataus mokesčio sumą, sumokėtą toje užsienio valstybėje, kurioje yra paveldėtas turtas, tai atskaitoma tik Įstatymo nustatyta tvarka apskaičiuota paveldimo turto mokesčio suma. Tokiu atveju P16 laukelyje turi būti įrašomas nulis (0), neigiama suma šiame laukelyje negali būti įrašoma.</w:t>
      </w:r>
    </w:p>
    <w:p>
      <w:pPr>
        <w:ind w:firstLine="567"/>
        <w:jc w:val="both"/>
        <w:rPr>
          <w:szCs w:val="24"/>
        </w:rPr>
      </w:pPr>
      <w:r>
        <w:rPr>
          <w:szCs w:val="24"/>
        </w:rPr>
        <w:t>43</w:t>
      </w:r>
      <w:r>
        <w:rPr>
          <w:szCs w:val="24"/>
        </w:rPr>
        <w:t>. Paveldimo turto mokesčio apskaičiavimo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tc>
          <w:tcPr>
            <w:tcW w:w="9570" w:type="dxa"/>
            <w:tcBorders>
              <w:top w:val="single" w:sz="4" w:space="0" w:color="auto"/>
              <w:left w:val="single" w:sz="4" w:space="0" w:color="auto"/>
              <w:bottom w:val="single" w:sz="4" w:space="0" w:color="auto"/>
              <w:right w:val="single" w:sz="4" w:space="0" w:color="auto"/>
            </w:tcBorders>
            <w:hideMark/>
          </w:tcPr>
          <w:p>
            <w:pPr>
              <w:ind w:firstLine="567"/>
              <w:jc w:val="both"/>
              <w:rPr>
                <w:szCs w:val="24"/>
              </w:rPr>
            </w:pPr>
            <w:r>
              <w:rPr>
                <w:szCs w:val="24"/>
              </w:rPr>
              <w:t>Gyventojas iš to paties turto palikėjo paveldėjo turtą:</w:t>
            </w:r>
          </w:p>
          <w:p>
            <w:pPr>
              <w:ind w:firstLine="567"/>
              <w:jc w:val="both"/>
              <w:rPr>
                <w:szCs w:val="24"/>
              </w:rPr>
            </w:pPr>
            <w:r>
              <w:rPr>
                <w:szCs w:val="24"/>
              </w:rPr>
              <w:t xml:space="preserve">1) esantį Vokietijoje, kurio visa vertė, nurodyta paveldėjimo dokumentuose, yra 13 033 eurų. Pagal gyventojo pateiktus Vokietijos mokesčių administratoriaus patvirtintus dokumentus už paveldėtą turtą Vokietijoje gyventojas sumokėjo 348 eurų paveldimo turto mokestį ar jam tapatų mokestį; </w:t>
            </w:r>
          </w:p>
          <w:p>
            <w:pPr>
              <w:ind w:firstLine="567"/>
              <w:jc w:val="both"/>
              <w:rPr>
                <w:szCs w:val="24"/>
              </w:rPr>
            </w:pPr>
            <w:r>
              <w:rPr>
                <w:szCs w:val="24"/>
              </w:rPr>
              <w:t xml:space="preserve">2) esantį Latvijoje, kurio visa vertė, nurodyta paveldėjimo dokumentuose, yra 34 754 eurai.  Pagal gyventojo pateiktus Latvijos mokesčių administratoriaus patvirtintus dokumentus gyventojas Latvijoje sumokėjo 420 eurų paveldimo turto mokestį ar jam tapatų mokestį; </w:t>
            </w:r>
          </w:p>
          <w:p>
            <w:pPr>
              <w:ind w:firstLine="567"/>
              <w:jc w:val="both"/>
              <w:rPr>
                <w:szCs w:val="24"/>
              </w:rPr>
            </w:pPr>
            <w:r>
              <w:rPr>
                <w:szCs w:val="24"/>
              </w:rPr>
              <w:t>3) iš to paties turto palikėjo Lietuvoje paveldėto turto apmokestinamoji vertė sudaro 72 405 eurų.</w:t>
            </w:r>
          </w:p>
          <w:p>
            <w:pPr>
              <w:ind w:firstLine="567"/>
              <w:jc w:val="both"/>
              <w:rPr>
                <w:szCs w:val="24"/>
              </w:rPr>
            </w:pPr>
            <w:r>
              <w:rPr>
                <w:szCs w:val="24"/>
              </w:rPr>
              <w:t>I. Apskaičiuojant paveldimo turto mokestį nuo turto, paveldėto Vokietijoje, vertės, užpildomas deklaracijos priedo lapas, kuriame:</w:t>
            </w:r>
          </w:p>
          <w:p>
            <w:pPr>
              <w:ind w:firstLine="567"/>
              <w:jc w:val="both"/>
              <w:rPr>
                <w:szCs w:val="24"/>
              </w:rPr>
            </w:pPr>
            <w:r>
              <w:rPr>
                <w:szCs w:val="24"/>
              </w:rPr>
              <w:t>- į P11 laukelį turi būti įrašoma visa 13 033 eurų paveldėto turto vertė;</w:t>
            </w:r>
          </w:p>
          <w:p>
            <w:pPr>
              <w:ind w:firstLine="567"/>
              <w:jc w:val="both"/>
              <w:rPr>
                <w:szCs w:val="24"/>
              </w:rPr>
            </w:pPr>
            <w:r>
              <w:rPr>
                <w:szCs w:val="24"/>
              </w:rPr>
              <w:t>- į P12 laukelį turi būti įrašoma visa 348 eurų Vokietijoje sumokėto paveldimo turto mokesčio ar jam tapataus mokesčio suma;</w:t>
            </w:r>
          </w:p>
          <w:p>
            <w:pPr>
              <w:ind w:firstLine="567"/>
              <w:jc w:val="both"/>
              <w:rPr>
                <w:szCs w:val="24"/>
              </w:rPr>
            </w:pPr>
            <w:r>
              <w:rPr>
                <w:szCs w:val="24"/>
              </w:rPr>
              <w:t>- visa paveldėto turto apmokestinamoji vertė, kuri sudaro 70 procentų visos turto vertės, apskaičiuojama taip:</w:t>
            </w:r>
          </w:p>
          <w:p>
            <w:pPr>
              <w:ind w:firstLine="567"/>
              <w:jc w:val="both"/>
              <w:rPr>
                <w:szCs w:val="24"/>
              </w:rPr>
            </w:pPr>
            <w:r>
              <w:rPr>
                <w:szCs w:val="24"/>
              </w:rPr>
              <w:t>13 033 Eur x 70 : 100 = 9 123 Eur (ši suma turi būti įrašoma į P13 laukelį);</w:t>
            </w:r>
          </w:p>
          <w:p>
            <w:pPr>
              <w:ind w:firstLine="567"/>
              <w:jc w:val="both"/>
              <w:rPr>
                <w:szCs w:val="24"/>
              </w:rPr>
            </w:pPr>
            <w:r>
              <w:rPr>
                <w:szCs w:val="24"/>
              </w:rPr>
              <w:t>- visa turto apmokestinamoji vertė perskaičiuojama, pritaikant Įstatymo 7 straipsnio 1 dalies 3 punkte nurodytą lengvatą, t. y. turto apmokestinamoji vertė sumažinama 3 000 eurų suma:</w:t>
            </w:r>
          </w:p>
          <w:p>
            <w:pPr>
              <w:ind w:firstLine="567"/>
              <w:jc w:val="both"/>
              <w:rPr>
                <w:szCs w:val="24"/>
              </w:rPr>
            </w:pPr>
            <w:r>
              <w:rPr>
                <w:szCs w:val="24"/>
              </w:rPr>
              <w:t>9 123 Eur – 3 000 Eur = 6 123 Eur (ši suma turi būti įrašoma į P14 laukelį);</w:t>
            </w:r>
          </w:p>
          <w:p>
            <w:pPr>
              <w:tabs>
                <w:tab w:val="left" w:pos="4820"/>
                <w:tab w:val="right" w:pos="9638"/>
              </w:tabs>
              <w:ind w:firstLine="567"/>
              <w:jc w:val="both"/>
              <w:rPr>
                <w:szCs w:val="24"/>
              </w:rPr>
            </w:pPr>
            <w:r>
              <w:rPr>
                <w:szCs w:val="24"/>
              </w:rPr>
              <w:t>- apskaičiuojama visa paveldimo turto mokesčio suma. Kadangi abejose užsienio valstybėse ir Lietuvoje paveldėto turto apmokestinamoji vertė (70 procentų viso turto vertės) yra (9 123 Eur + 24 328 Eur (34 754 x 70 : 100) + 72 405 Eur = 105 856 Eur) mažesnė nei 150 000 eurų, taikomas 5 procentų mokesčio tarifas:</w:t>
            </w:r>
          </w:p>
          <w:p>
            <w:pPr>
              <w:ind w:firstLine="567"/>
              <w:jc w:val="both"/>
              <w:rPr>
                <w:szCs w:val="24"/>
              </w:rPr>
            </w:pPr>
            <w:r>
              <w:rPr>
                <w:szCs w:val="24"/>
              </w:rPr>
              <w:t>6 123 x 5 : 100 = 306 Eur (ši suma turi būti įrašoma į P15 laukelį);</w:t>
            </w:r>
          </w:p>
          <w:p>
            <w:pPr>
              <w:tabs>
                <w:tab w:val="left" w:pos="4820"/>
                <w:tab w:val="right" w:pos="9638"/>
              </w:tabs>
              <w:ind w:firstLine="567"/>
              <w:jc w:val="both"/>
              <w:rPr>
                <w:szCs w:val="24"/>
              </w:rPr>
            </w:pPr>
            <w:r>
              <w:rPr>
                <w:szCs w:val="24"/>
              </w:rPr>
              <w:t>- apskaičiuojama nuo Vokietijoje paveldėto turto vertės privalomo sumokėti paveldimo turto mokesčio suma. Kadangi apskaičiuota paveldimo turto mokesčio 306 Eur suma yra mažesnė už Vokietijoje sumokėtą paveldimo turto mokesčio ar jam tapataus mokesčio sumą (348 Eur), tai iš Įstatymo nustatyta tvarka apskaičiuotos P15 laukelyje įrašytos 306 Eur paveldimo turto mokesčio sumos atskaitoma Vokietijoje sumokėta 306 Eur suma. Vadinasi, gyventojas Lietuvoje mokesčio mokėti neprivalo. Deklaracijos priedo P16 laukelyje turi būti įrašomas 0.</w:t>
            </w:r>
          </w:p>
          <w:p>
            <w:pPr>
              <w:tabs>
                <w:tab w:val="left" w:pos="4820"/>
                <w:tab w:val="right" w:pos="9638"/>
              </w:tabs>
              <w:ind w:firstLine="567"/>
              <w:jc w:val="both"/>
              <w:rPr>
                <w:szCs w:val="24"/>
              </w:rPr>
            </w:pPr>
            <w:r>
              <w:rPr>
                <w:szCs w:val="24"/>
              </w:rPr>
              <w:t xml:space="preserve">II. Apskaičiuojant paveldimo turto mokestį nuo turto, paveldėto Latvijoje, vertės, užpildomas antras deklaracijos priedo lapas: </w:t>
            </w:r>
          </w:p>
          <w:p>
            <w:pPr>
              <w:tabs>
                <w:tab w:val="left" w:pos="4820"/>
                <w:tab w:val="right" w:pos="9638"/>
              </w:tabs>
              <w:ind w:firstLine="567"/>
              <w:rPr>
                <w:szCs w:val="24"/>
              </w:rPr>
            </w:pPr>
            <w:r>
              <w:rPr>
                <w:szCs w:val="24"/>
              </w:rPr>
              <w:t>- į P11 laukelį turi būti įrašoma visa Latvijoje paveldėto turto 34 754 Eur vertė;</w:t>
            </w:r>
          </w:p>
          <w:p>
            <w:pPr>
              <w:tabs>
                <w:tab w:val="left" w:pos="4820"/>
                <w:tab w:val="right" w:pos="9638"/>
              </w:tabs>
              <w:ind w:firstLine="567"/>
              <w:jc w:val="both"/>
              <w:rPr>
                <w:szCs w:val="24"/>
              </w:rPr>
            </w:pPr>
            <w:r>
              <w:rPr>
                <w:szCs w:val="24"/>
              </w:rPr>
              <w:t>- į P12 laukelį turi būti įrašoma 420 Eur Latvijoje sumokėto paveldimo turto mokesčio suma;</w:t>
            </w:r>
          </w:p>
          <w:p>
            <w:pPr>
              <w:tabs>
                <w:tab w:val="left" w:pos="4820"/>
                <w:tab w:val="right" w:pos="9638"/>
              </w:tabs>
              <w:ind w:firstLine="567"/>
              <w:jc w:val="both"/>
              <w:rPr>
                <w:szCs w:val="24"/>
              </w:rPr>
            </w:pPr>
            <w:r>
              <w:rPr>
                <w:szCs w:val="24"/>
              </w:rPr>
              <w:t>- paveldėto turto apmokestinamoji vertė, kuri sudaro 70 procentų visos turto vertės, apskaičiuojama taip:</w:t>
            </w:r>
          </w:p>
          <w:p>
            <w:pPr>
              <w:ind w:firstLine="567"/>
              <w:jc w:val="both"/>
              <w:rPr>
                <w:szCs w:val="24"/>
              </w:rPr>
            </w:pPr>
            <w:r>
              <w:rPr>
                <w:szCs w:val="24"/>
              </w:rPr>
              <w:t>34 754 Eur x 70 : 100 = 24 328 Eur (ši suma turi būti įrašoma į P13 laukelį);</w:t>
            </w:r>
          </w:p>
          <w:p>
            <w:pPr>
              <w:tabs>
                <w:tab w:val="left" w:pos="4820"/>
                <w:tab w:val="right" w:pos="9638"/>
              </w:tabs>
              <w:ind w:firstLine="567"/>
              <w:jc w:val="both"/>
              <w:rPr>
                <w:szCs w:val="24"/>
              </w:rPr>
            </w:pPr>
            <w:r>
              <w:rPr>
                <w:szCs w:val="24"/>
              </w:rPr>
              <w:t>- Įstatymo 7 straipsnio 1 dalies 3 punkte numatyta mokesčio lengvata (3 000 Eur) buvo pritaikyta, apskaičiuojant paveldimo turto mokestį nuo Vokietijoje paveldėto turto, todėl, apskaičiuojant paveldimo turto mokestį nuo Latvijoje paveldėto turto, ši lengvata netaikoma. Perskaičiuota turto apmokestinamoji vertė yra lygi visai turto apmokestinamajai vertei – 24 328 Eur (ši suma turi būti įrašoma į P14 laukelį);</w:t>
            </w:r>
          </w:p>
          <w:p>
            <w:pPr>
              <w:tabs>
                <w:tab w:val="left" w:pos="4820"/>
                <w:tab w:val="right" w:pos="9638"/>
              </w:tabs>
              <w:ind w:firstLine="567"/>
              <w:jc w:val="both"/>
              <w:rPr>
                <w:szCs w:val="24"/>
              </w:rPr>
            </w:pPr>
            <w:r>
              <w:rPr>
                <w:szCs w:val="24"/>
              </w:rPr>
              <w:t>- apskaičiuojama paveldimo turto mokesčio suma. Kadangi viso paveldėto turto apmokestinamoji vertė yra mažesnė nei 150 000 eurų, taikomas 5 procentų mokesčio tarifas:</w:t>
            </w:r>
          </w:p>
          <w:p>
            <w:pPr>
              <w:ind w:firstLine="567"/>
              <w:jc w:val="both"/>
              <w:rPr>
                <w:szCs w:val="24"/>
              </w:rPr>
            </w:pPr>
            <w:r>
              <w:rPr>
                <w:szCs w:val="24"/>
              </w:rPr>
              <w:t>24 328 Eur x 5 : 100 = 1 216 Eur (ši suma turi būti įrašoma į P15 laukelį);</w:t>
            </w:r>
          </w:p>
          <w:p>
            <w:pPr>
              <w:ind w:firstLine="567"/>
              <w:jc w:val="both"/>
              <w:rPr>
                <w:szCs w:val="24"/>
              </w:rPr>
            </w:pPr>
            <w:r>
              <w:rPr>
                <w:szCs w:val="24"/>
              </w:rPr>
              <w:t>- apskaičiuojama nuo Latvijoje paveldėto turto vertės privalomo mokėti paveldimo turto mokesčio suma. Kadangi pagal Įstatymą apskaičiuota mokesčio 1 216 eurų suma yra didesnė už Latvijoje sumokėtą paveldimo turto mokesčio ar jam tapataus mokesčio (420 eurų) sumą, tai iš apskaičiuotos paveldimo turto mokesčio 1 216 eurų sumos atskaitoma Latvijoje sumokėta 420 eurų paveldimo turto mokesčio ar jam tapataus mokesčio suma. Skirtumas tarp apskaičiuotos ir sumokėtos Latvijoje sumos, t. y. 796 eurų (1 216 Eur – 420 Eur), turi būti sumokamas Lietuvoje. Deklaracijos priedo lapo P16 laukelyje turi būti įrašoma 796.</w:t>
            </w:r>
          </w:p>
          <w:p>
            <w:pPr>
              <w:ind w:firstLine="567"/>
              <w:jc w:val="both"/>
              <w:rPr>
                <w:szCs w:val="24"/>
              </w:rPr>
            </w:pPr>
            <w:r>
              <w:rPr>
                <w:szCs w:val="24"/>
              </w:rPr>
              <w:t>III. Bendra paveldimo turto mokesčio suma nuo abejose užsienio valstybėse paveldėto turto yra lygi deklaracijos priedo abejų lapų P16 laukeliuose įrašytai sumai. Šiuo atveju gyventojas nuo Vokietijoje paveldėto turto paveldimo turto mokesčio mokėti neprivalo, o nuo Latvijoje paveldėto turto turi sumokėti 796 eurų paveldimo turto mokestį. Bendra privaloma sumokėti paveldimo turto mokesčio suma, apskaičiuota nuo per mokestinius metus paveldėto viso turto, yra 796 eurų. Ši suma turi būti įrašoma į deklaracijos 8 laukelį.</w:t>
            </w:r>
          </w:p>
        </w:tc>
      </w:tr>
    </w:tbl>
    <w:p>
      <w:pPr>
        <w:keepNext/>
        <w:ind w:firstLine="567"/>
        <w:jc w:val="center"/>
        <w:rPr>
          <w:b/>
          <w:caps/>
          <w:kern w:val="28"/>
        </w:rPr>
      </w:pPr>
    </w:p>
    <w:p>
      <w:pPr>
        <w:keepNext/>
        <w:ind w:firstLine="567"/>
        <w:jc w:val="center"/>
        <w:rPr>
          <w:b/>
          <w:caps/>
          <w:kern w:val="28"/>
          <w:szCs w:val="24"/>
        </w:rPr>
      </w:pPr>
      <w:r>
        <w:rPr>
          <w:b/>
          <w:caps/>
          <w:kern w:val="28"/>
        </w:rPr>
        <w:t>V</w:t>
      </w:r>
      <w:r>
        <w:rPr>
          <w:b/>
          <w:caps/>
          <w:kern w:val="28"/>
        </w:rPr>
        <w:t xml:space="preserve"> SKYRIUS</w:t>
      </w:r>
    </w:p>
    <w:p>
      <w:pPr>
        <w:keepNext/>
        <w:jc w:val="center"/>
        <w:rPr>
          <w:b/>
          <w:caps/>
          <w:kern w:val="28"/>
        </w:rPr>
      </w:pPr>
      <w:r>
        <w:rPr>
          <w:b/>
          <w:caps/>
          <w:kern w:val="28"/>
        </w:rPr>
        <w:t>DEKLARACIJOS PATEIKIMAS IR TIKSLINIMAS</w:t>
      </w:r>
    </w:p>
    <w:p>
      <w:pPr>
        <w:keepNext/>
        <w:ind w:firstLine="567"/>
        <w:jc w:val="both"/>
        <w:rPr>
          <w:szCs w:val="24"/>
        </w:rPr>
      </w:pPr>
    </w:p>
    <w:p>
      <w:pPr>
        <w:keepNext/>
        <w:ind w:firstLine="567"/>
        <w:jc w:val="both"/>
        <w:rPr>
          <w:szCs w:val="24"/>
        </w:rPr>
      </w:pPr>
      <w:r>
        <w:rPr>
          <w:szCs w:val="24"/>
        </w:rPr>
        <w:t>44</w:t>
      </w:r>
      <w:r>
        <w:rPr>
          <w:szCs w:val="24"/>
        </w:rPr>
        <w:t xml:space="preserve">. Tinkamai užpildyta deklaracija kartu su jos priedu turi būti pateikta iki kalendorinių metų, einančių po mokestinių metų, kovo 1 dienos. </w:t>
      </w:r>
    </w:p>
    <w:p>
      <w:pPr>
        <w:ind w:left="1" w:firstLine="540"/>
        <w:jc w:val="both"/>
        <w:rPr>
          <w:szCs w:val="24"/>
        </w:rPr>
      </w:pPr>
      <w:r>
        <w:rPr>
          <w:szCs w:val="24"/>
        </w:rPr>
        <w:t>45</w:t>
      </w:r>
      <w:r>
        <w:rPr>
          <w:szCs w:val="24"/>
        </w:rPr>
        <w:t xml:space="preserve">. Mokesčių administratoriui turi būti teikiama tinkamai užpildyta Valstybinės mokesčių inspekcijos prie Lietuvos Respublikos finansų ministerijos (toliau – VMI prie FM) interneto svetainėje (www.vmi.lt) skelbiama deklaracijos forma. Deklaracijos, jos priedo formos ir Taisyklės taip pat yra skelbiamos VMI Elektroninio deklaravimo sistemoje (http://deklaravimas.vmi.lt). </w:t>
      </w:r>
    </w:p>
    <w:p>
      <w:pPr>
        <w:ind w:firstLine="567"/>
        <w:jc w:val="both"/>
        <w:rPr>
          <w:szCs w:val="24"/>
        </w:rPr>
      </w:pPr>
      <w:r>
        <w:rPr>
          <w:szCs w:val="24"/>
        </w:rPr>
        <w:t>46</w:t>
      </w:r>
      <w:r>
        <w:rPr>
          <w:szCs w:val="24"/>
        </w:rPr>
        <w:t>. Deklaracija (su priedu) gali būti pateikta tokiais būdais:</w:t>
      </w:r>
    </w:p>
    <w:p>
      <w:pPr>
        <w:keepNext/>
        <w:ind w:firstLine="567"/>
        <w:jc w:val="both"/>
        <w:rPr>
          <w:szCs w:val="24"/>
        </w:rPr>
      </w:pPr>
      <w:r>
        <w:rPr>
          <w:szCs w:val="24"/>
        </w:rPr>
        <w:t>46.1</w:t>
      </w:r>
      <w:r>
        <w:rPr>
          <w:szCs w:val="24"/>
        </w:rPr>
        <w:t>. VMI prie FM nustatyta tvarka pateikta elektroniniu būdu;</w:t>
      </w:r>
    </w:p>
    <w:p>
      <w:pPr>
        <w:keepNext/>
        <w:ind w:firstLine="567"/>
        <w:jc w:val="both"/>
        <w:rPr>
          <w:szCs w:val="24"/>
        </w:rPr>
      </w:pPr>
      <w:r>
        <w:rPr>
          <w:szCs w:val="24"/>
        </w:rPr>
        <w:t>46.2</w:t>
      </w:r>
      <w:r>
        <w:rPr>
          <w:szCs w:val="24"/>
        </w:rPr>
        <w:t>. įteikta tiesiogiai nuolatinės gyvenamosios vietos ar bet kurio kito apskrities valstybinės mokesčių inspekcijos teritorinio skyriaus (toliau – AVMI) darbuotojui;</w:t>
      </w:r>
    </w:p>
    <w:p>
      <w:pPr>
        <w:keepNext/>
        <w:ind w:firstLine="567"/>
        <w:jc w:val="both"/>
        <w:rPr>
          <w:szCs w:val="24"/>
        </w:rPr>
      </w:pPr>
      <w:r>
        <w:rPr>
          <w:szCs w:val="24"/>
        </w:rPr>
        <w:t>46.3</w:t>
      </w:r>
      <w:r>
        <w:rPr>
          <w:szCs w:val="24"/>
        </w:rPr>
        <w:t xml:space="preserve">. atsiųsta klasikiniu paštu į AVMI jų skelbiamais adresais. </w:t>
      </w:r>
    </w:p>
    <w:p>
      <w:pPr>
        <w:keepNext/>
        <w:ind w:firstLine="567"/>
        <w:jc w:val="both"/>
        <w:rPr>
          <w:szCs w:val="24"/>
        </w:rPr>
      </w:pPr>
      <w:r>
        <w:rPr>
          <w:szCs w:val="24"/>
        </w:rPr>
        <w:t xml:space="preserve">Deklaraciją pateikti gali pats gyventojas, kuriam nustatyta prievolė ją pateikti, arba jo atstovas.  </w:t>
      </w:r>
    </w:p>
    <w:p>
      <w:pPr>
        <w:keepNext/>
        <w:ind w:firstLine="567"/>
        <w:jc w:val="both"/>
        <w:rPr>
          <w:szCs w:val="24"/>
        </w:rPr>
      </w:pPr>
      <w:r>
        <w:rPr>
          <w:szCs w:val="24"/>
        </w:rPr>
        <w:t>47</w:t>
      </w:r>
      <w:r>
        <w:rPr>
          <w:szCs w:val="24"/>
        </w:rPr>
        <w:t>. Deklaracija gali būti tikslinama per Lietuvos Respublikos mokesčių administravimo įstatyme nustatytą terminą, pateikiant patikslintą visiškai užpildytą deklaraciją.</w:t>
      </w:r>
    </w:p>
    <w:p>
      <w:pPr>
        <w:ind w:firstLine="567"/>
        <w:jc w:val="both"/>
        <w:rPr>
          <w:b/>
          <w:caps/>
          <w:kern w:val="28"/>
          <w:szCs w:val="24"/>
        </w:rPr>
      </w:pPr>
      <w:r>
        <w:rPr>
          <w:szCs w:val="24"/>
        </w:rPr>
        <w:t xml:space="preserve">Tikslinant 2015 m. ar ankstesnių mokestinių metų pateiktų deklaracijų duomenis, turi būti teikiama VMI prie FM interneto svetainėje pateikta 1 versijos deklaracijos FR0585 forma, o tikslinant 2016 m. ar vėlesnių mokestinių metų pateiktų deklaracijų duomenis – 2 versijos deklaracijos FR0585 forma. </w:t>
      </w:r>
    </w:p>
    <w:p>
      <w:pPr>
        <w:keepNext/>
        <w:jc w:val="center"/>
        <w:rPr>
          <w:b/>
          <w:caps/>
          <w:kern w:val="28"/>
          <w:sz w:val="16"/>
          <w:szCs w:val="16"/>
        </w:rPr>
      </w:pPr>
    </w:p>
    <w:p>
      <w:pPr>
        <w:keepNext/>
        <w:jc w:val="center"/>
        <w:rPr>
          <w:b/>
          <w:caps/>
          <w:kern w:val="28"/>
        </w:rPr>
      </w:pPr>
      <w:r>
        <w:rPr>
          <w:b/>
          <w:caps/>
          <w:kern w:val="28"/>
        </w:rPr>
        <w:t>VI</w:t>
      </w:r>
      <w:r>
        <w:rPr>
          <w:b/>
          <w:caps/>
          <w:kern w:val="28"/>
        </w:rPr>
        <w:t xml:space="preserve"> SKYRIUS</w:t>
      </w:r>
    </w:p>
    <w:p>
      <w:pPr>
        <w:keepNext/>
        <w:jc w:val="center"/>
        <w:rPr>
          <w:b/>
          <w:caps/>
          <w:kern w:val="28"/>
        </w:rPr>
      </w:pPr>
      <w:r>
        <w:rPr>
          <w:b/>
          <w:caps/>
          <w:kern w:val="28"/>
        </w:rPr>
        <w:t>BAIGIAMOSIOS NUOSTATOS</w:t>
      </w:r>
    </w:p>
    <w:p>
      <w:pPr>
        <w:ind w:firstLine="567"/>
        <w:jc w:val="center"/>
        <w:rPr>
          <w:b/>
          <w:bCs/>
          <w:szCs w:val="24"/>
        </w:rPr>
      </w:pPr>
    </w:p>
    <w:p>
      <w:pPr>
        <w:ind w:firstLine="567"/>
        <w:jc w:val="both"/>
        <w:rPr>
          <w:szCs w:val="24"/>
        </w:rPr>
      </w:pPr>
      <w:r>
        <w:rPr>
          <w:szCs w:val="24"/>
        </w:rPr>
        <w:t>48</w:t>
      </w:r>
      <w:r>
        <w:rPr>
          <w:szCs w:val="24"/>
        </w:rPr>
        <w:t>. Už deklaracijos nepateikimą, pavėluotą pateikimą ar neteisingų duomenų į ją įrašymą gyventojas atsako Lietuvos Respublikos teisės aktų nustatyta tvarka.</w:t>
      </w:r>
    </w:p>
    <w:p>
      <w:pPr>
        <w:ind w:firstLine="567"/>
        <w:jc w:val="both"/>
        <w:rPr>
          <w:szCs w:val="24"/>
        </w:rPr>
      </w:pPr>
      <w:r>
        <w:rPr>
          <w:szCs w:val="24"/>
        </w:rPr>
        <w:t>49</w:t>
      </w:r>
      <w:r>
        <w:rPr>
          <w:szCs w:val="24"/>
        </w:rPr>
        <w:t>. VMI prie FM ir AVMI darbuotojai gyventojų pateiktų deklaracijų duomenis ir kitą susijusią informaciją privalo laikyti paslaptyje. Deklaracijų duomenys tretiesiems asmenims teikiami tik įstatymų nustatytais atvejais ir tvarka.</w:t>
      </w:r>
    </w:p>
    <w:p>
      <w:pPr>
        <w:ind w:firstLine="567"/>
        <w:jc w:val="both"/>
        <w:rPr>
          <w:szCs w:val="24"/>
        </w:rPr>
      </w:pPr>
    </w:p>
    <w:p>
      <w:pPr>
        <w:jc w:val="center"/>
      </w:pPr>
      <w:r>
        <w:rPr>
          <w:b/>
          <w:caps/>
          <w:kern w:val="28"/>
        </w:rPr>
        <w:t>_______________________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1cf10063fd11e4ab32a37dfc9a0878">
        <w:r w:rsidRPr="00532B9F">
          <w:rPr>
            <w:rFonts w:ascii="Times New Roman" w:eastAsia="MS Mincho" w:hAnsi="Times New Roman"/>
            <w:sz w:val="20"/>
            <w:i/>
            <w:iCs/>
            <w:color w:val="0000FF" w:themeColor="hyperlink"/>
            <w:u w:val="single"/>
          </w:rPr>
          <w:t>VA-127</w:t>
        </w:r>
      </w:fldSimple>
      <w:r>
        <w:rPr>
          <w:rFonts w:ascii="Times New Roman" w:eastAsia="MS Mincho" w:hAnsi="Times New Roman"/>
          <w:sz w:val="20"/>
          <w:i/>
          <w:iCs/>
        </w:rPr>
        <w:t>,
2014-11-04,
paskelbta TAR 2014-11-04, i. k. 2014-15637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30f9c10b7bf11e693eea1ef35f20da9">
        <w:r w:rsidRPr="00532B9F">
          <w:rPr>
            <w:rFonts w:ascii="Times New Roman" w:eastAsia="MS Mincho" w:hAnsi="Times New Roman"/>
            <w:sz w:val="20"/>
            <w:i/>
            <w:iCs/>
            <w:color w:val="0000FF" w:themeColor="hyperlink"/>
            <w:u w:val="single"/>
          </w:rPr>
          <w:t>VA-147</w:t>
        </w:r>
      </w:fldSimple>
      <w:r>
        <w:rPr>
          <w:rFonts w:ascii="Times New Roman" w:eastAsia="MS Mincho" w:hAnsi="Times New Roman"/>
          <w:sz w:val="20"/>
          <w:i/>
          <w:iCs/>
        </w:rPr>
        <w:t>,
2016-12-01,
paskelbta TAR 2016-12-01, i. k. 2016-27966            </w:t>
      </w:r>
    </w:p>
    <w:p/>
    <w:p>
      <w:pPr>
        <w:ind w:left="4536"/>
        <w:jc w:val="both"/>
      </w:pPr>
      <w:r>
        <w:br w:type="page"/>
      </w:r>
    </w:p>
    <w:p>
      <w:pPr>
        <w:ind w:left="4536"/>
        <w:jc w:val="both"/>
        <w:rPr>
          <w:color w:val="000000"/>
          <w:szCs w:val="24"/>
          <w:lang w:eastAsia="lt-LT"/>
        </w:rPr>
      </w:pPr>
      <w:r>
        <w:rPr>
          <w:color w:val="000000"/>
          <w:szCs w:val="24"/>
          <w:lang w:eastAsia="lt-LT"/>
        </w:rPr>
        <w:t xml:space="preserve">Paveldimo turto mokesčio deklaracijos, kai turtas </w:t>
      </w:r>
    </w:p>
    <w:p>
      <w:pPr>
        <w:ind w:left="4536"/>
        <w:jc w:val="both"/>
        <w:rPr>
          <w:color w:val="000000"/>
          <w:szCs w:val="24"/>
          <w:lang w:eastAsia="lt-LT"/>
        </w:rPr>
      </w:pPr>
      <w:r>
        <w:rPr>
          <w:color w:val="000000"/>
          <w:szCs w:val="24"/>
          <w:lang w:eastAsia="lt-LT"/>
        </w:rPr>
        <w:t xml:space="preserve">paveldėtas užsienio valstybėse, FR0585 formos ir </w:t>
      </w:r>
    </w:p>
    <w:p>
      <w:pPr>
        <w:ind w:left="4536"/>
        <w:jc w:val="both"/>
        <w:rPr>
          <w:color w:val="000000"/>
          <w:szCs w:val="24"/>
          <w:lang w:eastAsia="lt-LT"/>
        </w:rPr>
      </w:pPr>
      <w:r>
        <w:rPr>
          <w:color w:val="000000"/>
          <w:szCs w:val="24"/>
          <w:lang w:eastAsia="lt-LT"/>
        </w:rPr>
        <w:t xml:space="preserve">jos priedo FR0585P formos užpildymo ir pateikimo </w:t>
      </w:r>
    </w:p>
    <w:p>
      <w:pPr>
        <w:ind w:left="4536"/>
        <w:jc w:val="both"/>
        <w:rPr>
          <w:color w:val="000000"/>
          <w:szCs w:val="24"/>
          <w:lang w:eastAsia="lt-LT"/>
        </w:rPr>
      </w:pPr>
      <w:r>
        <w:rPr>
          <w:color w:val="000000"/>
          <w:szCs w:val="24"/>
          <w:lang w:eastAsia="lt-LT"/>
        </w:rPr>
        <w:t>taisyklių</w:t>
      </w:r>
    </w:p>
    <w:p>
      <w:pPr>
        <w:ind w:left="4536"/>
        <w:jc w:val="both"/>
        <w:rPr>
          <w:color w:val="000000"/>
          <w:szCs w:val="24"/>
          <w:lang w:eastAsia="lt-LT"/>
        </w:rPr>
      </w:pPr>
      <w:r>
        <w:rPr>
          <w:color w:val="000000"/>
          <w:szCs w:val="24"/>
          <w:lang w:eastAsia="lt-LT"/>
        </w:rPr>
        <w:t>1</w:t>
      </w:r>
      <w:r>
        <w:rPr>
          <w:color w:val="000000"/>
          <w:szCs w:val="24"/>
          <w:lang w:eastAsia="lt-LT"/>
        </w:rPr>
        <w:t xml:space="preserve"> priedas</w:t>
      </w:r>
    </w:p>
    <w:p>
      <w:pPr>
        <w:ind w:left="4536"/>
        <w:jc w:val="both"/>
        <w:rPr>
          <w:color w:val="000000"/>
          <w:szCs w:val="24"/>
          <w:lang w:eastAsia="lt-LT"/>
        </w:rPr>
      </w:pPr>
    </w:p>
    <w:p>
      <w:pPr>
        <w:ind w:left="3888" w:firstLine="567"/>
        <w:jc w:val="both"/>
        <w:rPr>
          <w:color w:val="000000"/>
          <w:szCs w:val="24"/>
          <w:lang w:eastAsia="lt-LT"/>
        </w:rPr>
      </w:pPr>
    </w:p>
    <w:p>
      <w:pPr>
        <w:ind w:firstLine="567"/>
        <w:jc w:val="center"/>
        <w:rPr>
          <w:color w:val="000000"/>
          <w:szCs w:val="24"/>
          <w:lang w:eastAsia="lt-LT"/>
        </w:rPr>
      </w:pPr>
      <w:r>
        <w:rPr>
          <w:b/>
          <w:bCs/>
          <w:color w:val="000000"/>
          <w:szCs w:val="24"/>
          <w:lang w:eastAsia="lt-LT"/>
        </w:rPr>
        <w:t>UŽSIENIO VALSTYBIŲ KODŲ SĄRAŠAS</w:t>
      </w:r>
    </w:p>
    <w:p>
      <w:pPr>
        <w:ind w:firstLine="629"/>
        <w:jc w:val="both"/>
        <w:rPr>
          <w:color w:val="000000"/>
          <w:szCs w:val="24"/>
          <w:lang w:eastAsia="lt-LT"/>
        </w:rPr>
      </w:pPr>
    </w:p>
    <w:tbl>
      <w:tblPr>
        <w:tblW w:w="96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41"/>
        <w:gridCol w:w="6598"/>
      </w:tblGrid>
      <w:tr>
        <w:tc>
          <w:tcPr>
            <w:tcW w:w="3040" w:type="dxa"/>
            <w:tcBorders>
              <w:top w:val="single" w:sz="8" w:space="0" w:color="auto"/>
              <w:left w:val="single" w:sz="8" w:space="0" w:color="auto"/>
              <w:bottom w:val="single" w:sz="8" w:space="0" w:color="auto"/>
              <w:right w:val="single" w:sz="8" w:space="0" w:color="auto"/>
            </w:tcBorders>
            <w:hideMark/>
          </w:tcPr>
          <w:p>
            <w:pPr>
              <w:ind w:firstLine="567"/>
              <w:jc w:val="both"/>
              <w:rPr>
                <w:color w:val="000000"/>
                <w:szCs w:val="24"/>
                <w:lang w:eastAsia="lt-LT"/>
              </w:rPr>
            </w:pPr>
            <w:r>
              <w:rPr>
                <w:b/>
                <w:bCs/>
                <w:color w:val="000000"/>
                <w:szCs w:val="24"/>
                <w:lang w:eastAsia="lt-LT"/>
              </w:rPr>
              <w:t>Valstybės kodas</w:t>
            </w:r>
          </w:p>
        </w:tc>
        <w:tc>
          <w:tcPr>
            <w:tcW w:w="6597" w:type="dxa"/>
            <w:tcBorders>
              <w:top w:val="single" w:sz="8" w:space="0" w:color="auto"/>
              <w:left w:val="nil"/>
              <w:bottom w:val="single" w:sz="8" w:space="0" w:color="auto"/>
              <w:right w:val="single" w:sz="8" w:space="0" w:color="auto"/>
            </w:tcBorders>
            <w:hideMark/>
          </w:tcPr>
          <w:p>
            <w:pPr>
              <w:ind w:firstLine="567"/>
              <w:jc w:val="both"/>
              <w:rPr>
                <w:color w:val="000000"/>
                <w:szCs w:val="24"/>
                <w:lang w:eastAsia="lt-LT"/>
              </w:rPr>
            </w:pPr>
            <w:r>
              <w:rPr>
                <w:b/>
                <w:bCs/>
                <w:color w:val="000000"/>
                <w:szCs w:val="24"/>
                <w:lang w:eastAsia="lt-LT"/>
              </w:rPr>
              <w:t>Valstybės pavadinimas</w:t>
            </w:r>
          </w:p>
        </w:tc>
      </w:tr>
      <w:t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IE</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Airija</w:t>
            </w:r>
          </w:p>
        </w:tc>
      </w:tr>
      <w:t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AM</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Armėnija</w:t>
            </w:r>
          </w:p>
        </w:tc>
      </w:tr>
      <w:tr>
        <w:trPr>
          <w:trHeight w:val="250"/>
        </w:trP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AU</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Australija</w:t>
            </w:r>
          </w:p>
        </w:tc>
      </w:tr>
      <w:tr>
        <w:trPr>
          <w:trHeight w:val="250"/>
        </w:trP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AT</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Austrija</w:t>
            </w:r>
          </w:p>
        </w:tc>
      </w:tr>
      <w:tr>
        <w:trPr>
          <w:trHeight w:val="250"/>
        </w:trP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AZ</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Azerbaidžanas</w:t>
            </w:r>
          </w:p>
        </w:tc>
      </w:tr>
      <w:tr>
        <w:trPr>
          <w:trHeight w:val="250"/>
        </w:trP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BY</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Baltarusija</w:t>
            </w:r>
          </w:p>
        </w:tc>
      </w:tr>
      <w:tr>
        <w:trPr>
          <w:trHeight w:val="250"/>
        </w:trP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BE</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Belgija</w:t>
            </w:r>
          </w:p>
        </w:tc>
      </w:tr>
      <w:tr>
        <w:trPr>
          <w:trHeight w:val="250"/>
        </w:trP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BG</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Bulgarija</w:t>
            </w:r>
          </w:p>
        </w:tc>
      </w:tr>
      <w:tr>
        <w:trPr>
          <w:trHeight w:val="250"/>
        </w:trP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CZ</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Čekija</w:t>
            </w:r>
          </w:p>
        </w:tc>
      </w:tr>
      <w:tr>
        <w:trPr>
          <w:trHeight w:val="250"/>
        </w:trP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DK</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Danija</w:t>
            </w:r>
          </w:p>
        </w:tc>
      </w:tr>
      <w:tr>
        <w:trPr>
          <w:trHeight w:val="250"/>
        </w:trP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GB</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Didžioji Britanija</w:t>
            </w:r>
          </w:p>
        </w:tc>
      </w:tr>
      <w:tr>
        <w:trPr>
          <w:trHeight w:val="320"/>
        </w:trP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EE</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Estija</w:t>
            </w:r>
          </w:p>
        </w:tc>
      </w:tr>
      <w:tr>
        <w:trPr>
          <w:trHeight w:val="170"/>
        </w:trP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GR</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Graikija</w:t>
            </w:r>
          </w:p>
        </w:tc>
      </w:tr>
      <w:tr>
        <w:trPr>
          <w:trHeight w:val="240"/>
        </w:trP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GE</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Gruzija</w:t>
            </w:r>
          </w:p>
        </w:tc>
      </w:tr>
      <w:tr>
        <w:trPr>
          <w:trHeight w:val="320"/>
        </w:trP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IN</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Indija</w:t>
            </w:r>
          </w:p>
        </w:tc>
      </w:tr>
      <w:tr>
        <w:trPr>
          <w:trHeight w:val="170"/>
        </w:trP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IS</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Islandija</w:t>
            </w:r>
          </w:p>
        </w:tc>
      </w:tr>
      <w:tr>
        <w:trPr>
          <w:trHeight w:val="250"/>
        </w:trP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ES</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Ispanija</w:t>
            </w:r>
          </w:p>
        </w:tc>
      </w:tr>
      <w:t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IT</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Italija</w:t>
            </w:r>
          </w:p>
        </w:tc>
      </w:tr>
      <w:t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IL</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Izraelis</w:t>
            </w:r>
          </w:p>
        </w:tc>
      </w:tr>
      <w:t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JP</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Japonija</w:t>
            </w:r>
          </w:p>
        </w:tc>
      </w:tr>
      <w:t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US</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JAV</w:t>
            </w:r>
          </w:p>
        </w:tc>
      </w:tr>
      <w:t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AE</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Jungtiniai Arabų Emyratai</w:t>
            </w:r>
          </w:p>
        </w:tc>
      </w:tr>
      <w:t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ME</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Juodkalnija</w:t>
            </w:r>
          </w:p>
        </w:tc>
      </w:tr>
      <w:t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CA</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Kanada</w:t>
            </w:r>
          </w:p>
        </w:tc>
      </w:tr>
      <w:t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KZ</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Kazachstanas</w:t>
            </w:r>
          </w:p>
        </w:tc>
      </w:tr>
      <w:t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CN</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Kinija</w:t>
            </w:r>
          </w:p>
        </w:tc>
      </w:tr>
      <w:t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CY</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Kipras</w:t>
            </w:r>
          </w:p>
        </w:tc>
      </w:tr>
      <w:tr>
        <w:trPr>
          <w:trHeight w:val="270"/>
        </w:trP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KG</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Kirgizija</w:t>
            </w:r>
          </w:p>
        </w:tc>
      </w:tr>
      <w:tr>
        <w:trPr>
          <w:trHeight w:val="270"/>
        </w:trP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HR</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Kroatija</w:t>
            </w:r>
          </w:p>
        </w:tc>
      </w:tr>
      <w:tr>
        <w:trPr>
          <w:trHeight w:val="160"/>
        </w:trP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KW</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Kuveitas</w:t>
            </w:r>
          </w:p>
        </w:tc>
      </w:tr>
      <w:tr>
        <w:trPr>
          <w:trHeight w:val="160"/>
        </w:trP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LV</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Latvija</w:t>
            </w:r>
          </w:p>
        </w:tc>
      </w:tr>
      <w:tr>
        <w:trPr>
          <w:trHeight w:val="230"/>
        </w:trP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PL</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Lenkija</w:t>
            </w:r>
          </w:p>
        </w:tc>
      </w:tr>
      <w:tr>
        <w:trPr>
          <w:trHeight w:val="310"/>
        </w:trP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LU</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Liuksemburgas</w:t>
            </w:r>
          </w:p>
        </w:tc>
      </w:tr>
      <w:tr>
        <w:trPr>
          <w:trHeight w:val="310"/>
        </w:trP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MK</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Makedonija</w:t>
            </w:r>
          </w:p>
        </w:tc>
      </w:tr>
      <w:tr>
        <w:trPr>
          <w:trHeight w:val="170"/>
        </w:trP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MT</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Malta</w:t>
            </w:r>
          </w:p>
        </w:tc>
      </w:tr>
      <w:tr>
        <w:trPr>
          <w:trHeight w:val="287"/>
        </w:trP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MA</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Marokas</w:t>
            </w:r>
          </w:p>
        </w:tc>
      </w:tr>
      <w:tr>
        <w:trPr>
          <w:trHeight w:val="287"/>
        </w:trP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MD</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Moldova</w:t>
            </w:r>
          </w:p>
        </w:tc>
      </w:tr>
      <w:tr>
        <w:trPr>
          <w:trHeight w:val="287"/>
        </w:trP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MX</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Meksika</w:t>
            </w:r>
          </w:p>
        </w:tc>
      </w:tr>
      <w:tr>
        <w:trPr>
          <w:trHeight w:val="200"/>
        </w:trP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NO</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Norvegija</w:t>
            </w:r>
          </w:p>
        </w:tc>
      </w:tr>
      <w:tr>
        <w:trPr>
          <w:trHeight w:val="270"/>
        </w:trP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NL</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Nyderlandai</w:t>
            </w:r>
          </w:p>
        </w:tc>
      </w:tr>
      <w:tr>
        <w:trPr>
          <w:trHeight w:val="270"/>
        </w:trP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ZA</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Pietų Afrika</w:t>
            </w:r>
          </w:p>
        </w:tc>
      </w:tr>
      <w:tr>
        <w:trPr>
          <w:trHeight w:val="330"/>
        </w:trP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KR</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Pietų Korėja</w:t>
            </w:r>
          </w:p>
        </w:tc>
      </w:tr>
      <w:tr>
        <w:trPr>
          <w:trHeight w:val="326"/>
        </w:trP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PT</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Portugalija</w:t>
            </w:r>
          </w:p>
        </w:tc>
      </w:tr>
      <w:tr>
        <w:trPr>
          <w:trHeight w:val="326"/>
        </w:trP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FR</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Prancūzija</w:t>
            </w:r>
          </w:p>
        </w:tc>
      </w:tr>
      <w:tr>
        <w:trPr>
          <w:trHeight w:val="326"/>
        </w:trP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RO</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Rumunija</w:t>
            </w:r>
          </w:p>
        </w:tc>
      </w:tr>
      <w:tr>
        <w:trPr>
          <w:trHeight w:val="326"/>
        </w:trP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RU</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Rusija</w:t>
            </w:r>
          </w:p>
        </w:tc>
      </w:tr>
      <w:tr>
        <w:trPr>
          <w:trHeight w:val="326"/>
        </w:trP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RS</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Serbija</w:t>
            </w:r>
          </w:p>
        </w:tc>
      </w:tr>
      <w:tr>
        <w:trPr>
          <w:trHeight w:val="326"/>
        </w:trP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SG</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Singapūras</w:t>
            </w:r>
          </w:p>
        </w:tc>
      </w:tr>
      <w:tr>
        <w:trPr>
          <w:trHeight w:val="326"/>
        </w:trP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SK</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Slovakija</w:t>
            </w:r>
          </w:p>
        </w:tc>
      </w:tr>
      <w:tr>
        <w:trPr>
          <w:trHeight w:val="326"/>
        </w:trP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SI</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Slovėnija</w:t>
            </w:r>
          </w:p>
        </w:tc>
      </w:tr>
      <w:tr>
        <w:trPr>
          <w:trHeight w:val="326"/>
        </w:trP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FI</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Suomija</w:t>
            </w:r>
          </w:p>
        </w:tc>
      </w:tr>
      <w:tr>
        <w:trPr>
          <w:trHeight w:val="326"/>
        </w:trP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SE</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Švedija</w:t>
            </w:r>
          </w:p>
        </w:tc>
      </w:tr>
      <w:tr>
        <w:trPr>
          <w:trHeight w:val="326"/>
        </w:trP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CH</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Šveicarija</w:t>
            </w:r>
          </w:p>
        </w:tc>
      </w:tr>
      <w:tr>
        <w:trPr>
          <w:trHeight w:val="326"/>
        </w:trP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TR</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Turkija</w:t>
            </w:r>
          </w:p>
        </w:tc>
      </w:tr>
      <w:tr>
        <w:trPr>
          <w:trHeight w:val="326"/>
        </w:trP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TM</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Turkmėnistanas</w:t>
            </w:r>
          </w:p>
        </w:tc>
      </w:tr>
      <w:tr>
        <w:trPr>
          <w:trHeight w:val="326"/>
        </w:trP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UA</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Ukraina</w:t>
            </w:r>
          </w:p>
        </w:tc>
      </w:tr>
      <w:tr>
        <w:trPr>
          <w:trHeight w:val="326"/>
        </w:trP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UZ</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Uzbekistanas</w:t>
            </w:r>
          </w:p>
        </w:tc>
      </w:tr>
      <w:tr>
        <w:trPr>
          <w:trHeight w:val="326"/>
        </w:trP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HU</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Vengrija</w:t>
            </w:r>
          </w:p>
        </w:tc>
      </w:tr>
      <w:tr>
        <w:trPr>
          <w:trHeight w:val="326"/>
        </w:trP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DE</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Vokietija</w:t>
            </w:r>
          </w:p>
        </w:tc>
      </w:tr>
      <w:tr>
        <w:trPr>
          <w:trHeight w:val="326"/>
        </w:trP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TT</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Tikslinė teritorija</w:t>
            </w:r>
          </w:p>
        </w:tc>
      </w:tr>
      <w:tr>
        <w:trPr>
          <w:trHeight w:val="326"/>
        </w:trPr>
        <w:tc>
          <w:tcPr>
            <w:tcW w:w="3040" w:type="dxa"/>
            <w:tcBorders>
              <w:top w:val="nil"/>
              <w:left w:val="single" w:sz="8" w:space="0" w:color="auto"/>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XX</w:t>
            </w:r>
          </w:p>
        </w:tc>
        <w:tc>
          <w:tcPr>
            <w:tcW w:w="6597" w:type="dxa"/>
            <w:tcBorders>
              <w:top w:val="nil"/>
              <w:left w:val="nil"/>
              <w:bottom w:val="single" w:sz="8" w:space="0" w:color="auto"/>
              <w:right w:val="single" w:sz="8" w:space="0" w:color="auto"/>
            </w:tcBorders>
            <w:hideMark/>
          </w:tcPr>
          <w:p>
            <w:pPr>
              <w:ind w:firstLine="567"/>
              <w:jc w:val="both"/>
              <w:rPr>
                <w:color w:val="000000"/>
                <w:szCs w:val="24"/>
                <w:lang w:eastAsia="lt-LT"/>
              </w:rPr>
            </w:pPr>
            <w:r>
              <w:rPr>
                <w:color w:val="000000"/>
                <w:szCs w:val="24"/>
                <w:lang w:eastAsia="lt-LT"/>
              </w:rPr>
              <w:t>Kita valstybė</w:t>
            </w:r>
          </w:p>
        </w:tc>
      </w:tr>
    </w:tbl>
    <w:p>
      <w:pPr>
        <w:jc w:val="center"/>
        <w:rPr>
          <w:color w:val="000000"/>
          <w:szCs w:val="24"/>
          <w:lang w:eastAsia="lt-LT"/>
        </w:rPr>
      </w:pPr>
    </w:p>
    <w:p>
      <w:pPr>
        <w:jc w:val="center"/>
        <w:rPr>
          <w:b/>
          <w:caps/>
          <w:kern w:val="28"/>
        </w:rPr>
      </w:pPr>
      <w:r>
        <w:rPr>
          <w:color w:val="000000"/>
          <w:szCs w:val="24"/>
          <w:lang w:eastAsia="lt-LT"/>
        </w:rPr>
        <w:t>_____________________</w:t>
      </w:r>
    </w:p>
    <w:p>
      <w:pPr>
        <w:jc w:val="both"/>
      </w:pPr>
      <w:r>
        <w:br w:type="page"/>
      </w:r>
    </w:p>
    <w:p>
      <w:pPr>
        <w:ind w:left="4536"/>
        <w:jc w:val="both"/>
        <w:rPr>
          <w:color w:val="000000"/>
          <w:szCs w:val="24"/>
          <w:lang w:eastAsia="lt-LT"/>
        </w:rPr>
      </w:pPr>
      <w:r>
        <w:rPr>
          <w:color w:val="000000"/>
          <w:szCs w:val="24"/>
          <w:lang w:eastAsia="lt-LT"/>
        </w:rPr>
        <w:t xml:space="preserve">Paveldimo turto mokesčio deklaracijos, kai turtas </w:t>
      </w:r>
    </w:p>
    <w:p>
      <w:pPr>
        <w:ind w:left="4536"/>
        <w:jc w:val="both"/>
        <w:rPr>
          <w:color w:val="000000"/>
          <w:szCs w:val="24"/>
          <w:lang w:eastAsia="lt-LT"/>
        </w:rPr>
      </w:pPr>
      <w:r>
        <w:rPr>
          <w:color w:val="000000"/>
          <w:szCs w:val="24"/>
          <w:lang w:eastAsia="lt-LT"/>
        </w:rPr>
        <w:t xml:space="preserve">paveldėtas užsienio valstybėse, FR0585 formos ir </w:t>
      </w:r>
    </w:p>
    <w:p>
      <w:pPr>
        <w:ind w:left="4536"/>
        <w:jc w:val="both"/>
        <w:rPr>
          <w:color w:val="000000"/>
          <w:szCs w:val="24"/>
          <w:lang w:eastAsia="lt-LT"/>
        </w:rPr>
      </w:pPr>
      <w:r>
        <w:rPr>
          <w:color w:val="000000"/>
          <w:szCs w:val="24"/>
          <w:lang w:eastAsia="lt-LT"/>
        </w:rPr>
        <w:t xml:space="preserve">jos priedo FR0585P formos užpildymo ir pateikimo </w:t>
      </w:r>
    </w:p>
    <w:p>
      <w:pPr>
        <w:ind w:left="4536"/>
        <w:jc w:val="both"/>
        <w:rPr>
          <w:color w:val="000000"/>
          <w:szCs w:val="24"/>
          <w:lang w:eastAsia="lt-LT"/>
        </w:rPr>
      </w:pPr>
      <w:r>
        <w:rPr>
          <w:color w:val="000000"/>
          <w:szCs w:val="24"/>
          <w:lang w:eastAsia="lt-LT"/>
        </w:rPr>
        <w:t>taisyklių</w:t>
      </w:r>
    </w:p>
    <w:p>
      <w:pPr>
        <w:ind w:left="4536"/>
        <w:jc w:val="both"/>
        <w:rPr>
          <w:color w:val="000000"/>
          <w:szCs w:val="24"/>
          <w:lang w:eastAsia="lt-LT"/>
        </w:rPr>
      </w:pPr>
      <w:r>
        <w:rPr>
          <w:color w:val="000000"/>
          <w:szCs w:val="24"/>
          <w:lang w:eastAsia="lt-LT"/>
        </w:rPr>
        <w:t>2</w:t>
      </w:r>
      <w:r>
        <w:rPr>
          <w:color w:val="000000"/>
          <w:szCs w:val="24"/>
          <w:lang w:eastAsia="lt-LT"/>
        </w:rPr>
        <w:t xml:space="preserve"> priedas</w:t>
      </w:r>
    </w:p>
    <w:p>
      <w:pPr>
        <w:ind w:left="4536"/>
        <w:jc w:val="both"/>
        <w:rPr>
          <w:color w:val="000000"/>
          <w:szCs w:val="24"/>
          <w:lang w:eastAsia="lt-LT"/>
        </w:rPr>
      </w:pPr>
    </w:p>
    <w:p>
      <w:pPr>
        <w:ind w:left="4536"/>
        <w:jc w:val="both"/>
        <w:rPr>
          <w:color w:val="000000"/>
          <w:szCs w:val="24"/>
          <w:lang w:eastAsia="lt-LT"/>
        </w:rPr>
      </w:pPr>
    </w:p>
    <w:p>
      <w:pPr>
        <w:jc w:val="center"/>
        <w:rPr>
          <w:b/>
          <w:bCs/>
          <w:szCs w:val="24"/>
          <w:lang w:eastAsia="lt-LT"/>
        </w:rPr>
      </w:pPr>
      <w:r>
        <w:rPr>
          <w:b/>
          <w:bCs/>
          <w:szCs w:val="24"/>
          <w:lang w:eastAsia="lt-LT"/>
        </w:rPr>
        <w:t>TURTO RŪŠIŲ KODŲ SĄRAŠAS</w:t>
      </w:r>
    </w:p>
    <w:p>
      <w:pPr>
        <w:jc w:val="center"/>
        <w:rPr>
          <w:b/>
          <w:bCs/>
          <w:szCs w:val="24"/>
          <w:lang w:eastAsia="lt-LT"/>
        </w:rPr>
      </w:pPr>
    </w:p>
    <w:tbl>
      <w:tblPr>
        <w:tblW w:w="96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41"/>
        <w:gridCol w:w="6598"/>
      </w:tblGrid>
      <w:tr>
        <w:tc>
          <w:tcPr>
            <w:tcW w:w="3041" w:type="dxa"/>
            <w:tcBorders>
              <w:top w:val="single" w:sz="8" w:space="0" w:color="auto"/>
              <w:left w:val="single" w:sz="8" w:space="0" w:color="auto"/>
              <w:bottom w:val="single" w:sz="8" w:space="0" w:color="auto"/>
              <w:right w:val="single" w:sz="8" w:space="0" w:color="auto"/>
            </w:tcBorders>
            <w:hideMark/>
          </w:tcPr>
          <w:p>
            <w:pPr>
              <w:ind w:firstLine="567"/>
              <w:jc w:val="both"/>
              <w:rPr>
                <w:color w:val="000000"/>
                <w:szCs w:val="24"/>
                <w:lang w:eastAsia="lt-LT"/>
              </w:rPr>
            </w:pPr>
            <w:r>
              <w:rPr>
                <w:b/>
                <w:bCs/>
                <w:color w:val="000000"/>
                <w:szCs w:val="24"/>
                <w:lang w:eastAsia="lt-LT"/>
              </w:rPr>
              <w:t>Turto rūšies kodas</w:t>
            </w:r>
          </w:p>
        </w:tc>
        <w:tc>
          <w:tcPr>
            <w:tcW w:w="6598" w:type="dxa"/>
            <w:tcBorders>
              <w:top w:val="single" w:sz="8" w:space="0" w:color="auto"/>
              <w:left w:val="nil"/>
              <w:bottom w:val="single" w:sz="8" w:space="0" w:color="auto"/>
              <w:right w:val="single" w:sz="8" w:space="0" w:color="auto"/>
            </w:tcBorders>
            <w:hideMark/>
          </w:tcPr>
          <w:p>
            <w:pPr>
              <w:ind w:firstLine="567"/>
              <w:jc w:val="both"/>
              <w:rPr>
                <w:b/>
                <w:color w:val="000000"/>
                <w:szCs w:val="24"/>
                <w:lang w:eastAsia="lt-LT"/>
              </w:rPr>
            </w:pPr>
            <w:r>
              <w:rPr>
                <w:b/>
                <w:color w:val="000000"/>
                <w:szCs w:val="24"/>
                <w:lang w:eastAsia="lt-LT"/>
              </w:rPr>
              <w:t>Turto rūšies pavadinimas</w:t>
            </w:r>
          </w:p>
        </w:tc>
      </w:tr>
      <w:tr>
        <w:tc>
          <w:tcPr>
            <w:tcW w:w="3041" w:type="dxa"/>
            <w:tcBorders>
              <w:top w:val="nil"/>
              <w:left w:val="single" w:sz="8" w:space="0" w:color="auto"/>
              <w:bottom w:val="single" w:sz="8" w:space="0" w:color="auto"/>
              <w:right w:val="single" w:sz="8" w:space="0" w:color="auto"/>
            </w:tcBorders>
          </w:tcPr>
          <w:p>
            <w:pPr>
              <w:ind w:firstLine="567"/>
              <w:jc w:val="both"/>
              <w:rPr>
                <w:color w:val="000000"/>
                <w:szCs w:val="24"/>
                <w:lang w:eastAsia="lt-LT"/>
              </w:rPr>
            </w:pPr>
          </w:p>
        </w:tc>
        <w:tc>
          <w:tcPr>
            <w:tcW w:w="6598" w:type="dxa"/>
            <w:tcBorders>
              <w:top w:val="nil"/>
              <w:left w:val="nil"/>
              <w:bottom w:val="single" w:sz="8" w:space="0" w:color="auto"/>
              <w:right w:val="single" w:sz="8" w:space="0" w:color="auto"/>
            </w:tcBorders>
            <w:hideMark/>
          </w:tcPr>
          <w:p>
            <w:pPr/>
          </w:p>
        </w:tc>
      </w:tr>
      <w:tr>
        <w:tc>
          <w:tcPr>
            <w:tcW w:w="3041" w:type="dxa"/>
            <w:tcBorders>
              <w:top w:val="nil"/>
              <w:left w:val="single" w:sz="8" w:space="0" w:color="auto"/>
              <w:bottom w:val="single" w:sz="8" w:space="0" w:color="auto"/>
              <w:right w:val="single" w:sz="8" w:space="0" w:color="auto"/>
            </w:tcBorders>
            <w:vAlign w:val="bottom"/>
            <w:hideMark/>
          </w:tcPr>
          <w:p>
            <w:pPr>
              <w:rPr>
                <w:sz w:val="8"/>
                <w:szCs w:val="8"/>
              </w:rPr>
            </w:pPr>
          </w:p>
          <w:p>
            <w:pPr>
              <w:ind w:firstLine="567"/>
              <w:jc w:val="both"/>
              <w:rPr>
                <w:color w:val="000000"/>
                <w:szCs w:val="24"/>
                <w:lang w:eastAsia="lt-LT"/>
              </w:rPr>
            </w:pPr>
            <w:r>
              <w:rPr>
                <w:szCs w:val="24"/>
                <w:lang w:eastAsia="lt-LT"/>
              </w:rPr>
              <w:t>10</w:t>
            </w:r>
          </w:p>
        </w:tc>
        <w:tc>
          <w:tcPr>
            <w:tcW w:w="6598" w:type="dxa"/>
            <w:tcBorders>
              <w:top w:val="single" w:sz="4" w:space="0" w:color="auto"/>
              <w:left w:val="single" w:sz="4" w:space="0" w:color="auto"/>
              <w:bottom w:val="single" w:sz="4" w:space="0" w:color="auto"/>
              <w:right w:val="single" w:sz="4" w:space="0" w:color="auto"/>
            </w:tcBorders>
            <w:vAlign w:val="bottom"/>
            <w:hideMark/>
          </w:tcPr>
          <w:p>
            <w:pPr>
              <w:rPr>
                <w:sz w:val="8"/>
                <w:szCs w:val="8"/>
              </w:rPr>
            </w:pPr>
          </w:p>
          <w:p>
            <w:pPr>
              <w:ind w:firstLine="567"/>
              <w:jc w:val="both"/>
              <w:rPr>
                <w:color w:val="000000"/>
                <w:szCs w:val="24"/>
                <w:lang w:eastAsia="lt-LT"/>
              </w:rPr>
            </w:pPr>
            <w:r>
              <w:rPr>
                <w:szCs w:val="24"/>
                <w:lang w:eastAsia="lt-LT"/>
              </w:rPr>
              <w:t>Žemė</w:t>
            </w:r>
          </w:p>
        </w:tc>
      </w:tr>
      <w:tr>
        <w:trPr>
          <w:trHeight w:val="250"/>
        </w:trPr>
        <w:tc>
          <w:tcPr>
            <w:tcW w:w="3041" w:type="dxa"/>
            <w:tcBorders>
              <w:top w:val="nil"/>
              <w:left w:val="single" w:sz="8" w:space="0" w:color="auto"/>
              <w:bottom w:val="single" w:sz="4" w:space="0" w:color="auto"/>
              <w:right w:val="single" w:sz="8" w:space="0" w:color="auto"/>
            </w:tcBorders>
            <w:vAlign w:val="bottom"/>
            <w:hideMark/>
          </w:tcPr>
          <w:p>
            <w:pPr>
              <w:rPr>
                <w:sz w:val="8"/>
                <w:szCs w:val="8"/>
              </w:rPr>
            </w:pPr>
          </w:p>
          <w:p>
            <w:pPr>
              <w:ind w:firstLine="567"/>
              <w:jc w:val="both"/>
              <w:rPr>
                <w:color w:val="000000"/>
                <w:szCs w:val="24"/>
                <w:lang w:eastAsia="lt-LT"/>
              </w:rPr>
            </w:pPr>
            <w:r>
              <w:rPr>
                <w:szCs w:val="24"/>
                <w:lang w:eastAsia="lt-LT"/>
              </w:rPr>
              <w:t>11</w:t>
            </w:r>
          </w:p>
        </w:tc>
        <w:tc>
          <w:tcPr>
            <w:tcW w:w="6598" w:type="dxa"/>
            <w:tcBorders>
              <w:top w:val="single" w:sz="4" w:space="0" w:color="auto"/>
              <w:left w:val="single" w:sz="4" w:space="0" w:color="auto"/>
              <w:bottom w:val="single" w:sz="4" w:space="0" w:color="auto"/>
              <w:right w:val="single" w:sz="4" w:space="0" w:color="auto"/>
            </w:tcBorders>
            <w:vAlign w:val="bottom"/>
            <w:hideMark/>
          </w:tcPr>
          <w:p>
            <w:pPr>
              <w:rPr>
                <w:sz w:val="8"/>
                <w:szCs w:val="8"/>
              </w:rPr>
            </w:pPr>
          </w:p>
          <w:p>
            <w:pPr>
              <w:ind w:firstLine="567"/>
              <w:jc w:val="both"/>
              <w:rPr>
                <w:color w:val="000000"/>
                <w:szCs w:val="24"/>
                <w:lang w:eastAsia="lt-LT"/>
              </w:rPr>
            </w:pPr>
            <w:r>
              <w:rPr>
                <w:szCs w:val="24"/>
                <w:lang w:eastAsia="lt-LT"/>
              </w:rPr>
              <w:t>Butas daugiabučiame name</w:t>
            </w:r>
          </w:p>
        </w:tc>
      </w:tr>
      <w:tr>
        <w:trPr>
          <w:trHeight w:val="250"/>
        </w:trPr>
        <w:tc>
          <w:tcPr>
            <w:tcW w:w="3041" w:type="dxa"/>
            <w:tcBorders>
              <w:top w:val="nil"/>
              <w:left w:val="single" w:sz="8" w:space="0" w:color="auto"/>
              <w:bottom w:val="single" w:sz="8" w:space="0" w:color="auto"/>
              <w:right w:val="single" w:sz="8" w:space="0" w:color="auto"/>
            </w:tcBorders>
            <w:vAlign w:val="bottom"/>
            <w:hideMark/>
          </w:tcPr>
          <w:p>
            <w:pPr>
              <w:rPr>
                <w:sz w:val="8"/>
                <w:szCs w:val="8"/>
              </w:rPr>
            </w:pPr>
          </w:p>
          <w:p>
            <w:pPr>
              <w:ind w:firstLine="567"/>
              <w:jc w:val="both"/>
              <w:rPr>
                <w:color w:val="000000"/>
                <w:szCs w:val="24"/>
                <w:lang w:eastAsia="lt-LT"/>
              </w:rPr>
            </w:pPr>
            <w:r>
              <w:rPr>
                <w:szCs w:val="24"/>
                <w:lang w:eastAsia="lt-LT"/>
              </w:rPr>
              <w:t>20</w:t>
            </w:r>
          </w:p>
        </w:tc>
        <w:tc>
          <w:tcPr>
            <w:tcW w:w="6598" w:type="dxa"/>
            <w:tcBorders>
              <w:top w:val="nil"/>
              <w:left w:val="single" w:sz="4" w:space="0" w:color="auto"/>
              <w:bottom w:val="single" w:sz="4" w:space="0" w:color="auto"/>
              <w:right w:val="single" w:sz="4" w:space="0" w:color="auto"/>
            </w:tcBorders>
            <w:vAlign w:val="bottom"/>
            <w:hideMark/>
          </w:tcPr>
          <w:p>
            <w:pPr>
              <w:rPr>
                <w:sz w:val="8"/>
                <w:szCs w:val="8"/>
              </w:rPr>
            </w:pPr>
          </w:p>
          <w:p>
            <w:pPr>
              <w:ind w:firstLine="567"/>
              <w:jc w:val="both"/>
              <w:rPr>
                <w:color w:val="000000"/>
                <w:szCs w:val="24"/>
                <w:lang w:eastAsia="lt-LT"/>
              </w:rPr>
            </w:pPr>
            <w:r>
              <w:rPr>
                <w:szCs w:val="24"/>
                <w:lang w:eastAsia="lt-LT"/>
              </w:rPr>
              <w:t>Gyvenamasis namas</w:t>
            </w:r>
          </w:p>
        </w:tc>
      </w:tr>
      <w:tr>
        <w:trPr>
          <w:trHeight w:val="250"/>
        </w:trPr>
        <w:tc>
          <w:tcPr>
            <w:tcW w:w="3041" w:type="dxa"/>
            <w:tcBorders>
              <w:top w:val="nil"/>
              <w:left w:val="single" w:sz="8" w:space="0" w:color="auto"/>
              <w:bottom w:val="single" w:sz="8" w:space="0" w:color="auto"/>
              <w:right w:val="single" w:sz="8" w:space="0" w:color="auto"/>
            </w:tcBorders>
            <w:vAlign w:val="bottom"/>
            <w:hideMark/>
          </w:tcPr>
          <w:p>
            <w:pPr>
              <w:rPr>
                <w:sz w:val="8"/>
                <w:szCs w:val="8"/>
              </w:rPr>
            </w:pPr>
          </w:p>
          <w:p>
            <w:pPr>
              <w:ind w:firstLine="567"/>
              <w:jc w:val="both"/>
              <w:rPr>
                <w:color w:val="000000"/>
                <w:szCs w:val="24"/>
                <w:lang w:eastAsia="lt-LT"/>
              </w:rPr>
            </w:pPr>
            <w:r>
              <w:rPr>
                <w:szCs w:val="24"/>
                <w:lang w:eastAsia="lt-LT"/>
              </w:rPr>
              <w:t>21</w:t>
            </w:r>
          </w:p>
        </w:tc>
        <w:tc>
          <w:tcPr>
            <w:tcW w:w="6598" w:type="dxa"/>
            <w:tcBorders>
              <w:top w:val="single" w:sz="4" w:space="0" w:color="auto"/>
              <w:left w:val="single" w:sz="4" w:space="0" w:color="auto"/>
              <w:bottom w:val="single" w:sz="4" w:space="0" w:color="auto"/>
              <w:right w:val="single" w:sz="4" w:space="0" w:color="auto"/>
            </w:tcBorders>
            <w:vAlign w:val="bottom"/>
            <w:hideMark/>
          </w:tcPr>
          <w:p>
            <w:pPr>
              <w:rPr>
                <w:sz w:val="8"/>
                <w:szCs w:val="8"/>
              </w:rPr>
            </w:pPr>
          </w:p>
          <w:p>
            <w:pPr>
              <w:ind w:firstLine="567"/>
              <w:jc w:val="both"/>
              <w:rPr>
                <w:color w:val="000000"/>
                <w:szCs w:val="24"/>
                <w:lang w:eastAsia="lt-LT"/>
              </w:rPr>
            </w:pPr>
            <w:r>
              <w:rPr>
                <w:szCs w:val="24"/>
                <w:lang w:eastAsia="lt-LT"/>
              </w:rPr>
              <w:t>Sodo namelis</w:t>
            </w:r>
          </w:p>
        </w:tc>
      </w:tr>
      <w:tr>
        <w:trPr>
          <w:trHeight w:val="250"/>
        </w:trPr>
        <w:tc>
          <w:tcPr>
            <w:tcW w:w="3041" w:type="dxa"/>
            <w:tcBorders>
              <w:top w:val="nil"/>
              <w:left w:val="single" w:sz="8" w:space="0" w:color="auto"/>
              <w:bottom w:val="single" w:sz="4" w:space="0" w:color="auto"/>
              <w:right w:val="single" w:sz="8" w:space="0" w:color="auto"/>
            </w:tcBorders>
            <w:vAlign w:val="bottom"/>
            <w:hideMark/>
          </w:tcPr>
          <w:p>
            <w:pPr>
              <w:rPr>
                <w:sz w:val="8"/>
                <w:szCs w:val="8"/>
              </w:rPr>
            </w:pPr>
          </w:p>
          <w:p>
            <w:pPr>
              <w:ind w:firstLine="567"/>
              <w:jc w:val="both"/>
              <w:rPr>
                <w:color w:val="000000"/>
                <w:szCs w:val="24"/>
                <w:lang w:eastAsia="lt-LT"/>
              </w:rPr>
            </w:pPr>
            <w:r>
              <w:rPr>
                <w:szCs w:val="24"/>
                <w:lang w:eastAsia="lt-LT"/>
              </w:rPr>
              <w:t>22</w:t>
            </w:r>
          </w:p>
        </w:tc>
        <w:tc>
          <w:tcPr>
            <w:tcW w:w="6598" w:type="dxa"/>
            <w:tcBorders>
              <w:top w:val="single" w:sz="4" w:space="0" w:color="auto"/>
              <w:left w:val="single" w:sz="4" w:space="0" w:color="auto"/>
              <w:bottom w:val="single" w:sz="4" w:space="0" w:color="auto"/>
              <w:right w:val="single" w:sz="4" w:space="0" w:color="auto"/>
            </w:tcBorders>
            <w:vAlign w:val="bottom"/>
            <w:hideMark/>
          </w:tcPr>
          <w:p>
            <w:pPr>
              <w:rPr>
                <w:sz w:val="8"/>
                <w:szCs w:val="8"/>
              </w:rPr>
            </w:pPr>
          </w:p>
          <w:p>
            <w:pPr>
              <w:ind w:firstLine="567"/>
              <w:jc w:val="both"/>
              <w:rPr>
                <w:color w:val="000000"/>
                <w:szCs w:val="24"/>
                <w:lang w:eastAsia="lt-LT"/>
              </w:rPr>
            </w:pPr>
            <w:r>
              <w:rPr>
                <w:szCs w:val="24"/>
                <w:lang w:eastAsia="lt-LT"/>
              </w:rPr>
              <w:t>Garažas, garažo boksai</w:t>
            </w:r>
          </w:p>
        </w:tc>
      </w:tr>
      <w:tr>
        <w:trPr>
          <w:trHeight w:val="250"/>
        </w:trPr>
        <w:tc>
          <w:tcPr>
            <w:tcW w:w="3041" w:type="dxa"/>
            <w:tcBorders>
              <w:top w:val="nil"/>
              <w:left w:val="single" w:sz="8" w:space="0" w:color="auto"/>
              <w:bottom w:val="single" w:sz="4" w:space="0" w:color="auto"/>
              <w:right w:val="single" w:sz="8" w:space="0" w:color="auto"/>
            </w:tcBorders>
            <w:vAlign w:val="bottom"/>
            <w:hideMark/>
          </w:tcPr>
          <w:p>
            <w:pPr>
              <w:rPr>
                <w:sz w:val="8"/>
                <w:szCs w:val="8"/>
              </w:rPr>
            </w:pPr>
          </w:p>
          <w:p>
            <w:pPr>
              <w:ind w:firstLine="567"/>
              <w:jc w:val="both"/>
              <w:rPr>
                <w:color w:val="000000"/>
                <w:szCs w:val="24"/>
                <w:lang w:eastAsia="lt-LT"/>
              </w:rPr>
            </w:pPr>
            <w:r>
              <w:rPr>
                <w:szCs w:val="24"/>
                <w:lang w:eastAsia="lt-LT"/>
              </w:rPr>
              <w:t>23</w:t>
            </w:r>
          </w:p>
        </w:tc>
        <w:tc>
          <w:tcPr>
            <w:tcW w:w="6598" w:type="dxa"/>
            <w:tcBorders>
              <w:top w:val="nil"/>
              <w:left w:val="single" w:sz="4" w:space="0" w:color="auto"/>
              <w:bottom w:val="single" w:sz="4" w:space="0" w:color="auto"/>
              <w:right w:val="single" w:sz="4" w:space="0" w:color="auto"/>
            </w:tcBorders>
            <w:vAlign w:val="bottom"/>
            <w:hideMark/>
          </w:tcPr>
          <w:p>
            <w:pPr>
              <w:rPr>
                <w:sz w:val="8"/>
                <w:szCs w:val="8"/>
              </w:rPr>
            </w:pPr>
          </w:p>
          <w:p>
            <w:pPr>
              <w:ind w:firstLine="567"/>
              <w:jc w:val="both"/>
              <w:rPr>
                <w:color w:val="000000"/>
                <w:szCs w:val="24"/>
                <w:lang w:eastAsia="lt-LT"/>
              </w:rPr>
            </w:pPr>
            <w:r>
              <w:rPr>
                <w:szCs w:val="24"/>
                <w:lang w:eastAsia="lt-LT"/>
              </w:rPr>
              <w:t>Gamybinis pastatas arba patalpos</w:t>
            </w:r>
          </w:p>
        </w:tc>
      </w:tr>
      <w:tr>
        <w:trPr>
          <w:trHeight w:val="250"/>
        </w:trPr>
        <w:tc>
          <w:tcPr>
            <w:tcW w:w="3041" w:type="dxa"/>
            <w:tcBorders>
              <w:top w:val="nil"/>
              <w:left w:val="single" w:sz="8" w:space="0" w:color="auto"/>
              <w:bottom w:val="single" w:sz="8" w:space="0" w:color="auto"/>
              <w:right w:val="single" w:sz="8" w:space="0" w:color="auto"/>
            </w:tcBorders>
            <w:vAlign w:val="bottom"/>
            <w:hideMark/>
          </w:tcPr>
          <w:p>
            <w:pPr>
              <w:rPr>
                <w:sz w:val="8"/>
                <w:szCs w:val="8"/>
              </w:rPr>
            </w:pPr>
          </w:p>
          <w:p>
            <w:pPr>
              <w:ind w:firstLine="567"/>
              <w:jc w:val="both"/>
              <w:rPr>
                <w:color w:val="000000"/>
                <w:szCs w:val="24"/>
                <w:lang w:eastAsia="lt-LT"/>
              </w:rPr>
            </w:pPr>
            <w:r>
              <w:rPr>
                <w:szCs w:val="24"/>
                <w:lang w:eastAsia="lt-LT"/>
              </w:rPr>
              <w:t>24</w:t>
            </w:r>
          </w:p>
        </w:tc>
        <w:tc>
          <w:tcPr>
            <w:tcW w:w="6598" w:type="dxa"/>
            <w:tcBorders>
              <w:top w:val="nil"/>
              <w:left w:val="single" w:sz="4" w:space="0" w:color="auto"/>
              <w:bottom w:val="single" w:sz="4" w:space="0" w:color="auto"/>
              <w:right w:val="single" w:sz="4" w:space="0" w:color="auto"/>
            </w:tcBorders>
            <w:vAlign w:val="bottom"/>
            <w:hideMark/>
          </w:tcPr>
          <w:p>
            <w:pPr>
              <w:rPr>
                <w:sz w:val="8"/>
                <w:szCs w:val="8"/>
              </w:rPr>
            </w:pPr>
          </w:p>
          <w:p>
            <w:pPr>
              <w:ind w:firstLine="567"/>
              <w:jc w:val="both"/>
              <w:rPr>
                <w:color w:val="000000"/>
                <w:szCs w:val="24"/>
                <w:lang w:eastAsia="lt-LT"/>
              </w:rPr>
            </w:pPr>
            <w:r>
              <w:rPr>
                <w:szCs w:val="24"/>
                <w:lang w:eastAsia="lt-LT"/>
              </w:rPr>
              <w:t>Administracinis pastatas arba patalpos</w:t>
            </w:r>
          </w:p>
        </w:tc>
      </w:tr>
      <w:tr>
        <w:trPr>
          <w:trHeight w:val="250"/>
        </w:trPr>
        <w:tc>
          <w:tcPr>
            <w:tcW w:w="3041" w:type="dxa"/>
            <w:tcBorders>
              <w:top w:val="nil"/>
              <w:left w:val="single" w:sz="8" w:space="0" w:color="auto"/>
              <w:bottom w:val="single" w:sz="8" w:space="0" w:color="auto"/>
              <w:right w:val="single" w:sz="8" w:space="0" w:color="auto"/>
            </w:tcBorders>
            <w:vAlign w:val="bottom"/>
            <w:hideMark/>
          </w:tcPr>
          <w:p>
            <w:pPr>
              <w:rPr>
                <w:sz w:val="8"/>
                <w:szCs w:val="8"/>
              </w:rPr>
            </w:pPr>
          </w:p>
          <w:p>
            <w:pPr>
              <w:ind w:firstLine="567"/>
              <w:jc w:val="both"/>
              <w:rPr>
                <w:color w:val="000000"/>
                <w:szCs w:val="24"/>
                <w:lang w:eastAsia="lt-LT"/>
              </w:rPr>
            </w:pPr>
            <w:r>
              <w:rPr>
                <w:szCs w:val="24"/>
                <w:lang w:eastAsia="lt-LT"/>
              </w:rPr>
              <w:t>25</w:t>
            </w:r>
          </w:p>
        </w:tc>
        <w:tc>
          <w:tcPr>
            <w:tcW w:w="6598" w:type="dxa"/>
            <w:tcBorders>
              <w:top w:val="single" w:sz="4" w:space="0" w:color="auto"/>
              <w:left w:val="single" w:sz="4" w:space="0" w:color="auto"/>
              <w:bottom w:val="single" w:sz="4" w:space="0" w:color="auto"/>
              <w:right w:val="single" w:sz="4" w:space="0" w:color="auto"/>
            </w:tcBorders>
            <w:vAlign w:val="bottom"/>
            <w:hideMark/>
          </w:tcPr>
          <w:p>
            <w:pPr>
              <w:rPr>
                <w:sz w:val="8"/>
                <w:szCs w:val="8"/>
              </w:rPr>
            </w:pPr>
          </w:p>
          <w:p>
            <w:pPr>
              <w:ind w:firstLine="567"/>
              <w:jc w:val="both"/>
              <w:rPr>
                <w:color w:val="000000"/>
                <w:szCs w:val="24"/>
                <w:lang w:eastAsia="lt-LT"/>
              </w:rPr>
            </w:pPr>
            <w:r>
              <w:rPr>
                <w:szCs w:val="24"/>
                <w:lang w:eastAsia="lt-LT"/>
              </w:rPr>
              <w:t>Kultūrinės ir mokslo paskirties pastatas arba patalpos</w:t>
            </w:r>
          </w:p>
        </w:tc>
      </w:tr>
      <w:tr>
        <w:trPr>
          <w:trHeight w:val="250"/>
        </w:trPr>
        <w:tc>
          <w:tcPr>
            <w:tcW w:w="3041" w:type="dxa"/>
            <w:tcBorders>
              <w:top w:val="nil"/>
              <w:left w:val="single" w:sz="8" w:space="0" w:color="auto"/>
              <w:bottom w:val="single" w:sz="8" w:space="0" w:color="auto"/>
              <w:right w:val="single" w:sz="8" w:space="0" w:color="auto"/>
            </w:tcBorders>
            <w:vAlign w:val="bottom"/>
            <w:hideMark/>
          </w:tcPr>
          <w:p>
            <w:pPr>
              <w:rPr>
                <w:sz w:val="8"/>
                <w:szCs w:val="8"/>
              </w:rPr>
            </w:pPr>
          </w:p>
          <w:p>
            <w:pPr>
              <w:ind w:firstLine="567"/>
              <w:jc w:val="both"/>
              <w:rPr>
                <w:color w:val="000000"/>
                <w:szCs w:val="24"/>
                <w:lang w:eastAsia="lt-LT"/>
              </w:rPr>
            </w:pPr>
            <w:r>
              <w:rPr>
                <w:szCs w:val="24"/>
                <w:lang w:eastAsia="lt-LT"/>
              </w:rPr>
              <w:t>26</w:t>
            </w:r>
          </w:p>
        </w:tc>
        <w:tc>
          <w:tcPr>
            <w:tcW w:w="6598" w:type="dxa"/>
            <w:tcBorders>
              <w:top w:val="single" w:sz="4" w:space="0" w:color="auto"/>
              <w:left w:val="single" w:sz="4" w:space="0" w:color="auto"/>
              <w:bottom w:val="single" w:sz="4" w:space="0" w:color="auto"/>
              <w:right w:val="single" w:sz="4" w:space="0" w:color="auto"/>
            </w:tcBorders>
            <w:vAlign w:val="bottom"/>
            <w:hideMark/>
          </w:tcPr>
          <w:p>
            <w:pPr>
              <w:rPr>
                <w:sz w:val="8"/>
                <w:szCs w:val="8"/>
              </w:rPr>
            </w:pPr>
          </w:p>
          <w:p>
            <w:pPr>
              <w:ind w:firstLine="567"/>
              <w:jc w:val="both"/>
              <w:rPr>
                <w:color w:val="000000"/>
                <w:szCs w:val="24"/>
                <w:lang w:eastAsia="lt-LT"/>
              </w:rPr>
            </w:pPr>
            <w:r>
              <w:rPr>
                <w:szCs w:val="24"/>
                <w:lang w:eastAsia="lt-LT"/>
              </w:rPr>
              <w:t>Prekybos, paslaugų sferos pastatas arba patalpos</w:t>
            </w:r>
          </w:p>
        </w:tc>
      </w:tr>
      <w:tr>
        <w:trPr>
          <w:trHeight w:val="250"/>
        </w:trPr>
        <w:tc>
          <w:tcPr>
            <w:tcW w:w="3041" w:type="dxa"/>
            <w:tcBorders>
              <w:top w:val="nil"/>
              <w:left w:val="single" w:sz="8" w:space="0" w:color="auto"/>
              <w:bottom w:val="single" w:sz="8" w:space="0" w:color="auto"/>
              <w:right w:val="single" w:sz="8" w:space="0" w:color="auto"/>
            </w:tcBorders>
            <w:vAlign w:val="bottom"/>
            <w:hideMark/>
          </w:tcPr>
          <w:p>
            <w:pPr>
              <w:rPr>
                <w:sz w:val="8"/>
                <w:szCs w:val="8"/>
              </w:rPr>
            </w:pPr>
          </w:p>
          <w:p>
            <w:pPr>
              <w:ind w:firstLine="567"/>
              <w:jc w:val="both"/>
              <w:rPr>
                <w:color w:val="000000"/>
                <w:szCs w:val="24"/>
                <w:lang w:eastAsia="lt-LT"/>
              </w:rPr>
            </w:pPr>
            <w:r>
              <w:rPr>
                <w:szCs w:val="24"/>
                <w:lang w:eastAsia="lt-LT"/>
              </w:rPr>
              <w:t>27</w:t>
            </w:r>
          </w:p>
        </w:tc>
        <w:tc>
          <w:tcPr>
            <w:tcW w:w="6598" w:type="dxa"/>
            <w:tcBorders>
              <w:top w:val="single" w:sz="4" w:space="0" w:color="auto"/>
              <w:left w:val="single" w:sz="4" w:space="0" w:color="auto"/>
              <w:bottom w:val="single" w:sz="4" w:space="0" w:color="auto"/>
              <w:right w:val="single" w:sz="4" w:space="0" w:color="auto"/>
            </w:tcBorders>
            <w:vAlign w:val="bottom"/>
            <w:hideMark/>
          </w:tcPr>
          <w:p>
            <w:pPr>
              <w:rPr>
                <w:sz w:val="8"/>
                <w:szCs w:val="8"/>
              </w:rPr>
            </w:pPr>
          </w:p>
          <w:p>
            <w:pPr>
              <w:ind w:firstLine="567"/>
              <w:jc w:val="both"/>
              <w:rPr>
                <w:color w:val="000000"/>
                <w:szCs w:val="24"/>
                <w:lang w:eastAsia="lt-LT"/>
              </w:rPr>
            </w:pPr>
            <w:r>
              <w:rPr>
                <w:szCs w:val="24"/>
                <w:lang w:eastAsia="lt-LT"/>
              </w:rPr>
              <w:t>Inžinerinis statinys</w:t>
            </w:r>
          </w:p>
        </w:tc>
      </w:tr>
      <w:tr>
        <w:trPr>
          <w:trHeight w:val="320"/>
        </w:trPr>
        <w:tc>
          <w:tcPr>
            <w:tcW w:w="3041" w:type="dxa"/>
            <w:tcBorders>
              <w:top w:val="nil"/>
              <w:left w:val="single" w:sz="8" w:space="0" w:color="auto"/>
              <w:bottom w:val="single" w:sz="8" w:space="0" w:color="auto"/>
              <w:right w:val="single" w:sz="8" w:space="0" w:color="auto"/>
            </w:tcBorders>
            <w:vAlign w:val="bottom"/>
            <w:hideMark/>
          </w:tcPr>
          <w:p>
            <w:pPr>
              <w:rPr>
                <w:sz w:val="8"/>
                <w:szCs w:val="8"/>
              </w:rPr>
            </w:pPr>
          </w:p>
          <w:p>
            <w:pPr>
              <w:ind w:firstLine="567"/>
              <w:jc w:val="both"/>
              <w:rPr>
                <w:color w:val="000000"/>
                <w:szCs w:val="24"/>
                <w:lang w:eastAsia="lt-LT"/>
              </w:rPr>
            </w:pPr>
            <w:r>
              <w:rPr>
                <w:szCs w:val="24"/>
                <w:lang w:eastAsia="lt-LT"/>
              </w:rPr>
              <w:t>28</w:t>
            </w:r>
          </w:p>
        </w:tc>
        <w:tc>
          <w:tcPr>
            <w:tcW w:w="6598" w:type="dxa"/>
            <w:tcBorders>
              <w:top w:val="single" w:sz="4" w:space="0" w:color="auto"/>
              <w:left w:val="single" w:sz="4" w:space="0" w:color="auto"/>
              <w:bottom w:val="single" w:sz="4" w:space="0" w:color="auto"/>
              <w:right w:val="single" w:sz="4" w:space="0" w:color="auto"/>
            </w:tcBorders>
            <w:vAlign w:val="bottom"/>
            <w:hideMark/>
          </w:tcPr>
          <w:p>
            <w:pPr>
              <w:rPr>
                <w:sz w:val="8"/>
                <w:szCs w:val="8"/>
              </w:rPr>
            </w:pPr>
          </w:p>
          <w:p>
            <w:pPr>
              <w:ind w:firstLine="567"/>
              <w:jc w:val="both"/>
              <w:rPr>
                <w:color w:val="000000"/>
                <w:szCs w:val="24"/>
                <w:lang w:eastAsia="lt-LT"/>
              </w:rPr>
            </w:pPr>
            <w:r>
              <w:rPr>
                <w:szCs w:val="24"/>
                <w:lang w:eastAsia="lt-LT"/>
              </w:rPr>
              <w:t>Kiti statiniai ir patalpos</w:t>
            </w:r>
          </w:p>
        </w:tc>
      </w:tr>
      <w:tr>
        <w:trPr>
          <w:trHeight w:val="170"/>
        </w:trPr>
        <w:tc>
          <w:tcPr>
            <w:tcW w:w="3041" w:type="dxa"/>
            <w:tcBorders>
              <w:top w:val="nil"/>
              <w:left w:val="single" w:sz="8" w:space="0" w:color="auto"/>
              <w:bottom w:val="single" w:sz="8" w:space="0" w:color="auto"/>
              <w:right w:val="single" w:sz="8" w:space="0" w:color="auto"/>
            </w:tcBorders>
            <w:vAlign w:val="bottom"/>
            <w:hideMark/>
          </w:tcPr>
          <w:p>
            <w:pPr>
              <w:rPr>
                <w:sz w:val="8"/>
                <w:szCs w:val="8"/>
              </w:rPr>
            </w:pPr>
          </w:p>
          <w:p>
            <w:pPr>
              <w:ind w:firstLine="567"/>
              <w:jc w:val="both"/>
              <w:rPr>
                <w:color w:val="000000"/>
                <w:szCs w:val="24"/>
                <w:lang w:eastAsia="lt-LT"/>
              </w:rPr>
            </w:pPr>
            <w:r>
              <w:rPr>
                <w:szCs w:val="24"/>
                <w:lang w:eastAsia="lt-LT"/>
              </w:rPr>
              <w:t>31</w:t>
            </w:r>
          </w:p>
        </w:tc>
        <w:tc>
          <w:tcPr>
            <w:tcW w:w="6598" w:type="dxa"/>
            <w:tcBorders>
              <w:top w:val="single" w:sz="4" w:space="0" w:color="auto"/>
              <w:left w:val="single" w:sz="4" w:space="0" w:color="auto"/>
              <w:bottom w:val="single" w:sz="4" w:space="0" w:color="auto"/>
              <w:right w:val="single" w:sz="4" w:space="0" w:color="auto"/>
            </w:tcBorders>
            <w:vAlign w:val="bottom"/>
            <w:hideMark/>
          </w:tcPr>
          <w:p>
            <w:pPr>
              <w:rPr>
                <w:sz w:val="8"/>
                <w:szCs w:val="8"/>
              </w:rPr>
            </w:pPr>
          </w:p>
          <w:p>
            <w:pPr>
              <w:ind w:firstLine="567"/>
              <w:jc w:val="both"/>
              <w:rPr>
                <w:color w:val="000000"/>
                <w:szCs w:val="24"/>
                <w:lang w:eastAsia="lt-LT"/>
              </w:rPr>
            </w:pPr>
            <w:r>
              <w:rPr>
                <w:szCs w:val="24"/>
                <w:lang w:eastAsia="lt-LT"/>
              </w:rPr>
              <w:t>Motociklas, motoroleris, motorinis vežimėlis</w:t>
            </w:r>
          </w:p>
        </w:tc>
      </w:tr>
      <w:tr>
        <w:trPr>
          <w:trHeight w:val="240"/>
        </w:trPr>
        <w:tc>
          <w:tcPr>
            <w:tcW w:w="3041" w:type="dxa"/>
            <w:tcBorders>
              <w:top w:val="nil"/>
              <w:left w:val="single" w:sz="8" w:space="0" w:color="auto"/>
              <w:bottom w:val="single" w:sz="8" w:space="0" w:color="auto"/>
              <w:right w:val="single" w:sz="8" w:space="0" w:color="auto"/>
            </w:tcBorders>
            <w:vAlign w:val="bottom"/>
            <w:hideMark/>
          </w:tcPr>
          <w:p>
            <w:pPr>
              <w:rPr>
                <w:sz w:val="8"/>
                <w:szCs w:val="8"/>
              </w:rPr>
            </w:pPr>
          </w:p>
          <w:p>
            <w:pPr>
              <w:ind w:firstLine="567"/>
              <w:jc w:val="both"/>
              <w:rPr>
                <w:color w:val="000000"/>
                <w:szCs w:val="24"/>
                <w:lang w:eastAsia="lt-LT"/>
              </w:rPr>
            </w:pPr>
            <w:r>
              <w:rPr>
                <w:szCs w:val="24"/>
                <w:lang w:eastAsia="lt-LT"/>
              </w:rPr>
              <w:t>32</w:t>
            </w:r>
          </w:p>
        </w:tc>
        <w:tc>
          <w:tcPr>
            <w:tcW w:w="6598" w:type="dxa"/>
            <w:tcBorders>
              <w:top w:val="single" w:sz="4" w:space="0" w:color="auto"/>
              <w:left w:val="single" w:sz="4" w:space="0" w:color="auto"/>
              <w:bottom w:val="single" w:sz="4" w:space="0" w:color="auto"/>
              <w:right w:val="single" w:sz="4" w:space="0" w:color="auto"/>
            </w:tcBorders>
            <w:vAlign w:val="bottom"/>
            <w:hideMark/>
          </w:tcPr>
          <w:p>
            <w:pPr>
              <w:rPr>
                <w:sz w:val="8"/>
                <w:szCs w:val="8"/>
              </w:rPr>
            </w:pPr>
          </w:p>
          <w:p>
            <w:pPr>
              <w:ind w:firstLine="567"/>
              <w:jc w:val="both"/>
              <w:rPr>
                <w:color w:val="000000"/>
                <w:szCs w:val="24"/>
                <w:lang w:eastAsia="lt-LT"/>
              </w:rPr>
            </w:pPr>
            <w:r>
              <w:rPr>
                <w:szCs w:val="24"/>
                <w:lang w:eastAsia="lt-LT"/>
              </w:rPr>
              <w:t>Lengvasis automobilis</w:t>
            </w:r>
          </w:p>
        </w:tc>
      </w:tr>
      <w:tr>
        <w:trPr>
          <w:trHeight w:val="320"/>
        </w:trPr>
        <w:tc>
          <w:tcPr>
            <w:tcW w:w="3041" w:type="dxa"/>
            <w:tcBorders>
              <w:top w:val="nil"/>
              <w:left w:val="single" w:sz="8" w:space="0" w:color="auto"/>
              <w:bottom w:val="single" w:sz="8" w:space="0" w:color="auto"/>
              <w:right w:val="single" w:sz="8" w:space="0" w:color="auto"/>
            </w:tcBorders>
            <w:vAlign w:val="bottom"/>
            <w:hideMark/>
          </w:tcPr>
          <w:p>
            <w:pPr>
              <w:rPr>
                <w:sz w:val="8"/>
                <w:szCs w:val="8"/>
              </w:rPr>
            </w:pPr>
          </w:p>
          <w:p>
            <w:pPr>
              <w:ind w:firstLine="567"/>
              <w:jc w:val="both"/>
              <w:rPr>
                <w:color w:val="000000"/>
                <w:szCs w:val="24"/>
                <w:lang w:eastAsia="lt-LT"/>
              </w:rPr>
            </w:pPr>
            <w:r>
              <w:rPr>
                <w:szCs w:val="24"/>
                <w:lang w:eastAsia="lt-LT"/>
              </w:rPr>
              <w:t>33</w:t>
            </w:r>
          </w:p>
        </w:tc>
        <w:tc>
          <w:tcPr>
            <w:tcW w:w="6598" w:type="dxa"/>
            <w:tcBorders>
              <w:top w:val="single" w:sz="4" w:space="0" w:color="auto"/>
              <w:left w:val="single" w:sz="4" w:space="0" w:color="auto"/>
              <w:bottom w:val="single" w:sz="4" w:space="0" w:color="auto"/>
              <w:right w:val="single" w:sz="4" w:space="0" w:color="auto"/>
            </w:tcBorders>
            <w:vAlign w:val="bottom"/>
            <w:hideMark/>
          </w:tcPr>
          <w:p>
            <w:pPr>
              <w:rPr>
                <w:sz w:val="8"/>
                <w:szCs w:val="8"/>
              </w:rPr>
            </w:pPr>
          </w:p>
          <w:p>
            <w:pPr>
              <w:ind w:firstLine="567"/>
              <w:jc w:val="both"/>
              <w:rPr>
                <w:color w:val="000000"/>
                <w:szCs w:val="24"/>
                <w:lang w:eastAsia="lt-LT"/>
              </w:rPr>
            </w:pPr>
            <w:r>
              <w:rPr>
                <w:szCs w:val="24"/>
                <w:lang w:eastAsia="lt-LT"/>
              </w:rPr>
              <w:t>Autobusas</w:t>
            </w:r>
          </w:p>
        </w:tc>
      </w:tr>
      <w:tr>
        <w:trPr>
          <w:trHeight w:val="170"/>
        </w:trPr>
        <w:tc>
          <w:tcPr>
            <w:tcW w:w="3041" w:type="dxa"/>
            <w:tcBorders>
              <w:top w:val="nil"/>
              <w:left w:val="single" w:sz="8" w:space="0" w:color="auto"/>
              <w:bottom w:val="single" w:sz="8" w:space="0" w:color="auto"/>
              <w:right w:val="single" w:sz="8" w:space="0" w:color="auto"/>
            </w:tcBorders>
            <w:vAlign w:val="bottom"/>
            <w:hideMark/>
          </w:tcPr>
          <w:p>
            <w:pPr>
              <w:rPr>
                <w:sz w:val="8"/>
                <w:szCs w:val="8"/>
              </w:rPr>
            </w:pPr>
          </w:p>
          <w:p>
            <w:pPr>
              <w:ind w:firstLine="567"/>
              <w:jc w:val="both"/>
              <w:rPr>
                <w:color w:val="000000"/>
                <w:szCs w:val="24"/>
                <w:lang w:eastAsia="lt-LT"/>
              </w:rPr>
            </w:pPr>
            <w:r>
              <w:rPr>
                <w:szCs w:val="24"/>
                <w:lang w:eastAsia="lt-LT"/>
              </w:rPr>
              <w:t>34</w:t>
            </w:r>
          </w:p>
        </w:tc>
        <w:tc>
          <w:tcPr>
            <w:tcW w:w="6598" w:type="dxa"/>
            <w:tcBorders>
              <w:top w:val="single" w:sz="4" w:space="0" w:color="auto"/>
              <w:left w:val="single" w:sz="4" w:space="0" w:color="auto"/>
              <w:bottom w:val="single" w:sz="4" w:space="0" w:color="auto"/>
              <w:right w:val="single" w:sz="4" w:space="0" w:color="auto"/>
            </w:tcBorders>
            <w:vAlign w:val="bottom"/>
            <w:hideMark/>
          </w:tcPr>
          <w:p>
            <w:pPr>
              <w:rPr>
                <w:sz w:val="8"/>
                <w:szCs w:val="8"/>
              </w:rPr>
            </w:pPr>
          </w:p>
          <w:p>
            <w:pPr>
              <w:ind w:firstLine="567"/>
              <w:jc w:val="both"/>
              <w:rPr>
                <w:color w:val="000000"/>
                <w:szCs w:val="24"/>
                <w:lang w:eastAsia="lt-LT"/>
              </w:rPr>
            </w:pPr>
            <w:r>
              <w:rPr>
                <w:szCs w:val="24"/>
                <w:lang w:eastAsia="lt-LT"/>
              </w:rPr>
              <w:t>Lengvasis krovininis automobilis</w:t>
            </w:r>
          </w:p>
        </w:tc>
      </w:tr>
      <w:tr>
        <w:trPr>
          <w:trHeight w:val="250"/>
        </w:trPr>
        <w:tc>
          <w:tcPr>
            <w:tcW w:w="3041" w:type="dxa"/>
            <w:tcBorders>
              <w:top w:val="nil"/>
              <w:left w:val="single" w:sz="8" w:space="0" w:color="auto"/>
              <w:bottom w:val="single" w:sz="8" w:space="0" w:color="auto"/>
              <w:right w:val="single" w:sz="8" w:space="0" w:color="auto"/>
            </w:tcBorders>
            <w:vAlign w:val="bottom"/>
            <w:hideMark/>
          </w:tcPr>
          <w:p>
            <w:pPr>
              <w:rPr>
                <w:sz w:val="8"/>
                <w:szCs w:val="8"/>
              </w:rPr>
            </w:pPr>
          </w:p>
          <w:p>
            <w:pPr>
              <w:ind w:firstLine="567"/>
              <w:jc w:val="both"/>
              <w:rPr>
                <w:color w:val="000000"/>
                <w:szCs w:val="24"/>
                <w:lang w:eastAsia="lt-LT"/>
              </w:rPr>
            </w:pPr>
            <w:r>
              <w:rPr>
                <w:szCs w:val="24"/>
                <w:lang w:eastAsia="lt-LT"/>
              </w:rPr>
              <w:t>35</w:t>
            </w:r>
          </w:p>
        </w:tc>
        <w:tc>
          <w:tcPr>
            <w:tcW w:w="6598" w:type="dxa"/>
            <w:tcBorders>
              <w:top w:val="single" w:sz="4" w:space="0" w:color="auto"/>
              <w:left w:val="single" w:sz="4" w:space="0" w:color="auto"/>
              <w:bottom w:val="single" w:sz="4" w:space="0" w:color="auto"/>
              <w:right w:val="single" w:sz="4" w:space="0" w:color="auto"/>
            </w:tcBorders>
            <w:vAlign w:val="bottom"/>
            <w:hideMark/>
          </w:tcPr>
          <w:p>
            <w:pPr>
              <w:rPr>
                <w:sz w:val="8"/>
                <w:szCs w:val="8"/>
              </w:rPr>
            </w:pPr>
          </w:p>
          <w:p>
            <w:pPr>
              <w:ind w:firstLine="567"/>
              <w:jc w:val="both"/>
              <w:rPr>
                <w:color w:val="000000"/>
                <w:szCs w:val="24"/>
                <w:lang w:eastAsia="lt-LT"/>
              </w:rPr>
            </w:pPr>
            <w:r>
              <w:rPr>
                <w:szCs w:val="24"/>
                <w:lang w:eastAsia="lt-LT"/>
              </w:rPr>
              <w:t>Sunkusis krovininis automobilis</w:t>
            </w:r>
          </w:p>
        </w:tc>
      </w:tr>
      <w:tr>
        <w:tc>
          <w:tcPr>
            <w:tcW w:w="3041" w:type="dxa"/>
            <w:tcBorders>
              <w:top w:val="single" w:sz="8" w:space="0" w:color="auto"/>
              <w:left w:val="single" w:sz="8" w:space="0" w:color="auto"/>
              <w:bottom w:val="single" w:sz="4" w:space="0" w:color="auto"/>
              <w:right w:val="single" w:sz="8" w:space="0" w:color="auto"/>
            </w:tcBorders>
            <w:vAlign w:val="bottom"/>
            <w:hideMark/>
          </w:tcPr>
          <w:p>
            <w:pPr>
              <w:rPr>
                <w:sz w:val="8"/>
                <w:szCs w:val="8"/>
              </w:rPr>
            </w:pPr>
          </w:p>
          <w:p>
            <w:pPr>
              <w:ind w:firstLine="567"/>
              <w:jc w:val="both"/>
              <w:rPr>
                <w:szCs w:val="24"/>
                <w:lang w:eastAsia="lt-LT"/>
              </w:rPr>
            </w:pPr>
            <w:r>
              <w:rPr>
                <w:szCs w:val="24"/>
                <w:lang w:eastAsia="lt-LT"/>
              </w:rPr>
              <w:t>36</w:t>
            </w:r>
          </w:p>
        </w:tc>
        <w:tc>
          <w:tcPr>
            <w:tcW w:w="6598" w:type="dxa"/>
            <w:tcBorders>
              <w:top w:val="single" w:sz="4" w:space="0" w:color="auto"/>
              <w:left w:val="single" w:sz="4" w:space="0" w:color="auto"/>
              <w:bottom w:val="single" w:sz="4" w:space="0" w:color="auto"/>
              <w:right w:val="single" w:sz="4" w:space="0" w:color="auto"/>
            </w:tcBorders>
            <w:vAlign w:val="bottom"/>
            <w:hideMark/>
          </w:tcPr>
          <w:p>
            <w:pPr>
              <w:rPr>
                <w:sz w:val="8"/>
                <w:szCs w:val="8"/>
              </w:rPr>
            </w:pPr>
          </w:p>
          <w:p>
            <w:pPr>
              <w:ind w:firstLine="567"/>
              <w:jc w:val="both"/>
              <w:rPr>
                <w:szCs w:val="24"/>
                <w:lang w:eastAsia="lt-LT"/>
              </w:rPr>
            </w:pPr>
            <w:r>
              <w:rPr>
                <w:szCs w:val="24"/>
                <w:lang w:eastAsia="lt-LT"/>
              </w:rPr>
              <w:t>Priekaba, puspriekabė</w:t>
            </w:r>
          </w:p>
        </w:tc>
      </w:tr>
      <w:tr>
        <w:tc>
          <w:tcPr>
            <w:tcW w:w="3041" w:type="dxa"/>
            <w:tcBorders>
              <w:top w:val="single" w:sz="4" w:space="0" w:color="auto"/>
              <w:left w:val="single" w:sz="8" w:space="0" w:color="auto"/>
              <w:bottom w:val="single" w:sz="4" w:space="0" w:color="auto"/>
              <w:right w:val="single" w:sz="8" w:space="0" w:color="auto"/>
            </w:tcBorders>
            <w:vAlign w:val="bottom"/>
            <w:hideMark/>
          </w:tcPr>
          <w:p>
            <w:pPr>
              <w:rPr>
                <w:sz w:val="8"/>
                <w:szCs w:val="8"/>
              </w:rPr>
            </w:pPr>
          </w:p>
          <w:p>
            <w:pPr>
              <w:ind w:firstLine="567"/>
              <w:jc w:val="both"/>
              <w:rPr>
                <w:szCs w:val="24"/>
                <w:lang w:eastAsia="lt-LT"/>
              </w:rPr>
            </w:pPr>
            <w:r>
              <w:rPr>
                <w:szCs w:val="24"/>
                <w:lang w:eastAsia="lt-LT"/>
              </w:rPr>
              <w:t>37</w:t>
            </w:r>
          </w:p>
        </w:tc>
        <w:tc>
          <w:tcPr>
            <w:tcW w:w="6598" w:type="dxa"/>
            <w:tcBorders>
              <w:top w:val="single" w:sz="4" w:space="0" w:color="auto"/>
              <w:left w:val="single" w:sz="4" w:space="0" w:color="auto"/>
              <w:bottom w:val="single" w:sz="4" w:space="0" w:color="auto"/>
              <w:right w:val="single" w:sz="4" w:space="0" w:color="auto"/>
            </w:tcBorders>
            <w:vAlign w:val="bottom"/>
            <w:hideMark/>
          </w:tcPr>
          <w:p>
            <w:pPr>
              <w:rPr>
                <w:sz w:val="8"/>
                <w:szCs w:val="8"/>
              </w:rPr>
            </w:pPr>
          </w:p>
          <w:p>
            <w:pPr>
              <w:ind w:firstLine="567"/>
              <w:jc w:val="both"/>
              <w:rPr>
                <w:szCs w:val="24"/>
                <w:lang w:eastAsia="lt-LT"/>
              </w:rPr>
            </w:pPr>
            <w:r>
              <w:rPr>
                <w:szCs w:val="24"/>
                <w:lang w:eastAsia="lt-LT"/>
              </w:rPr>
              <w:t>Kita kelių transporto priemonė</w:t>
            </w:r>
          </w:p>
        </w:tc>
      </w:tr>
      <w:tr>
        <w:tc>
          <w:tcPr>
            <w:tcW w:w="3041" w:type="dxa"/>
            <w:tcBorders>
              <w:top w:val="single" w:sz="4" w:space="0" w:color="auto"/>
              <w:left w:val="single" w:sz="8" w:space="0" w:color="auto"/>
              <w:bottom w:val="single" w:sz="4" w:space="0" w:color="auto"/>
              <w:right w:val="single" w:sz="8" w:space="0" w:color="auto"/>
            </w:tcBorders>
            <w:vAlign w:val="bottom"/>
            <w:hideMark/>
          </w:tcPr>
          <w:p>
            <w:pPr>
              <w:rPr>
                <w:sz w:val="8"/>
                <w:szCs w:val="8"/>
              </w:rPr>
            </w:pPr>
          </w:p>
          <w:p>
            <w:pPr>
              <w:ind w:firstLine="567"/>
              <w:jc w:val="both"/>
              <w:rPr>
                <w:szCs w:val="24"/>
                <w:lang w:eastAsia="lt-LT"/>
              </w:rPr>
            </w:pPr>
            <w:r>
              <w:rPr>
                <w:szCs w:val="24"/>
                <w:lang w:eastAsia="lt-LT"/>
              </w:rPr>
              <w:t>41</w:t>
            </w:r>
          </w:p>
        </w:tc>
        <w:tc>
          <w:tcPr>
            <w:tcW w:w="6598" w:type="dxa"/>
            <w:tcBorders>
              <w:top w:val="single" w:sz="4" w:space="0" w:color="auto"/>
              <w:left w:val="single" w:sz="4" w:space="0" w:color="auto"/>
              <w:bottom w:val="single" w:sz="4" w:space="0" w:color="auto"/>
              <w:right w:val="single" w:sz="4" w:space="0" w:color="auto"/>
            </w:tcBorders>
            <w:vAlign w:val="bottom"/>
            <w:hideMark/>
          </w:tcPr>
          <w:p>
            <w:pPr>
              <w:rPr>
                <w:sz w:val="8"/>
                <w:szCs w:val="8"/>
              </w:rPr>
            </w:pPr>
          </w:p>
          <w:p>
            <w:pPr>
              <w:ind w:firstLine="567"/>
              <w:jc w:val="both"/>
              <w:rPr>
                <w:szCs w:val="24"/>
                <w:lang w:eastAsia="lt-LT"/>
              </w:rPr>
            </w:pPr>
            <w:r>
              <w:rPr>
                <w:szCs w:val="24"/>
                <w:lang w:eastAsia="lt-LT"/>
              </w:rPr>
              <w:t>Civilinė oro transporto priemonė</w:t>
            </w:r>
          </w:p>
        </w:tc>
      </w:tr>
      <w:tr>
        <w:tc>
          <w:tcPr>
            <w:tcW w:w="3041" w:type="dxa"/>
            <w:tcBorders>
              <w:top w:val="single" w:sz="4" w:space="0" w:color="auto"/>
              <w:left w:val="single" w:sz="8" w:space="0" w:color="auto"/>
              <w:bottom w:val="single" w:sz="4" w:space="0" w:color="auto"/>
              <w:right w:val="single" w:sz="8" w:space="0" w:color="auto"/>
            </w:tcBorders>
            <w:vAlign w:val="bottom"/>
            <w:hideMark/>
          </w:tcPr>
          <w:p>
            <w:pPr>
              <w:rPr>
                <w:sz w:val="8"/>
                <w:szCs w:val="8"/>
              </w:rPr>
            </w:pPr>
          </w:p>
          <w:p>
            <w:pPr>
              <w:ind w:firstLine="567"/>
              <w:jc w:val="both"/>
              <w:rPr>
                <w:szCs w:val="24"/>
                <w:lang w:eastAsia="lt-LT"/>
              </w:rPr>
            </w:pPr>
            <w:r>
              <w:rPr>
                <w:szCs w:val="24"/>
                <w:lang w:eastAsia="lt-LT"/>
              </w:rPr>
              <w:t>51</w:t>
            </w:r>
          </w:p>
        </w:tc>
        <w:tc>
          <w:tcPr>
            <w:tcW w:w="6598" w:type="dxa"/>
            <w:tcBorders>
              <w:top w:val="single" w:sz="4" w:space="0" w:color="auto"/>
              <w:left w:val="single" w:sz="4" w:space="0" w:color="auto"/>
              <w:bottom w:val="single" w:sz="4" w:space="0" w:color="auto"/>
              <w:right w:val="single" w:sz="4" w:space="0" w:color="auto"/>
            </w:tcBorders>
            <w:vAlign w:val="bottom"/>
            <w:hideMark/>
          </w:tcPr>
          <w:p>
            <w:pPr>
              <w:rPr>
                <w:sz w:val="8"/>
                <w:szCs w:val="8"/>
              </w:rPr>
            </w:pPr>
          </w:p>
          <w:p>
            <w:pPr>
              <w:ind w:firstLine="567"/>
              <w:jc w:val="both"/>
              <w:rPr>
                <w:szCs w:val="24"/>
                <w:lang w:eastAsia="lt-LT"/>
              </w:rPr>
            </w:pPr>
            <w:r>
              <w:rPr>
                <w:szCs w:val="24"/>
                <w:lang w:eastAsia="lt-LT"/>
              </w:rPr>
              <w:t>Jūrų laivas</w:t>
            </w:r>
          </w:p>
        </w:tc>
      </w:tr>
      <w:tr>
        <w:tc>
          <w:tcPr>
            <w:tcW w:w="3041" w:type="dxa"/>
            <w:tcBorders>
              <w:top w:val="single" w:sz="4" w:space="0" w:color="auto"/>
              <w:left w:val="single" w:sz="8" w:space="0" w:color="auto"/>
              <w:bottom w:val="single" w:sz="4" w:space="0" w:color="auto"/>
              <w:right w:val="single" w:sz="8" w:space="0" w:color="auto"/>
            </w:tcBorders>
            <w:vAlign w:val="bottom"/>
            <w:hideMark/>
          </w:tcPr>
          <w:p>
            <w:pPr>
              <w:rPr>
                <w:sz w:val="8"/>
                <w:szCs w:val="8"/>
              </w:rPr>
            </w:pPr>
          </w:p>
          <w:p>
            <w:pPr>
              <w:ind w:firstLine="567"/>
              <w:jc w:val="both"/>
              <w:rPr>
                <w:szCs w:val="24"/>
                <w:lang w:eastAsia="lt-LT"/>
              </w:rPr>
            </w:pPr>
            <w:r>
              <w:rPr>
                <w:szCs w:val="24"/>
                <w:lang w:eastAsia="lt-LT"/>
              </w:rPr>
              <w:t>52</w:t>
            </w:r>
          </w:p>
        </w:tc>
        <w:tc>
          <w:tcPr>
            <w:tcW w:w="6598" w:type="dxa"/>
            <w:tcBorders>
              <w:top w:val="single" w:sz="4" w:space="0" w:color="auto"/>
              <w:left w:val="single" w:sz="4" w:space="0" w:color="auto"/>
              <w:bottom w:val="single" w:sz="4" w:space="0" w:color="auto"/>
              <w:right w:val="single" w:sz="4" w:space="0" w:color="auto"/>
            </w:tcBorders>
            <w:vAlign w:val="bottom"/>
            <w:hideMark/>
          </w:tcPr>
          <w:p>
            <w:pPr>
              <w:rPr>
                <w:sz w:val="8"/>
                <w:szCs w:val="8"/>
              </w:rPr>
            </w:pPr>
          </w:p>
          <w:p>
            <w:pPr>
              <w:ind w:firstLine="567"/>
              <w:jc w:val="both"/>
              <w:rPr>
                <w:szCs w:val="24"/>
                <w:lang w:eastAsia="lt-LT"/>
              </w:rPr>
            </w:pPr>
            <w:r>
              <w:rPr>
                <w:szCs w:val="24"/>
                <w:lang w:eastAsia="lt-LT"/>
              </w:rPr>
              <w:t>Vidaus vandenų laivas</w:t>
            </w:r>
          </w:p>
        </w:tc>
      </w:tr>
      <w:tr>
        <w:tc>
          <w:tcPr>
            <w:tcW w:w="3041" w:type="dxa"/>
            <w:tcBorders>
              <w:top w:val="single" w:sz="4" w:space="0" w:color="auto"/>
              <w:left w:val="single" w:sz="8" w:space="0" w:color="auto"/>
              <w:bottom w:val="single" w:sz="4" w:space="0" w:color="auto"/>
              <w:right w:val="single" w:sz="8" w:space="0" w:color="auto"/>
            </w:tcBorders>
            <w:vAlign w:val="bottom"/>
            <w:hideMark/>
          </w:tcPr>
          <w:p>
            <w:pPr>
              <w:rPr>
                <w:sz w:val="8"/>
                <w:szCs w:val="8"/>
              </w:rPr>
            </w:pPr>
          </w:p>
          <w:p>
            <w:pPr>
              <w:ind w:firstLine="567"/>
              <w:jc w:val="both"/>
              <w:rPr>
                <w:szCs w:val="24"/>
                <w:lang w:eastAsia="lt-LT"/>
              </w:rPr>
            </w:pPr>
            <w:r>
              <w:rPr>
                <w:szCs w:val="24"/>
                <w:lang w:eastAsia="lt-LT"/>
              </w:rPr>
              <w:t>53</w:t>
            </w:r>
          </w:p>
        </w:tc>
        <w:tc>
          <w:tcPr>
            <w:tcW w:w="6598" w:type="dxa"/>
            <w:tcBorders>
              <w:top w:val="single" w:sz="4" w:space="0" w:color="auto"/>
              <w:left w:val="single" w:sz="4" w:space="0" w:color="auto"/>
              <w:bottom w:val="single" w:sz="4" w:space="0" w:color="auto"/>
              <w:right w:val="single" w:sz="4" w:space="0" w:color="auto"/>
            </w:tcBorders>
            <w:vAlign w:val="bottom"/>
            <w:hideMark/>
          </w:tcPr>
          <w:p>
            <w:pPr>
              <w:rPr>
                <w:sz w:val="8"/>
                <w:szCs w:val="8"/>
              </w:rPr>
            </w:pPr>
          </w:p>
          <w:p>
            <w:pPr>
              <w:ind w:firstLine="567"/>
              <w:jc w:val="both"/>
              <w:rPr>
                <w:szCs w:val="24"/>
                <w:lang w:eastAsia="lt-LT"/>
              </w:rPr>
            </w:pPr>
            <w:r>
              <w:rPr>
                <w:szCs w:val="24"/>
                <w:lang w:eastAsia="lt-LT"/>
              </w:rPr>
              <w:t>Kita vandens transporto priemonė</w:t>
            </w:r>
          </w:p>
        </w:tc>
      </w:tr>
      <w:tr>
        <w:tc>
          <w:tcPr>
            <w:tcW w:w="3041" w:type="dxa"/>
            <w:tcBorders>
              <w:top w:val="single" w:sz="4" w:space="0" w:color="auto"/>
              <w:left w:val="single" w:sz="8" w:space="0" w:color="auto"/>
              <w:bottom w:val="single" w:sz="4" w:space="0" w:color="auto"/>
              <w:right w:val="single" w:sz="8" w:space="0" w:color="auto"/>
            </w:tcBorders>
            <w:vAlign w:val="bottom"/>
            <w:hideMark/>
          </w:tcPr>
          <w:p>
            <w:pPr>
              <w:rPr>
                <w:sz w:val="8"/>
                <w:szCs w:val="8"/>
              </w:rPr>
            </w:pPr>
          </w:p>
          <w:p>
            <w:pPr>
              <w:ind w:firstLine="567"/>
              <w:jc w:val="both"/>
              <w:rPr>
                <w:szCs w:val="24"/>
                <w:lang w:eastAsia="lt-LT"/>
              </w:rPr>
            </w:pPr>
            <w:r>
              <w:rPr>
                <w:szCs w:val="24"/>
                <w:lang w:eastAsia="lt-LT"/>
              </w:rPr>
              <w:t>61</w:t>
            </w:r>
          </w:p>
        </w:tc>
        <w:tc>
          <w:tcPr>
            <w:tcW w:w="6598" w:type="dxa"/>
            <w:tcBorders>
              <w:top w:val="single" w:sz="4" w:space="0" w:color="auto"/>
              <w:left w:val="single" w:sz="4" w:space="0" w:color="auto"/>
              <w:bottom w:val="single" w:sz="4" w:space="0" w:color="auto"/>
              <w:right w:val="single" w:sz="4" w:space="0" w:color="auto"/>
            </w:tcBorders>
            <w:vAlign w:val="bottom"/>
            <w:hideMark/>
          </w:tcPr>
          <w:p>
            <w:pPr>
              <w:rPr>
                <w:sz w:val="8"/>
                <w:szCs w:val="8"/>
              </w:rPr>
            </w:pPr>
          </w:p>
          <w:p>
            <w:pPr>
              <w:ind w:firstLine="567"/>
              <w:jc w:val="both"/>
              <w:rPr>
                <w:szCs w:val="24"/>
                <w:lang w:eastAsia="lt-LT"/>
              </w:rPr>
            </w:pPr>
            <w:r>
              <w:rPr>
                <w:szCs w:val="24"/>
                <w:lang w:eastAsia="lt-LT"/>
              </w:rPr>
              <w:t>Žemės ūkio technika</w:t>
            </w:r>
          </w:p>
        </w:tc>
      </w:tr>
      <w:tr>
        <w:tc>
          <w:tcPr>
            <w:tcW w:w="3041" w:type="dxa"/>
            <w:tcBorders>
              <w:top w:val="single" w:sz="4" w:space="0" w:color="auto"/>
              <w:left w:val="single" w:sz="8" w:space="0" w:color="auto"/>
              <w:bottom w:val="single" w:sz="4" w:space="0" w:color="auto"/>
              <w:right w:val="single" w:sz="8" w:space="0" w:color="auto"/>
            </w:tcBorders>
            <w:vAlign w:val="bottom"/>
            <w:hideMark/>
          </w:tcPr>
          <w:p>
            <w:pPr>
              <w:rPr>
                <w:sz w:val="8"/>
                <w:szCs w:val="8"/>
              </w:rPr>
            </w:pPr>
          </w:p>
          <w:p>
            <w:pPr>
              <w:ind w:firstLine="567"/>
              <w:jc w:val="both"/>
              <w:rPr>
                <w:szCs w:val="24"/>
                <w:lang w:eastAsia="lt-LT"/>
              </w:rPr>
            </w:pPr>
            <w:r>
              <w:rPr>
                <w:szCs w:val="24"/>
                <w:lang w:eastAsia="lt-LT"/>
              </w:rPr>
              <w:t>71</w:t>
            </w:r>
          </w:p>
        </w:tc>
        <w:tc>
          <w:tcPr>
            <w:tcW w:w="6598" w:type="dxa"/>
            <w:tcBorders>
              <w:top w:val="single" w:sz="4" w:space="0" w:color="auto"/>
              <w:left w:val="single" w:sz="4" w:space="0" w:color="auto"/>
              <w:bottom w:val="single" w:sz="4" w:space="0" w:color="auto"/>
              <w:right w:val="single" w:sz="4" w:space="0" w:color="auto"/>
            </w:tcBorders>
            <w:vAlign w:val="bottom"/>
            <w:hideMark/>
          </w:tcPr>
          <w:p>
            <w:pPr>
              <w:rPr>
                <w:sz w:val="8"/>
                <w:szCs w:val="8"/>
              </w:rPr>
            </w:pPr>
          </w:p>
          <w:p>
            <w:pPr>
              <w:ind w:firstLine="567"/>
              <w:jc w:val="both"/>
              <w:rPr>
                <w:szCs w:val="24"/>
                <w:lang w:eastAsia="lt-LT"/>
              </w:rPr>
            </w:pPr>
            <w:r>
              <w:rPr>
                <w:szCs w:val="24"/>
                <w:lang w:eastAsia="lt-LT"/>
              </w:rPr>
              <w:t>Ginklas</w:t>
            </w:r>
          </w:p>
        </w:tc>
      </w:tr>
      <w:tr>
        <w:tc>
          <w:tcPr>
            <w:tcW w:w="3041" w:type="dxa"/>
            <w:tcBorders>
              <w:top w:val="single" w:sz="4" w:space="0" w:color="auto"/>
              <w:left w:val="single" w:sz="8" w:space="0" w:color="auto"/>
              <w:bottom w:val="single" w:sz="4" w:space="0" w:color="auto"/>
              <w:right w:val="single" w:sz="8" w:space="0" w:color="auto"/>
            </w:tcBorders>
            <w:vAlign w:val="bottom"/>
            <w:hideMark/>
          </w:tcPr>
          <w:p>
            <w:pPr>
              <w:rPr>
                <w:sz w:val="8"/>
                <w:szCs w:val="8"/>
              </w:rPr>
            </w:pPr>
          </w:p>
          <w:p>
            <w:pPr>
              <w:ind w:firstLine="567"/>
              <w:jc w:val="both"/>
              <w:rPr>
                <w:szCs w:val="24"/>
                <w:lang w:eastAsia="lt-LT"/>
              </w:rPr>
            </w:pPr>
            <w:r>
              <w:rPr>
                <w:szCs w:val="24"/>
                <w:lang w:eastAsia="lt-LT"/>
              </w:rPr>
              <w:t>81</w:t>
            </w:r>
          </w:p>
        </w:tc>
        <w:tc>
          <w:tcPr>
            <w:tcW w:w="6598" w:type="dxa"/>
            <w:tcBorders>
              <w:top w:val="single" w:sz="4" w:space="0" w:color="auto"/>
              <w:left w:val="single" w:sz="4" w:space="0" w:color="auto"/>
              <w:bottom w:val="single" w:sz="4" w:space="0" w:color="auto"/>
              <w:right w:val="single" w:sz="4" w:space="0" w:color="auto"/>
            </w:tcBorders>
            <w:vAlign w:val="bottom"/>
            <w:hideMark/>
          </w:tcPr>
          <w:p>
            <w:pPr>
              <w:rPr>
                <w:sz w:val="8"/>
                <w:szCs w:val="8"/>
              </w:rPr>
            </w:pPr>
          </w:p>
          <w:p>
            <w:pPr>
              <w:ind w:firstLine="567"/>
              <w:jc w:val="both"/>
              <w:rPr>
                <w:szCs w:val="24"/>
                <w:lang w:eastAsia="lt-LT"/>
              </w:rPr>
            </w:pPr>
            <w:r>
              <w:rPr>
                <w:szCs w:val="24"/>
                <w:lang w:eastAsia="lt-LT"/>
              </w:rPr>
              <w:t>Potencialiai pavojingas įrenginys</w:t>
            </w:r>
          </w:p>
        </w:tc>
      </w:tr>
      <w:tr>
        <w:tc>
          <w:tcPr>
            <w:tcW w:w="3041" w:type="dxa"/>
            <w:tcBorders>
              <w:top w:val="single" w:sz="4" w:space="0" w:color="auto"/>
              <w:left w:val="single" w:sz="8" w:space="0" w:color="auto"/>
              <w:bottom w:val="single" w:sz="4" w:space="0" w:color="auto"/>
              <w:right w:val="single" w:sz="8" w:space="0" w:color="auto"/>
            </w:tcBorders>
            <w:vAlign w:val="bottom"/>
            <w:hideMark/>
          </w:tcPr>
          <w:p>
            <w:pPr>
              <w:rPr>
                <w:sz w:val="8"/>
                <w:szCs w:val="8"/>
              </w:rPr>
            </w:pPr>
          </w:p>
          <w:p>
            <w:pPr>
              <w:ind w:firstLine="567"/>
              <w:jc w:val="both"/>
              <w:rPr>
                <w:szCs w:val="24"/>
                <w:lang w:eastAsia="lt-LT"/>
              </w:rPr>
            </w:pPr>
            <w:r>
              <w:rPr>
                <w:szCs w:val="24"/>
                <w:lang w:eastAsia="lt-LT"/>
              </w:rPr>
              <w:t>91</w:t>
            </w:r>
          </w:p>
        </w:tc>
        <w:tc>
          <w:tcPr>
            <w:tcW w:w="6598" w:type="dxa"/>
            <w:tcBorders>
              <w:top w:val="single" w:sz="4" w:space="0" w:color="auto"/>
              <w:left w:val="single" w:sz="4" w:space="0" w:color="auto"/>
              <w:bottom w:val="single" w:sz="4" w:space="0" w:color="auto"/>
              <w:right w:val="single" w:sz="4" w:space="0" w:color="auto"/>
            </w:tcBorders>
            <w:vAlign w:val="bottom"/>
            <w:hideMark/>
          </w:tcPr>
          <w:p>
            <w:pPr>
              <w:rPr>
                <w:sz w:val="8"/>
                <w:szCs w:val="8"/>
              </w:rPr>
            </w:pPr>
          </w:p>
          <w:p>
            <w:pPr>
              <w:ind w:firstLine="567"/>
              <w:jc w:val="both"/>
              <w:rPr>
                <w:szCs w:val="24"/>
                <w:lang w:eastAsia="lt-LT"/>
              </w:rPr>
            </w:pPr>
            <w:r>
              <w:rPr>
                <w:szCs w:val="24"/>
                <w:lang w:eastAsia="lt-LT"/>
              </w:rPr>
              <w:t>Akcijos</w:t>
            </w:r>
          </w:p>
        </w:tc>
      </w:tr>
      <w:tr>
        <w:tc>
          <w:tcPr>
            <w:tcW w:w="3041" w:type="dxa"/>
            <w:tcBorders>
              <w:top w:val="single" w:sz="4" w:space="0" w:color="auto"/>
              <w:left w:val="single" w:sz="8" w:space="0" w:color="auto"/>
              <w:bottom w:val="single" w:sz="4" w:space="0" w:color="auto"/>
              <w:right w:val="single" w:sz="8" w:space="0" w:color="auto"/>
            </w:tcBorders>
            <w:vAlign w:val="bottom"/>
            <w:hideMark/>
          </w:tcPr>
          <w:p>
            <w:pPr>
              <w:rPr>
                <w:sz w:val="8"/>
                <w:szCs w:val="8"/>
              </w:rPr>
            </w:pPr>
          </w:p>
          <w:p>
            <w:pPr>
              <w:ind w:firstLine="567"/>
              <w:jc w:val="both"/>
              <w:rPr>
                <w:szCs w:val="24"/>
                <w:lang w:eastAsia="lt-LT"/>
              </w:rPr>
            </w:pPr>
            <w:r>
              <w:rPr>
                <w:szCs w:val="24"/>
                <w:lang w:eastAsia="lt-LT"/>
              </w:rPr>
              <w:t>92</w:t>
            </w:r>
          </w:p>
        </w:tc>
        <w:tc>
          <w:tcPr>
            <w:tcW w:w="6598" w:type="dxa"/>
            <w:tcBorders>
              <w:top w:val="single" w:sz="4" w:space="0" w:color="auto"/>
              <w:left w:val="single" w:sz="4" w:space="0" w:color="auto"/>
              <w:bottom w:val="single" w:sz="4" w:space="0" w:color="auto"/>
              <w:right w:val="single" w:sz="4" w:space="0" w:color="auto"/>
            </w:tcBorders>
            <w:vAlign w:val="bottom"/>
            <w:hideMark/>
          </w:tcPr>
          <w:p>
            <w:pPr>
              <w:rPr>
                <w:sz w:val="8"/>
                <w:szCs w:val="8"/>
              </w:rPr>
            </w:pPr>
          </w:p>
          <w:p>
            <w:pPr>
              <w:ind w:firstLine="567"/>
              <w:jc w:val="both"/>
              <w:rPr>
                <w:szCs w:val="24"/>
                <w:lang w:eastAsia="lt-LT"/>
              </w:rPr>
            </w:pPr>
            <w:r>
              <w:rPr>
                <w:szCs w:val="24"/>
                <w:lang w:eastAsia="lt-LT"/>
              </w:rPr>
              <w:t>Vekseliai (ne valstybės iždo)</w:t>
            </w:r>
          </w:p>
        </w:tc>
      </w:tr>
      <w:tr>
        <w:tc>
          <w:tcPr>
            <w:tcW w:w="3041" w:type="dxa"/>
            <w:tcBorders>
              <w:top w:val="single" w:sz="4" w:space="0" w:color="auto"/>
              <w:left w:val="single" w:sz="8" w:space="0" w:color="auto"/>
              <w:bottom w:val="single" w:sz="4" w:space="0" w:color="auto"/>
              <w:right w:val="single" w:sz="8" w:space="0" w:color="auto"/>
            </w:tcBorders>
            <w:vAlign w:val="bottom"/>
            <w:hideMark/>
          </w:tcPr>
          <w:p>
            <w:pPr>
              <w:rPr>
                <w:sz w:val="8"/>
                <w:szCs w:val="8"/>
              </w:rPr>
            </w:pPr>
          </w:p>
          <w:p>
            <w:pPr>
              <w:ind w:firstLine="567"/>
              <w:jc w:val="both"/>
              <w:rPr>
                <w:szCs w:val="24"/>
                <w:lang w:eastAsia="lt-LT"/>
              </w:rPr>
            </w:pPr>
            <w:r>
              <w:rPr>
                <w:szCs w:val="24"/>
                <w:lang w:eastAsia="lt-LT"/>
              </w:rPr>
              <w:t>93</w:t>
            </w:r>
          </w:p>
        </w:tc>
        <w:tc>
          <w:tcPr>
            <w:tcW w:w="6598" w:type="dxa"/>
            <w:tcBorders>
              <w:top w:val="single" w:sz="4" w:space="0" w:color="auto"/>
              <w:left w:val="single" w:sz="4" w:space="0" w:color="auto"/>
              <w:bottom w:val="single" w:sz="4" w:space="0" w:color="auto"/>
              <w:right w:val="single" w:sz="4" w:space="0" w:color="auto"/>
            </w:tcBorders>
            <w:vAlign w:val="bottom"/>
            <w:hideMark/>
          </w:tcPr>
          <w:p>
            <w:pPr>
              <w:rPr>
                <w:sz w:val="8"/>
                <w:szCs w:val="8"/>
              </w:rPr>
            </w:pPr>
          </w:p>
          <w:p>
            <w:pPr>
              <w:ind w:firstLine="567"/>
              <w:jc w:val="both"/>
              <w:rPr>
                <w:szCs w:val="24"/>
                <w:lang w:eastAsia="lt-LT"/>
              </w:rPr>
            </w:pPr>
            <w:r>
              <w:rPr>
                <w:szCs w:val="24"/>
                <w:lang w:eastAsia="lt-LT"/>
              </w:rPr>
              <w:t>Vyriausybės vertybiniai popieriai</w:t>
            </w:r>
          </w:p>
        </w:tc>
      </w:tr>
      <w:tr>
        <w:tc>
          <w:tcPr>
            <w:tcW w:w="3041" w:type="dxa"/>
            <w:tcBorders>
              <w:top w:val="single" w:sz="4" w:space="0" w:color="auto"/>
              <w:left w:val="single" w:sz="8" w:space="0" w:color="auto"/>
              <w:bottom w:val="single" w:sz="4" w:space="0" w:color="auto"/>
              <w:right w:val="single" w:sz="8" w:space="0" w:color="auto"/>
            </w:tcBorders>
            <w:vAlign w:val="bottom"/>
            <w:hideMark/>
          </w:tcPr>
          <w:p>
            <w:pPr>
              <w:rPr>
                <w:sz w:val="8"/>
                <w:szCs w:val="8"/>
              </w:rPr>
            </w:pPr>
          </w:p>
          <w:p>
            <w:pPr>
              <w:ind w:firstLine="567"/>
              <w:jc w:val="both"/>
              <w:rPr>
                <w:szCs w:val="24"/>
                <w:lang w:eastAsia="lt-LT"/>
              </w:rPr>
            </w:pPr>
            <w:r>
              <w:rPr>
                <w:szCs w:val="24"/>
                <w:lang w:eastAsia="lt-LT"/>
              </w:rPr>
              <w:t>94</w:t>
            </w:r>
          </w:p>
        </w:tc>
        <w:tc>
          <w:tcPr>
            <w:tcW w:w="6598" w:type="dxa"/>
            <w:tcBorders>
              <w:top w:val="single" w:sz="4" w:space="0" w:color="auto"/>
              <w:left w:val="single" w:sz="4" w:space="0" w:color="auto"/>
              <w:bottom w:val="single" w:sz="4" w:space="0" w:color="auto"/>
              <w:right w:val="single" w:sz="4" w:space="0" w:color="auto"/>
            </w:tcBorders>
            <w:vAlign w:val="bottom"/>
            <w:hideMark/>
          </w:tcPr>
          <w:p>
            <w:pPr>
              <w:rPr>
                <w:sz w:val="8"/>
                <w:szCs w:val="8"/>
              </w:rPr>
            </w:pPr>
          </w:p>
          <w:p>
            <w:pPr>
              <w:ind w:firstLine="567"/>
              <w:jc w:val="both"/>
              <w:rPr>
                <w:szCs w:val="24"/>
                <w:lang w:eastAsia="lt-LT"/>
              </w:rPr>
            </w:pPr>
            <w:r>
              <w:rPr>
                <w:szCs w:val="24"/>
                <w:lang w:eastAsia="lt-LT"/>
              </w:rPr>
              <w:t>Kiti vertybiniai popieriai</w:t>
            </w:r>
          </w:p>
        </w:tc>
      </w:tr>
      <w:tr>
        <w:tc>
          <w:tcPr>
            <w:tcW w:w="3041" w:type="dxa"/>
            <w:tcBorders>
              <w:top w:val="single" w:sz="4" w:space="0" w:color="auto"/>
              <w:left w:val="single" w:sz="8" w:space="0" w:color="auto"/>
              <w:bottom w:val="single" w:sz="4" w:space="0" w:color="auto"/>
              <w:right w:val="single" w:sz="8" w:space="0" w:color="auto"/>
            </w:tcBorders>
            <w:vAlign w:val="bottom"/>
            <w:hideMark/>
          </w:tcPr>
          <w:p>
            <w:pPr>
              <w:rPr>
                <w:sz w:val="8"/>
                <w:szCs w:val="8"/>
              </w:rPr>
            </w:pPr>
          </w:p>
          <w:p>
            <w:pPr>
              <w:ind w:firstLine="567"/>
              <w:jc w:val="both"/>
              <w:rPr>
                <w:szCs w:val="24"/>
                <w:lang w:eastAsia="lt-LT"/>
              </w:rPr>
            </w:pPr>
            <w:r>
              <w:rPr>
                <w:szCs w:val="24"/>
                <w:lang w:eastAsia="lt-LT"/>
              </w:rPr>
              <w:t>100</w:t>
            </w:r>
          </w:p>
        </w:tc>
        <w:tc>
          <w:tcPr>
            <w:tcW w:w="6598" w:type="dxa"/>
            <w:tcBorders>
              <w:top w:val="single" w:sz="4" w:space="0" w:color="auto"/>
              <w:left w:val="single" w:sz="4" w:space="0" w:color="auto"/>
              <w:bottom w:val="single" w:sz="4" w:space="0" w:color="auto"/>
              <w:right w:val="single" w:sz="4" w:space="0" w:color="auto"/>
            </w:tcBorders>
            <w:vAlign w:val="bottom"/>
            <w:hideMark/>
          </w:tcPr>
          <w:p>
            <w:pPr>
              <w:rPr>
                <w:sz w:val="8"/>
                <w:szCs w:val="8"/>
              </w:rPr>
            </w:pPr>
          </w:p>
          <w:p>
            <w:pPr>
              <w:ind w:left="513" w:firstLine="54"/>
              <w:jc w:val="both"/>
              <w:rPr>
                <w:szCs w:val="24"/>
                <w:lang w:eastAsia="lt-LT"/>
              </w:rPr>
            </w:pPr>
            <w:r>
              <w:rPr>
                <w:szCs w:val="24"/>
                <w:lang w:eastAsia="lt-LT"/>
              </w:rPr>
              <w:t>Meno kūriniai, juvelyriniai dirbiniai iš brangakmenių, antikvariniai daiktai, kolekcijos</w:t>
            </w:r>
          </w:p>
        </w:tc>
      </w:tr>
      <w:tr>
        <w:tc>
          <w:tcPr>
            <w:tcW w:w="3041" w:type="dxa"/>
            <w:tcBorders>
              <w:top w:val="single" w:sz="4" w:space="0" w:color="auto"/>
              <w:left w:val="single" w:sz="8" w:space="0" w:color="auto"/>
              <w:bottom w:val="single" w:sz="4" w:space="0" w:color="auto"/>
              <w:right w:val="single" w:sz="8" w:space="0" w:color="auto"/>
            </w:tcBorders>
            <w:vAlign w:val="bottom"/>
            <w:hideMark/>
          </w:tcPr>
          <w:p>
            <w:pPr>
              <w:rPr>
                <w:sz w:val="8"/>
                <w:szCs w:val="8"/>
              </w:rPr>
            </w:pPr>
          </w:p>
          <w:p>
            <w:pPr>
              <w:ind w:firstLine="567"/>
              <w:jc w:val="both"/>
              <w:rPr>
                <w:szCs w:val="24"/>
                <w:lang w:eastAsia="lt-LT"/>
              </w:rPr>
            </w:pPr>
            <w:r>
              <w:rPr>
                <w:szCs w:val="24"/>
                <w:lang w:eastAsia="lt-LT"/>
              </w:rPr>
              <w:t>111</w:t>
            </w:r>
          </w:p>
        </w:tc>
        <w:tc>
          <w:tcPr>
            <w:tcW w:w="6598" w:type="dxa"/>
            <w:tcBorders>
              <w:top w:val="single" w:sz="4" w:space="0" w:color="auto"/>
              <w:left w:val="single" w:sz="4" w:space="0" w:color="auto"/>
              <w:bottom w:val="single" w:sz="4" w:space="0" w:color="auto"/>
              <w:right w:val="single" w:sz="4" w:space="0" w:color="auto"/>
            </w:tcBorders>
            <w:vAlign w:val="bottom"/>
            <w:hideMark/>
          </w:tcPr>
          <w:p>
            <w:pPr>
              <w:rPr>
                <w:sz w:val="8"/>
                <w:szCs w:val="8"/>
              </w:rPr>
            </w:pPr>
          </w:p>
          <w:p>
            <w:pPr>
              <w:ind w:firstLine="567"/>
              <w:jc w:val="both"/>
              <w:rPr>
                <w:szCs w:val="24"/>
                <w:lang w:eastAsia="lt-LT"/>
              </w:rPr>
            </w:pPr>
            <w:r>
              <w:rPr>
                <w:szCs w:val="24"/>
                <w:lang w:eastAsia="lt-LT"/>
              </w:rPr>
              <w:t>Kitas neregistruojamas kilnojamasis turtas</w:t>
            </w:r>
          </w:p>
        </w:tc>
      </w:tr>
      <w:tr>
        <w:tc>
          <w:tcPr>
            <w:tcW w:w="3041" w:type="dxa"/>
            <w:tcBorders>
              <w:top w:val="single" w:sz="4" w:space="0" w:color="auto"/>
              <w:left w:val="single" w:sz="8" w:space="0" w:color="auto"/>
              <w:bottom w:val="single" w:sz="4" w:space="0" w:color="auto"/>
              <w:right w:val="single" w:sz="8" w:space="0" w:color="auto"/>
            </w:tcBorders>
            <w:vAlign w:val="bottom"/>
            <w:hideMark/>
          </w:tcPr>
          <w:p>
            <w:pPr>
              <w:rPr>
                <w:sz w:val="8"/>
                <w:szCs w:val="8"/>
              </w:rPr>
            </w:pPr>
          </w:p>
          <w:p>
            <w:pPr>
              <w:ind w:firstLine="567"/>
              <w:jc w:val="both"/>
              <w:rPr>
                <w:szCs w:val="24"/>
                <w:lang w:eastAsia="lt-LT"/>
              </w:rPr>
            </w:pPr>
            <w:r>
              <w:rPr>
                <w:szCs w:val="24"/>
                <w:lang w:eastAsia="lt-LT"/>
              </w:rPr>
              <w:t>121</w:t>
            </w:r>
          </w:p>
        </w:tc>
        <w:tc>
          <w:tcPr>
            <w:tcW w:w="6598" w:type="dxa"/>
            <w:tcBorders>
              <w:top w:val="single" w:sz="4" w:space="0" w:color="auto"/>
              <w:left w:val="single" w:sz="4" w:space="0" w:color="auto"/>
              <w:bottom w:val="single" w:sz="4" w:space="0" w:color="auto"/>
              <w:right w:val="single" w:sz="4" w:space="0" w:color="auto"/>
            </w:tcBorders>
            <w:vAlign w:val="bottom"/>
            <w:hideMark/>
          </w:tcPr>
          <w:p>
            <w:pPr>
              <w:rPr>
                <w:sz w:val="8"/>
                <w:szCs w:val="8"/>
              </w:rPr>
            </w:pPr>
          </w:p>
          <w:p>
            <w:pPr>
              <w:ind w:firstLine="567"/>
              <w:jc w:val="both"/>
              <w:rPr>
                <w:szCs w:val="24"/>
                <w:lang w:eastAsia="lt-LT"/>
              </w:rPr>
            </w:pPr>
            <w:r>
              <w:rPr>
                <w:szCs w:val="24"/>
                <w:lang w:eastAsia="lt-LT"/>
              </w:rPr>
              <w:t>Grynieji pinigai</w:t>
            </w:r>
          </w:p>
        </w:tc>
      </w:tr>
      <w:tr>
        <w:tc>
          <w:tcPr>
            <w:tcW w:w="3041" w:type="dxa"/>
            <w:tcBorders>
              <w:top w:val="single" w:sz="4" w:space="0" w:color="auto"/>
              <w:left w:val="single" w:sz="8" w:space="0" w:color="auto"/>
              <w:bottom w:val="single" w:sz="4" w:space="0" w:color="auto"/>
              <w:right w:val="single" w:sz="8" w:space="0" w:color="auto"/>
            </w:tcBorders>
            <w:vAlign w:val="bottom"/>
            <w:hideMark/>
          </w:tcPr>
          <w:p>
            <w:pPr>
              <w:rPr>
                <w:sz w:val="8"/>
                <w:szCs w:val="8"/>
              </w:rPr>
            </w:pPr>
          </w:p>
          <w:p>
            <w:pPr>
              <w:ind w:firstLine="567"/>
              <w:jc w:val="both"/>
              <w:rPr>
                <w:szCs w:val="24"/>
                <w:lang w:eastAsia="lt-LT"/>
              </w:rPr>
            </w:pPr>
            <w:r>
              <w:rPr>
                <w:szCs w:val="24"/>
                <w:lang w:eastAsia="lt-LT"/>
              </w:rPr>
              <w:t>122</w:t>
            </w:r>
          </w:p>
        </w:tc>
        <w:tc>
          <w:tcPr>
            <w:tcW w:w="6598" w:type="dxa"/>
            <w:tcBorders>
              <w:top w:val="single" w:sz="4" w:space="0" w:color="auto"/>
              <w:left w:val="single" w:sz="4" w:space="0" w:color="auto"/>
              <w:bottom w:val="single" w:sz="4" w:space="0" w:color="auto"/>
              <w:right w:val="single" w:sz="4" w:space="0" w:color="auto"/>
            </w:tcBorders>
            <w:vAlign w:val="bottom"/>
            <w:hideMark/>
          </w:tcPr>
          <w:p>
            <w:pPr>
              <w:rPr>
                <w:sz w:val="8"/>
                <w:szCs w:val="8"/>
              </w:rPr>
            </w:pPr>
          </w:p>
          <w:p>
            <w:pPr>
              <w:ind w:firstLine="567"/>
              <w:jc w:val="both"/>
              <w:rPr>
                <w:szCs w:val="24"/>
                <w:lang w:eastAsia="lt-LT"/>
              </w:rPr>
            </w:pPr>
            <w:r>
              <w:rPr>
                <w:szCs w:val="24"/>
                <w:lang w:eastAsia="lt-LT"/>
              </w:rPr>
              <w:t>Bankų sąskaitose esančios piniginės lėšos</w:t>
            </w:r>
          </w:p>
        </w:tc>
      </w:tr>
      <w:tr>
        <w:tc>
          <w:tcPr>
            <w:tcW w:w="3041" w:type="dxa"/>
            <w:tcBorders>
              <w:top w:val="single" w:sz="4" w:space="0" w:color="auto"/>
              <w:left w:val="single" w:sz="8" w:space="0" w:color="auto"/>
              <w:bottom w:val="single" w:sz="4" w:space="0" w:color="auto"/>
              <w:right w:val="single" w:sz="8" w:space="0" w:color="auto"/>
            </w:tcBorders>
            <w:vAlign w:val="bottom"/>
            <w:hideMark/>
          </w:tcPr>
          <w:p>
            <w:pPr>
              <w:rPr>
                <w:sz w:val="8"/>
                <w:szCs w:val="8"/>
              </w:rPr>
            </w:pPr>
          </w:p>
          <w:p>
            <w:pPr>
              <w:ind w:firstLine="567"/>
              <w:jc w:val="both"/>
              <w:rPr>
                <w:szCs w:val="24"/>
                <w:lang w:eastAsia="lt-LT"/>
              </w:rPr>
            </w:pPr>
            <w:r>
              <w:rPr>
                <w:szCs w:val="24"/>
                <w:lang w:eastAsia="lt-LT"/>
              </w:rPr>
              <w:t>123</w:t>
            </w:r>
          </w:p>
        </w:tc>
        <w:tc>
          <w:tcPr>
            <w:tcW w:w="6598" w:type="dxa"/>
            <w:tcBorders>
              <w:top w:val="single" w:sz="4" w:space="0" w:color="auto"/>
              <w:left w:val="single" w:sz="4" w:space="0" w:color="auto"/>
              <w:bottom w:val="single" w:sz="4" w:space="0" w:color="auto"/>
              <w:right w:val="single" w:sz="4" w:space="0" w:color="auto"/>
            </w:tcBorders>
            <w:vAlign w:val="bottom"/>
            <w:hideMark/>
          </w:tcPr>
          <w:p>
            <w:pPr>
              <w:rPr>
                <w:sz w:val="8"/>
                <w:szCs w:val="8"/>
              </w:rPr>
            </w:pPr>
          </w:p>
          <w:p>
            <w:pPr>
              <w:ind w:firstLine="567"/>
              <w:jc w:val="both"/>
              <w:rPr>
                <w:szCs w:val="24"/>
                <w:lang w:eastAsia="lt-LT"/>
              </w:rPr>
            </w:pPr>
            <w:r>
              <w:rPr>
                <w:szCs w:val="24"/>
                <w:lang w:eastAsia="lt-LT"/>
              </w:rPr>
              <w:t>Paskolintos ir negrąžintos lėšos (ne banko įstaigoms)</w:t>
            </w:r>
          </w:p>
        </w:tc>
      </w:tr>
    </w:tbl>
    <w:p>
      <w:pPr>
        <w:jc w:val="center"/>
        <w:rPr>
          <w:b/>
          <w:bCs/>
          <w:szCs w:val="24"/>
          <w:lang w:eastAsia="lt-LT"/>
        </w:rPr>
      </w:pPr>
    </w:p>
    <w:p>
      <w:pPr>
        <w:jc w:val="center"/>
      </w:pPr>
      <w:r>
        <w:rPr>
          <w:b/>
          <w:bCs/>
          <w:szCs w:val="24"/>
          <w:lang w:eastAsia="lt-LT"/>
        </w:rPr>
        <w:t>________________________</w:t>
      </w:r>
    </w:p>
    <w:p/>
    <w:p/>
    <w:p/>
    <w:p>
      <w:pPr>
        <w:pStyle w:val="PlainText"/>
        <w:rPr>
          <w:rFonts w:ascii="Times New Roman" w:eastAsia="MS Mincho" w:hAnsi="Times New Roman"/>
          <w:sz w:val="20"/>
          <w:b/>
          <w:iCs/>
        </w:rPr>
      </w:pPr>
      <w:r>
        <w:rPr>
          <w:rFonts w:ascii="Times New Roman" w:eastAsia="MS Mincho" w:hAnsi="Times New Roman"/>
          <w:sz w:val="20"/>
          <w:b/>
          <w:iCs/>
        </w:rPr>
        <w:t>Priedų pakeitimai:</w:t>
      </w:r>
    </w:p>
    <w:p/>
    <w:p>
      <w:pPr>
        <w:pStyle w:val="PlainText"/>
        <w:rPr>
          <w:rFonts w:ascii="Times New Roman" w:eastAsia="MS Mincho" w:hAnsi="Times New Roman"/>
          <w:sz w:val="20"/>
          <w:iCs/>
        </w:rPr>
      </w:pPr>
      <w:r>
        <w:rPr>
          <w:rFonts w:ascii="Times New Roman" w:eastAsia="MS Mincho" w:hAnsi="Times New Roman"/>
          <w:sz w:val="20"/>
          <w:iCs/>
        </w:rPr>
        <w:t>forma FR0858</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1cf10063fd11e4ab32a37dfc9a0878">
        <w:r w:rsidRPr="00532B9F">
          <w:rPr>
            <w:rFonts w:ascii="Times New Roman" w:eastAsia="MS Mincho" w:hAnsi="Times New Roman"/>
            <w:sz w:val="20"/>
            <w:i/>
            <w:iCs/>
            <w:color w:val="0000FF" w:themeColor="hyperlink"/>
            <w:u w:val="single"/>
          </w:rPr>
          <w:t>VA-127</w:t>
        </w:r>
      </w:fldSimple>
      <w:r>
        <w:rPr>
          <w:rFonts w:ascii="Times New Roman" w:eastAsia="MS Mincho" w:hAnsi="Times New Roman"/>
          <w:sz w:val="20"/>
          <w:i/>
          <w:iCs/>
        </w:rPr>
        <w:t>,
2014-11-04,
paskelbta TAR 2014-11-04, i. k. 2014-15637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30f9c10b7bf11e693eea1ef35f20da9">
        <w:r w:rsidRPr="00532B9F">
          <w:rPr>
            <w:rFonts w:ascii="Times New Roman" w:eastAsia="MS Mincho" w:hAnsi="Times New Roman"/>
            <w:sz w:val="20"/>
            <w:i/>
            <w:iCs/>
            <w:color w:val="0000FF" w:themeColor="hyperlink"/>
            <w:u w:val="single"/>
          </w:rPr>
          <w:t>VA-147</w:t>
        </w:r>
      </w:fldSimple>
      <w:r>
        <w:rPr>
          <w:rFonts w:ascii="Times New Roman" w:eastAsia="MS Mincho" w:hAnsi="Times New Roman"/>
          <w:sz w:val="20"/>
          <w:i/>
          <w:iCs/>
        </w:rPr>
        <w:t>,
2016-12-01,
paskelbta TAR 2016-12-01, i. k. 2016-27966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Valstybinė mokesčių inspekcija prie Lietuvos Respublikos finansų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f1cf10063fd11e4ab32a37dfc9a0878">
        <w:r w:rsidRPr="00532B9F">
          <w:rPr>
            <w:rFonts w:ascii="Times New Roman" w:eastAsia="MS Mincho" w:hAnsi="Times New Roman"/>
            <w:sz w:val="20"/>
            <w:iCs/>
            <w:color w:val="0000FF" w:themeColor="hyperlink"/>
            <w:u w:val="single"/>
          </w:rPr>
          <w:t>VA-127</w:t>
        </w:r>
      </w:fldSimple>
      <w:r>
        <w:rPr>
          <w:rFonts w:ascii="Times New Roman" w:eastAsia="MS Mincho" w:hAnsi="Times New Roman"/>
          <w:sz w:val="20"/>
          <w:iCs/>
        </w:rPr>
        <w:t>,
2014-11-04,
paskelbta TAR 2014-11-04, i. k. 2014-15637                </w:t>
      </w:r>
    </w:p>
    <w:p>
      <w:pPr>
        <w:jc w:val="both"/>
        <w:rPr>
          <w:rFonts w:ascii="Times New Roman" w:hAnsi="Times New Roman"/>
        </w:rPr>
      </w:pPr>
      <w:r>
        <w:rPr>
          <w:rFonts w:ascii="Times New Roman" w:hAnsi="Times New Roman"/>
          <w:sz w:val="20"/>
        </w:rPr>
        <w:t>Dėl Valstybinės mokesčių inspekcijos prie Lietuvos Respublikos finansų ministerijos viršininko 2003 m. gruodžio 17 d. įsakymo Nr. V-325 „Dėl Užsienio valstybėse paveldimo turto mokesčio deklaracijos bei jos papildomo lapo formų, jų pildymo ir teikimo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Valstybinė mokesčių inspekcija prie Lietuvos Respublikos finansų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30f9c10b7bf11e693eea1ef35f20da9">
        <w:r w:rsidRPr="00532B9F">
          <w:rPr>
            <w:rFonts w:ascii="Times New Roman" w:eastAsia="MS Mincho" w:hAnsi="Times New Roman"/>
            <w:sz w:val="20"/>
            <w:iCs/>
            <w:color w:val="0000FF" w:themeColor="hyperlink"/>
            <w:u w:val="single"/>
          </w:rPr>
          <w:t>VA-147</w:t>
        </w:r>
      </w:fldSimple>
      <w:r>
        <w:rPr>
          <w:rFonts w:ascii="Times New Roman" w:eastAsia="MS Mincho" w:hAnsi="Times New Roman"/>
          <w:sz w:val="20"/>
          <w:iCs/>
        </w:rPr>
        <w:t>,
2016-12-01,
paskelbta TAR 2016-12-01, i. k. 2016-27966                </w:t>
      </w:r>
    </w:p>
    <w:p>
      <w:pPr>
        <w:jc w:val="both"/>
        <w:rPr>
          <w:rFonts w:ascii="Times New Roman" w:hAnsi="Times New Roman"/>
        </w:rPr>
      </w:pPr>
      <w:r>
        <w:rPr>
          <w:rFonts w:ascii="Times New Roman" w:hAnsi="Times New Roman"/>
          <w:sz w:val="20"/>
        </w:rPr>
        <w:t>Dėl Valstybinės mokesčių inspekcijos prie Lietuvos Respublikos finansų ministerijos viršininko 2003 m. gruodžio 17 d. įsakymo Nr. V-325 „Dėl Užsienio valstybėse paveldimo turto mokesčio deklaracijos FR0585 formos, jos užpildymo ir pateikimo taisyklių patvirtinimo“ pakeitimo</w:t>
      </w:r>
    </w:p>
    <w:p>
      <w:pPr>
        <w:jc w:val="both"/>
        <w:rPr>
          <w:rFonts w:ascii="Times New Roman" w:hAnsi="Times New Roman"/>
          <w:sz w:val="20"/>
        </w:rPr>
      </w:pPr>
    </w:p>
    <w:p>
      <w:pPr>
        <w:widowControl w:val="0"/>
        <w:rPr>
          <w:rFonts w:ascii="Times New Roman" w:hAnsi="Times New Roman"/>
          <w:snapToGrid w:val="0"/>
        </w:rPr>
      </w:pPr>
    </w:p>
    <w:sectPr>
      <w:headerReference w:type="even" r:id="rId1"/>
      <w:headerReference w:type="default" r:id="rId2"/>
      <w:footerReference w:type="even" r:id="rId3"/>
      <w:footerReference w:type="default" r:id="rId4"/>
      <w:headerReference w:type="first" r:id="rId5"/>
      <w:footerReference w:type="first" r:id="rId6"/>
      <w:type w:val="oddPage"/>
      <w:pgSz w:w="11907" w:h="16839"/>
      <w:pgMar w:top="1134" w:right="567" w:bottom="1134" w:left="1701" w:header="567" w:footer="567" w:gutter="0"/>
      <w:cols w:space="1296"/>
      <w:titlePg/>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TimesLT">
    <w:altName w:val="Times New Roman"/>
    <w:charset w:val="BA"/>
    <w:family w:val="roman"/>
    <w:pitch w:val="variable"/>
    <w:sig w:usb0="E0002AFF" w:usb1="C0007841" w:usb2="00000009" w:usb3="00000000" w:csb0="000001F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4"/>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6"/>
  <w:hyphenationZone w:val="396"/>
  <w:doNotHyphenateCaps/>
  <w:drawingGridHorizontalSpacing w:val="18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8B0"/>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FF96BA3"/>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webSettings>
</file>

<file path=word/_rels/document.xml.rels><?xml version="1.0" encoding="UTF-8"?>

<Relationships xmlns="http://schemas.openxmlformats.org/package/2006/relationships">
  <Relationship Id="rId1" Type="http://schemas.openxmlformats.org/officeDocument/2006/relationships/header" Target="header4.xml"/>
  <Relationship Id="rId10" Type="http://schemas.openxmlformats.org/officeDocument/2006/relationships/settings" Target="settings.xml"/>
  <Relationship Id="rId11" Type="http://schemas.openxmlformats.org/officeDocument/2006/relationships/styles" Target="styles.xml"/>
  <Relationship Id="rId12" Type="http://schemas.microsoft.com/office/2007/relationships/stylesWithEffects" Target="stylesWithEffects.xml"/>
  <Relationship Id="rId13" Type="http://schemas.openxmlformats.org/officeDocument/2006/relationships/theme" Target="theme/theme1.xml"/>
  <Relationship Id="rId14" Type="http://schemas.openxmlformats.org/officeDocument/2006/relationships/webSettings" Target="webSettings.xml"/>
  <Relationship Id="rId15" Type="http://schemas.openxmlformats.org/officeDocument/2006/relationships/image" Target="media/image2.wmf"/>
  <Relationship Id="rId16" Type="http://schemas.openxmlformats.org/officeDocument/2006/relationships/control" Target="activeX/activeX2.xml"/>
  <Relationship Id="rId17" Type="http://schemas.openxmlformats.org/officeDocument/2006/relationships/hyperlink" TargetMode="External" Target="https://www.e-tar.lt/portal/lt/legalAct/TAR.077276F69388"/>
  <Relationship Id="rId18" Type="http://schemas.openxmlformats.org/officeDocument/2006/relationships/hyperlink" TargetMode="External" Target="https://www.e-tar.lt/portal/lt/legalAct/TAR.69AE693D1287"/>
  <Relationship Id="rId19" Type="http://schemas.openxmlformats.org/officeDocument/2006/relationships/hyperlink" TargetMode="External" Target="https://www.e-tar.lt/portal/lt/legalAct/TAR.87ADE53958E8"/>
  <Relationship Id="rId2" Type="http://schemas.openxmlformats.org/officeDocument/2006/relationships/header" Target="header5.xml"/>
  <Relationship Id="rId20" Type="http://schemas.openxmlformats.org/officeDocument/2006/relationships/hyperlink" TargetMode="External" Target="https://www.e-tar.lt/portal/lt/legalAct/TAR.88AB9A18D270"/>
  <Relationship Id="rId3" Type="http://schemas.openxmlformats.org/officeDocument/2006/relationships/footer" Target="footer4.xml"/>
  <Relationship Id="rId4" Type="http://schemas.openxmlformats.org/officeDocument/2006/relationships/footer" Target="footer5.xml"/>
  <Relationship Id="rId5" Type="http://schemas.openxmlformats.org/officeDocument/2006/relationships/header" Target="header6.xml"/>
  <Relationship Id="rId6" Type="http://schemas.openxmlformats.org/officeDocument/2006/relationships/footer" Target="footer6.xml"/>
  <Relationship Id="rId7" Type="http://schemas.openxmlformats.org/officeDocument/2006/relationships/endnotes" Target="endnotes.xml"/>
  <Relationship Id="rId8" Type="http://schemas.openxmlformats.org/officeDocument/2006/relationships/fontTable" Target="fontTable.xml"/>
  <Relationship Id="rId9" Type="http://schemas.openxmlformats.org/officeDocument/2006/relationships/footnotes" Target="footnotes.xml"/>
</Relationships>

</file>

<file path=word/activeX/_rels/activeX1.xml.rels><?xml version="1.0" encoding="UTF-8"?>

<Relationships xmlns="http://schemas.openxmlformats.org/package/2006/relationships">
  <Relationship Id="rId1" Type="http://schemas.microsoft.com/office/2006/relationships/activeXControlBinary" Target="activeX1.bin"/>
</Relationships>

</file>

<file path=word/activeX/_rels/activeX2.xml.rels><?xml version="1.0" encoding="UTF-8"?>

<Relationships xmlns="http://schemas.openxmlformats.org/package/2006/relationships">
  <Relationship Id="rId1" Type="http://schemas.microsoft.com/office/2006/relationships/activeXControlBinary" Target="activeX2.bin"/>
</Relationships>

</file>

<file path=word/activeX/activeX1.xml><?xml version="1.0" encoding="utf-8"?>
<ax:ocx xmlns:ax="http://schemas.microsoft.com/office/2006/activeX" xmlns:r="http://schemas.openxmlformats.org/officeDocument/2006/relationships" ax:classid="{868FBE40-B964-453C-BEA2-77F32F2C294F}" ax:persistence="persistStorage" r:id="rId1"/>
</file>

<file path=word/activeX/activeX2.xml><?xml version="1.0" encoding="utf-8"?>
<ax:ocx xmlns:ax="http://schemas.microsoft.com/office/2006/activeX" xmlns:r="http://schemas.openxmlformats.org/officeDocument/2006/relationships" ax:classid="{868FBE40-B964-453C-BEA2-77F32F2C294F}" ax:persistence="persistStorage" r:id="rId1"/>
</file>

<file path=word/glossary/_rels/document.xml.rels><?xml version="1.0" encoding="UTF-8"?>

<Relationships xmlns="http://schemas.openxmlformats.org/package/2006/relationships">
  <Relationship Id="rId1" Type="http://schemas.openxmlformats.org/officeDocument/2006/relationships/fontTable" Target="fontTable.xml"/>
  <Relationship Id="rId2" Type="http://schemas.openxmlformats.org/officeDocument/2006/relationships/settings" Target="settings.xml"/>
  <Relationship Id="rId3" Type="http://schemas.openxmlformats.org/officeDocument/2006/relationships/styles" Target="styles.xml"/>
  <Relationship Id="rId4" Type="http://schemas.microsoft.com/office/2007/relationships/stylesWithEffects" Target="stylesWithEffects.xml"/>
  <Relationship Id="rId5" Type="http://schemas.openxmlformats.org/officeDocument/2006/relationships/webSettings" Target="webSettings.xml"/>
</Relationships>

</file>

<file path=word/glossary/document.xml><?xml version="1.0" encoding="utf-8"?>
<w:glossary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Parts>
    <w:docPart>
      <w:docPartPr>
        <w:name w:val="DefaultPlaceholder_1082065158"/>
        <w:category>
          <w:name w:val="Bendrosios nuostatos"/>
          <w:gallery w:val="placeholder"/>
        </w:category>
        <w:types>
          <w:type w:val="bbPlcHdr"/>
        </w:types>
        <w:behaviors>
          <w:behavior w:val="content"/>
        </w:behaviors>
        <w:guid w:val="{BAA4066D-D2FB-4CFB-9881-837A58DB58CE}"/>
      </w:docPartPr>
      <w:docPartBody>
        <w:p>
          <w:r>
            <w:rPr>
              <w:rStyle w:val="Vietosrezervavimoenklotekstas"/>
            </w:rPr>
            <w:t>Spustelėkite čia, jei norite įvesti tekstą.</w:t>
          </w:r>
        </w:p>
      </w:docPartBody>
    </w:docPart>
  </w:docParts>
</w:glossaryDocument>
</file>

<file path=word/glossary/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TimesLT">
    <w:altName w:val="Times New Roman"/>
    <w:charset w:val="BA"/>
    <w:family w:val="roman"/>
    <w:pitch w:val="variable"/>
    <w:sig w:usb0="E0002AFF" w:usb1="C0007841" w:usb2="00000009" w:usb3="00000000" w:csb0="0000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glossary/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view w:val="normal"/>
  <w:defaultTabStop w:val="1296"/>
  <w:hyphenationZone w:val="396"/>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37A8"/>
    <w:rsid w:val="006714A8"/>
    <w:rsid w:val="00A637A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4:docId w14:val="64392C59"/>
</w:settings>
</file>

<file path=word/glossary/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A637A8"/>
    <w:rPr>
      <w:color w:val="808080"/>
    </w:rPr>
  </w:style>
</w:styles>
</file>

<file path=word/glossary/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A637A8"/>
    <w:rPr>
      <w:color w:val="808080"/>
    </w:rPr>
  </w:style>
</w:styles>
</file>

<file path=word/glossary/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Template>Normal.dotm</Template>
  <TotalTime>14</TotalTime>
  <Pages>23</Pages>
  <Words>43752</Words>
  <Characters>24940</Characters>
  <Application>Microsoft Office Word</Application>
  <DocSecurity>0</DocSecurity>
  <Lines>207</Lines>
  <Paragraphs>137</Paragraphs>
  <ScaleCrop>false</ScaleCrop>
  <Company/>
  <LinksUpToDate>false</LinksUpToDate>
  <CharactersWithSpaces>68555</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2016-03-16T13:17:00Z</dcterms:created>
  <dc:creator>Tadeuš Buivid</dc:creator>
  <lastModifiedBy>PAVKŠTELO Julita</lastModifiedBy>
  <dcterms:modified xsi:type="dcterms:W3CDTF">2016-12-07T08:35:00Z</dcterms:modified>
  <revision>8</revision>
</coreProperties>
</file>