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2019-02-28 iki 2022-06-30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D81A8F460425">
        <w:r w:rsidRPr="00532B9F">
          <w:rPr>
            <w:rFonts w:ascii="Times New Roman" w:eastAsia="MS Mincho" w:hAnsi="Times New Roman"/>
            <w:sz w:val="20"/>
            <w:i/>
            <w:iCs/>
            <w:color w:val="0000FF" w:themeColor="hyperlink"/>
            <w:u w:val="single"/>
          </w:rPr>
          <w:t>109-4906</w:t>
        </w:r>
      </w:fldSimple>
      <w:r>
        <w:rPr>
          <w:rFonts w:ascii="Times New Roman" w:eastAsia="MS Mincho" w:hAnsi="Times New Roman"/>
          <w:sz w:val="20"/>
          <w:i/>
          <w:iCs/>
        </w:rPr>
        <w:t>, i. k. 1032055ISAK000V-290</w:t>
      </w:r>
    </w:p>
    <w:p>
      <w:pPr>
        <w:jc w:val="both"/>
        <w:rPr>
          <w:rFonts w:ascii="Times New Roman" w:hAnsi="Times New Roman"/>
          <w:sz w:val="20"/>
        </w:rPr>
      </w:pPr>
    </w:p>
    <w:p>
      <w:pPr>
        <w:tabs>
          <w:tab w:val="center" w:pos="4153"/>
          <w:tab w:val="right" w:pos="8306"/>
        </w:tabs>
        <w:jc w:val="center"/>
        <w:rPr>
          <w:b/>
          <w:color w:val="000000"/>
          <w:lang w:eastAsia="lt-LT"/>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t>VALSTYBINĖS MOKESČIŲ INSPEKCIJOS PRIE LIETUVOS RESPUBLIKOS FINANSŲ MINISTERIJOS VIRŠININKO</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LOTERIJŲ IR LOŠIMŲ MOKESČIO DEKLARACIJŲ FORMŲ BEI JŲ PILDYMO TAISYKLIŲ PATVIRTINIMO</w:t>
      </w:r>
    </w:p>
    <w:p>
      <w:pPr>
        <w:jc w:val="center"/>
        <w:rPr>
          <w:color w:val="000000"/>
          <w:lang w:eastAsia="lt-LT"/>
        </w:rPr>
      </w:pPr>
    </w:p>
    <w:p>
      <w:pPr>
        <w:jc w:val="center"/>
        <w:rPr>
          <w:color w:val="000000"/>
          <w:lang w:eastAsia="lt-LT"/>
        </w:rPr>
      </w:pPr>
      <w:r>
        <w:rPr>
          <w:color w:val="000000"/>
          <w:lang w:eastAsia="lt-LT"/>
        </w:rPr>
        <w:t>2003 m. lapkričio 10 d. Nr. V-290</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r>
        <w:rPr>
          <w:color w:val="000000"/>
          <w:szCs w:val="22"/>
          <w:lang w:eastAsia="lt-LT"/>
        </w:rPr>
        <w:t xml:space="preserve">Vadovaudamasi Lietuvos Respublikos mokesčių administravimo įstatymu (Žin.,1995, Nr. </w:t>
      </w:r>
      <w:hyperlink r:id="rId11" w:tgtFrame="_blank" w:history="1">
        <w:r>
          <w:rPr>
            <w:color w:val="0000FF" w:themeColor="hyperlink"/>
            <w:szCs w:val="22"/>
            <w:u w:val="single"/>
            <w:lang w:eastAsia="lt-LT"/>
          </w:rPr>
          <w:t>61-1525</w:t>
        </w:r>
      </w:hyperlink>
      <w:r>
        <w:rPr>
          <w:color w:val="000000"/>
          <w:szCs w:val="22"/>
          <w:lang w:eastAsia="lt-LT"/>
        </w:rPr>
        <w:t xml:space="preserve">), Lietuvos Respublikos loterijų ir azartinių lošimų mokesčio įstatymu (Žin., 2001, Nr. </w:t>
      </w:r>
      <w:hyperlink r:id="rId12" w:tgtFrame="_blank" w:history="1">
        <w:r>
          <w:rPr>
            <w:color w:val="0000FF" w:themeColor="hyperlink"/>
            <w:szCs w:val="22"/>
            <w:u w:val="single"/>
            <w:lang w:eastAsia="lt-LT"/>
          </w:rPr>
          <w:t>43-1495</w:t>
        </w:r>
      </w:hyperlink>
      <w:r>
        <w:rPr>
          <w:color w:val="000000"/>
          <w:szCs w:val="22"/>
          <w:lang w:eastAsia="lt-LT"/>
        </w:rPr>
        <w:t xml:space="preserve">; 2003, Nr. </w:t>
      </w:r>
      <w:hyperlink r:id="rId13" w:tgtFrame="_blank" w:history="1">
        <w:r>
          <w:rPr>
            <w:color w:val="0000FF" w:themeColor="hyperlink"/>
            <w:szCs w:val="22"/>
            <w:u w:val="single"/>
            <w:lang w:eastAsia="lt-LT"/>
          </w:rPr>
          <w:t>73-3342</w:t>
        </w:r>
      </w:hyperlink>
      <w:r>
        <w:rPr>
          <w:color w:val="000000"/>
          <w:szCs w:val="22"/>
          <w:lang w:eastAsia="lt-LT"/>
        </w:rPr>
        <w:t xml:space="preserve">) bei Valstybinės mokesčių inspekcijos prie Finansų ministerijos nuostatų, patvirtintų Lietuvos Respublikos finansų ministro 1997 m. liepos 29 d. įsakymu Nr. 110 (Žin., 1997, Nr. </w:t>
      </w:r>
      <w:hyperlink r:id="rId14" w:tgtFrame="_blank" w:history="1">
        <w:r>
          <w:rPr>
            <w:color w:val="0000FF" w:themeColor="hyperlink"/>
            <w:szCs w:val="22"/>
            <w:u w:val="single"/>
            <w:lang w:eastAsia="lt-LT"/>
          </w:rPr>
          <w:t>87-2212</w:t>
        </w:r>
      </w:hyperlink>
      <w:r>
        <w:rPr>
          <w:color w:val="000000"/>
          <w:szCs w:val="22"/>
          <w:lang w:eastAsia="lt-LT"/>
        </w:rPr>
        <w:t xml:space="preserve">; 2001, Nr. </w:t>
      </w:r>
      <w:hyperlink r:id="rId15" w:tgtFrame="_blank" w:history="1">
        <w:r>
          <w:rPr>
            <w:color w:val="0000FF" w:themeColor="hyperlink"/>
            <w:szCs w:val="22"/>
            <w:u w:val="single"/>
            <w:lang w:eastAsia="lt-LT"/>
          </w:rPr>
          <w:t>85-2991</w:t>
        </w:r>
      </w:hyperlink>
      <w:r>
        <w:rPr>
          <w:color w:val="000000"/>
          <w:szCs w:val="22"/>
          <w:lang w:eastAsia="lt-LT"/>
        </w:rPr>
        <w:t xml:space="preserve">; 2002, Nr. </w:t>
      </w:r>
      <w:hyperlink r:id="rId16" w:tgtFrame="_blank" w:history="1">
        <w:r>
          <w:rPr>
            <w:color w:val="0000FF" w:themeColor="hyperlink"/>
            <w:szCs w:val="22"/>
            <w:u w:val="single"/>
            <w:lang w:eastAsia="lt-LT"/>
          </w:rPr>
          <w:t>20-786</w:t>
        </w:r>
      </w:hyperlink>
      <w:r>
        <w:rPr>
          <w:color w:val="000000"/>
          <w:szCs w:val="22"/>
          <w:lang w:eastAsia="lt-LT"/>
        </w:rPr>
        <w:t>), 18.11 punktu ir siekdama pagerinti loterijų bei lošimų mokesčio administravimą:</w:t>
      </w:r>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pacing w:val="20"/>
          <w:szCs w:val="22"/>
          <w:lang w:eastAsia="lt-LT"/>
        </w:rPr>
        <w:t xml:space="preserve"> </w:t>
      </w:r>
      <w:r>
        <w:rPr>
          <w:color w:val="000000"/>
          <w:szCs w:val="22"/>
          <w:lang w:eastAsia="lt-LT"/>
        </w:rPr>
        <w:t>pridedamas:</w:t>
      </w:r>
    </w:p>
    <w:p>
      <w:pPr>
        <w:ind w:firstLine="709"/>
        <w:jc w:val="both"/>
        <w:rPr>
          <w:color w:val="000000"/>
          <w:lang w:eastAsia="lt-LT"/>
        </w:rPr>
      </w:pPr>
      <w:r>
        <w:rPr>
          <w:color w:val="000000"/>
          <w:szCs w:val="22"/>
          <w:lang w:eastAsia="lt-LT"/>
        </w:rPr>
        <w:t>1.1</w:t>
      </w:r>
      <w:r>
        <w:rPr>
          <w:color w:val="000000"/>
          <w:szCs w:val="22"/>
          <w:lang w:eastAsia="lt-LT"/>
        </w:rPr>
        <w:t>. Loterijų verslo loterijų ir lošimų mokesčio deklaracijos FR0583 formą (toliau – FR0583 forma).</w:t>
      </w:r>
    </w:p>
    <w:p>
      <w:pPr>
        <w:ind w:firstLine="709"/>
        <w:jc w:val="both"/>
        <w:rPr>
          <w:color w:val="000000"/>
          <w:lang w:eastAsia="lt-LT"/>
        </w:rPr>
      </w:pPr>
      <w:r>
        <w:rPr>
          <w:color w:val="000000"/>
          <w:szCs w:val="22"/>
          <w:lang w:eastAsia="lt-LT"/>
        </w:rPr>
        <w:t>1.2</w:t>
      </w:r>
      <w:r>
        <w:rPr>
          <w:color w:val="000000"/>
          <w:szCs w:val="22"/>
          <w:lang w:eastAsia="lt-LT"/>
        </w:rPr>
        <w:t>. Azartinių lošimų verslo loterijų ir lošimų mokesčio deklaracijos FR0584 formą (toliau – FR0584 forma).</w:t>
      </w:r>
    </w:p>
    <w:p>
      <w:pPr>
        <w:ind w:firstLine="709"/>
        <w:jc w:val="both"/>
        <w:rPr>
          <w:color w:val="000000"/>
          <w:lang w:eastAsia="lt-LT"/>
        </w:rPr>
      </w:pPr>
      <w:r>
        <w:rPr>
          <w:color w:val="000000"/>
          <w:szCs w:val="22"/>
          <w:lang w:eastAsia="lt-LT"/>
        </w:rPr>
        <w:t>1.3</w:t>
      </w:r>
      <w:r>
        <w:rPr>
          <w:color w:val="000000"/>
          <w:szCs w:val="22"/>
          <w:lang w:eastAsia="lt-LT"/>
        </w:rPr>
        <w:t>. Loterijų verslo loterijų ir lošimų mokesčio deklaracijos FR0583 formos bei Azartinių lošimų verslo loterijų ir lošimų mokesčio deklaracijos FR0584 formos užpildymo taisykles (toliau – taisyklės).</w:t>
      </w:r>
    </w:p>
    <w:p>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Įsaka</w:t>
      </w:r>
      <w:r>
        <w:rPr>
          <w:color w:val="000000"/>
          <w:szCs w:val="22"/>
          <w:lang w:eastAsia="lt-LT"/>
        </w:rPr>
        <w:t>u:</w:t>
      </w:r>
    </w:p>
    <w:p>
      <w:pPr>
        <w:ind w:firstLine="709"/>
        <w:jc w:val="both"/>
        <w:rPr>
          <w:color w:val="000000"/>
          <w:lang w:eastAsia="lt-LT"/>
        </w:rPr>
      </w:pPr>
      <w:r>
        <w:rPr>
          <w:color w:val="000000"/>
          <w:szCs w:val="22"/>
          <w:lang w:eastAsia="lt-LT"/>
        </w:rPr>
        <w:t>2.1</w:t>
      </w:r>
      <w:r>
        <w:rPr>
          <w:color w:val="000000"/>
          <w:szCs w:val="22"/>
          <w:lang w:eastAsia="lt-LT"/>
        </w:rPr>
        <w:t>. Apskričių valstybinėms mokesčių inspekcijoms (toliau – AVMI) kontroliuoti, kad įmonės, nuo 2004-01-01 deklaruodamos loterijų ir lošimų mokestį, naudotų FR0583 formą bei FR0584 formą ir vadovautųsi taisyklėmis.</w:t>
      </w:r>
    </w:p>
    <w:p>
      <w:pPr>
        <w:ind w:firstLine="709"/>
        <w:jc w:val="both"/>
        <w:rPr>
          <w:color w:val="000000"/>
          <w:lang w:eastAsia="lt-LT"/>
        </w:rPr>
      </w:pPr>
      <w:r>
        <w:rPr>
          <w:color w:val="000000"/>
          <w:szCs w:val="22"/>
          <w:lang w:eastAsia="lt-LT"/>
        </w:rPr>
        <w:t>2.2</w:t>
      </w:r>
      <w:r>
        <w:rPr>
          <w:color w:val="000000"/>
          <w:szCs w:val="22"/>
          <w:lang w:eastAsia="lt-LT"/>
        </w:rPr>
        <w:t>. Valstybinės mokesčių inspekcijos prie Lietuvos Respublikos finansų ministerijos (toliau – Inspekcija) Duomenų valdymo skyriui, vadovaujantis Inspekcijos viršininko 1999 m. rugpjūčio 26 d. įsakymu Nr. 165 „Dėl Dokumentų formų registro“, FR0583 formą ir FR0584 formą įtraukti į Dokumentų formų registrą.</w:t>
      </w:r>
    </w:p>
    <w:p>
      <w:pPr>
        <w:ind w:firstLine="709"/>
        <w:jc w:val="both"/>
        <w:rPr>
          <w:color w:val="000000"/>
          <w:lang w:eastAsia="lt-LT"/>
        </w:rPr>
      </w:pPr>
      <w:r>
        <w:rPr>
          <w:color w:val="000000"/>
          <w:szCs w:val="22"/>
          <w:lang w:eastAsia="lt-LT"/>
        </w:rPr>
        <w:t>2.3</w:t>
      </w:r>
      <w:r>
        <w:rPr>
          <w:color w:val="000000"/>
          <w:szCs w:val="22"/>
          <w:lang w:eastAsia="lt-LT"/>
        </w:rPr>
        <w:t>. Inspekcijos Informacinių sistemų plėtros skyriui užtikrinti, kad iki 2004-03-01 būtų parengta programinė įranga FR0583 formoje ir FR0584 formoje pateiktiems duomenims apdoroti.</w:t>
      </w:r>
    </w:p>
    <w:p>
      <w:pPr>
        <w:ind w:firstLine="709"/>
        <w:jc w:val="both"/>
        <w:rPr>
          <w:color w:val="000000"/>
          <w:lang w:eastAsia="lt-LT"/>
        </w:rPr>
      </w:pPr>
      <w:r>
        <w:rPr>
          <w:color w:val="000000"/>
          <w:szCs w:val="22"/>
          <w:lang w:eastAsia="lt-LT"/>
        </w:rPr>
        <w:t>2.4</w:t>
      </w:r>
      <w:r>
        <w:rPr>
          <w:color w:val="000000"/>
          <w:szCs w:val="22"/>
          <w:lang w:eastAsia="lt-LT"/>
        </w:rPr>
        <w:t>. Inspekcijos Reikalų skyriui organizuoti FR0583 formos ir FR0584 formos blankų pagaminimą ir šiais blankais aprūpinti visas AVMI.</w:t>
      </w:r>
    </w:p>
    <w:p>
      <w:pPr>
        <w:ind w:firstLine="709"/>
        <w:jc w:val="both"/>
        <w:rPr>
          <w:color w:val="000000"/>
          <w:szCs w:val="22"/>
          <w:lang w:eastAsia="lt-LT"/>
        </w:rPr>
      </w:pPr>
      <w:r>
        <w:rPr>
          <w:color w:val="000000"/>
          <w:szCs w:val="22"/>
          <w:lang w:eastAsia="lt-LT"/>
        </w:rPr>
        <w:t>2.5</w:t>
      </w:r>
      <w:r>
        <w:rPr>
          <w:color w:val="000000"/>
          <w:szCs w:val="22"/>
          <w:lang w:eastAsia="lt-LT"/>
        </w:rPr>
        <w:t>. Inspekcijos viršininko pavaduotojams šio įsakymo vykdymą kontroliuoti pagal kuruojamus klausimus.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p>
    <w:p>
      <w:pPr>
        <w:tabs>
          <w:tab w:val="right" w:pos="9639"/>
        </w:tabs>
        <w:rPr>
          <w:caps/>
        </w:rPr>
      </w:pPr>
      <w:r>
        <w:rPr>
          <w:caps/>
        </w:rPr>
        <w:t>VIRŠININKĖ</w:t>
        <w:tab/>
        <w:t>VIOLETA LATVIENĖ</w:t>
      </w:r>
    </w:p>
    <w:p>
      <w:pPr>
        <w:ind w:left="3888" w:firstLine="426"/>
        <w:jc w:val="both"/>
        <w:sectPr>
          <w:headerReference w:type="even" r:id="rId17"/>
          <w:headerReference w:type="default" r:id="rId18"/>
          <w:footerReference w:type="even" r:id="rId19"/>
          <w:footerReference w:type="default" r:id="rId20"/>
          <w:headerReference w:type="first" r:id="rId21"/>
          <w:footerReference w:type="first" r:id="rId22"/>
          <w:type w:val="oddPage"/>
          <w:pgSz w:w="11907" w:h="16839"/>
          <w:pgMar w:top="1134" w:right="567" w:bottom="1134" w:left="1701" w:header="567" w:footer="567" w:gutter="0"/>
          <w:cols w:space="1296"/>
          <w:titlePg/>
          <w:docGrid w:linePitch="360"/>
        </w:sectPr>
      </w:pPr>
    </w:p>
    <w:p>
      <w:pPr>
        <w:ind w:left="3888" w:firstLine="426"/>
        <w:jc w:val="both"/>
        <w:rPr>
          <w:color w:val="000000"/>
          <w:szCs w:val="24"/>
          <w:lang w:eastAsia="lt-LT"/>
        </w:rPr>
      </w:pPr>
      <w:r>
        <w:rPr>
          <w:color w:val="000000"/>
          <w:szCs w:val="24"/>
          <w:lang w:eastAsia="lt-LT"/>
        </w:rPr>
        <w:t>PATVIRTINTA</w:t>
      </w:r>
    </w:p>
    <w:p>
      <w:pPr>
        <w:ind w:left="3888" w:firstLine="426"/>
        <w:jc w:val="both"/>
        <w:rPr>
          <w:szCs w:val="24"/>
          <w:lang w:eastAsia="lt-LT"/>
        </w:rPr>
      </w:pPr>
      <w:r>
        <w:rPr>
          <w:szCs w:val="24"/>
          <w:lang w:eastAsia="lt-LT"/>
        </w:rPr>
        <w:t>Valstybinės mokesčių inspekcijos prie</w:t>
      </w:r>
    </w:p>
    <w:p>
      <w:pPr>
        <w:ind w:left="3888" w:firstLine="426"/>
        <w:jc w:val="both"/>
        <w:rPr>
          <w:szCs w:val="24"/>
          <w:lang w:eastAsia="lt-LT"/>
        </w:rPr>
      </w:pPr>
      <w:r>
        <w:rPr>
          <w:szCs w:val="24"/>
          <w:lang w:eastAsia="lt-LT"/>
        </w:rPr>
        <w:t>Lietuvos Respublikos finansų ministerijos viršininko</w:t>
      </w:r>
    </w:p>
    <w:p>
      <w:pPr>
        <w:ind w:left="3888" w:firstLine="426"/>
        <w:jc w:val="both"/>
        <w:rPr>
          <w:szCs w:val="24"/>
          <w:lang w:eastAsia="lt-LT"/>
        </w:rPr>
      </w:pPr>
      <w:r>
        <w:rPr>
          <w:szCs w:val="24"/>
          <w:lang w:eastAsia="lt-LT"/>
        </w:rPr>
        <w:t>2003 m. lapkričio 10 d. įsakymu Nr. V-290</w:t>
      </w:r>
    </w:p>
    <w:p>
      <w:pPr>
        <w:ind w:left="3888" w:firstLine="426"/>
        <w:jc w:val="both"/>
        <w:rPr>
          <w:szCs w:val="24"/>
          <w:lang w:eastAsia="lt-LT"/>
        </w:rPr>
      </w:pPr>
      <w:r>
        <w:rPr>
          <w:szCs w:val="24"/>
          <w:lang w:eastAsia="lt-LT"/>
        </w:rPr>
        <w:t>(Valstybinės mokesčių inspekcijos prie</w:t>
      </w:r>
    </w:p>
    <w:p>
      <w:pPr>
        <w:ind w:left="3888" w:firstLine="426"/>
        <w:jc w:val="both"/>
        <w:rPr>
          <w:szCs w:val="24"/>
          <w:lang w:eastAsia="lt-LT"/>
        </w:rPr>
      </w:pPr>
      <w:r>
        <w:rPr>
          <w:szCs w:val="24"/>
          <w:lang w:eastAsia="lt-LT"/>
        </w:rPr>
        <w:t>Lietuvos Respublikos finansų ministerijos viršininko</w:t>
      </w:r>
    </w:p>
    <w:p>
      <w:pPr>
        <w:ind w:left="3888" w:firstLine="426"/>
        <w:jc w:val="both"/>
        <w:rPr>
          <w:szCs w:val="24"/>
          <w:lang w:eastAsia="lt-LT"/>
        </w:rPr>
      </w:pPr>
      <w:r>
        <w:rPr>
          <w:szCs w:val="24"/>
          <w:lang w:eastAsia="lt-LT"/>
        </w:rPr>
        <w:t>2016 m. kovo 15 d. įsakymo Nr. VA-23 redakcija)</w:t>
      </w:r>
    </w:p>
    <w:p>
      <w:pPr>
        <w:ind w:firstLine="486"/>
        <w:jc w:val="both"/>
        <w:rPr>
          <w:b/>
          <w:bCs/>
          <w:szCs w:val="24"/>
          <w:lang w:eastAsia="lt-LT"/>
        </w:rPr>
      </w:pPr>
    </w:p>
    <w:p>
      <w:pPr>
        <w:ind w:firstLine="426"/>
        <w:jc w:val="both"/>
        <w:rPr>
          <w:b/>
          <w:bCs/>
          <w:szCs w:val="24"/>
          <w:lang w:eastAsia="lt-LT"/>
        </w:rPr>
      </w:pPr>
    </w:p>
    <w:p>
      <w:pPr>
        <w:ind w:firstLine="426"/>
        <w:jc w:val="center"/>
        <w:rPr>
          <w:szCs w:val="24"/>
          <w:lang w:eastAsia="lt-LT"/>
        </w:rPr>
      </w:pPr>
      <w:r>
        <w:rPr>
          <w:b/>
          <w:bCs/>
          <w:szCs w:val="24"/>
          <w:lang w:eastAsia="lt-LT"/>
        </w:rPr>
        <w:t>LOTERIJŲ VERSLO LOTERIJŲ IR LOŠIMŲ MOKESČIO DEKLARACIJOS FR0583 FORMOS BEI AZARTINIŲ LOŠIMŲ VERSLO LOTERIJŲ IR LOŠIMŲ MOKESČIO DEKLARACIJOS FR0584 FORMOS UŽPILDYMO TAISYKLĖS</w:t>
      </w:r>
    </w:p>
    <w:p>
      <w:pPr>
        <w:rPr>
          <w:szCs w:val="24"/>
          <w:lang w:eastAsia="lt-LT"/>
        </w:rPr>
      </w:pPr>
    </w:p>
    <w:p>
      <w:pPr>
        <w:rPr>
          <w:szCs w:val="24"/>
          <w:lang w:eastAsia="lt-LT"/>
        </w:rPr>
      </w:pPr>
    </w:p>
    <w:p>
      <w:pPr>
        <w:ind w:firstLine="426"/>
        <w:jc w:val="center"/>
        <w:rPr>
          <w:szCs w:val="24"/>
          <w:lang w:eastAsia="lt-LT"/>
        </w:rPr>
      </w:pPr>
      <w:r>
        <w:rPr>
          <w:b/>
          <w:bCs/>
          <w:szCs w:val="24"/>
          <w:lang w:eastAsia="lt-LT"/>
        </w:rPr>
        <w:t>I</w:t>
      </w:r>
      <w:r>
        <w:rPr>
          <w:b/>
          <w:bCs/>
          <w:szCs w:val="24"/>
          <w:lang w:eastAsia="lt-LT"/>
        </w:rPr>
        <w:t xml:space="preserve"> SKYRIUS</w:t>
      </w:r>
    </w:p>
    <w:p>
      <w:pPr>
        <w:ind w:firstLine="426"/>
        <w:jc w:val="center"/>
        <w:rPr>
          <w:szCs w:val="24"/>
          <w:lang w:eastAsia="lt-LT"/>
        </w:rPr>
      </w:pPr>
      <w:r>
        <w:rPr>
          <w:b/>
          <w:bCs/>
          <w:szCs w:val="24"/>
          <w:lang w:eastAsia="lt-LT"/>
        </w:rPr>
        <w:t>BENDROSIOS NUOSTATOS</w:t>
      </w:r>
    </w:p>
    <w:p>
      <w:pPr>
        <w:ind w:firstLine="486"/>
        <w:jc w:val="both"/>
        <w:rPr>
          <w:szCs w:val="24"/>
          <w:lang w:eastAsia="lt-LT"/>
        </w:rPr>
      </w:pPr>
    </w:p>
    <w:p>
      <w:pPr>
        <w:ind w:firstLine="709"/>
        <w:jc w:val="both"/>
        <w:rPr>
          <w:szCs w:val="24"/>
          <w:lang w:eastAsia="lt-LT"/>
        </w:rPr>
      </w:pPr>
      <w:r>
        <w:rPr>
          <w:szCs w:val="24"/>
          <w:lang w:eastAsia="lt-LT"/>
        </w:rPr>
        <w:t>1</w:t>
      </w:r>
      <w:r>
        <w:rPr>
          <w:szCs w:val="24"/>
          <w:lang w:eastAsia="lt-LT"/>
        </w:rPr>
        <w:t xml:space="preserve">. Loterijų verslo loterijų ir lošimų mokesčio deklaracijos FR0583 formos bei Azartinių lošimų verslo loterijų ir lošimų mokesčio deklaracijos FR0584 formos užpildymo taisyklės (toliau – Taisyklės) nustato Loterijų verslo loterijų ir lošimų mokesčio deklaracijos FR0583 formos (toliau – Loterijų mokesčio deklaracija) ir Azartinių lošimų verslo loterijų ir lošimų mokesčio deklaracijos FR0584 formos (toliau – Lošimų mokesčio deklaracija) užpildymo tvarką. </w:t>
      </w:r>
    </w:p>
    <w:p>
      <w:pPr>
        <w:ind w:firstLine="709"/>
        <w:jc w:val="both"/>
        <w:rPr>
          <w:szCs w:val="24"/>
          <w:lang w:eastAsia="lt-LT"/>
        </w:rPr>
      </w:pPr>
      <w:r>
        <w:rPr>
          <w:szCs w:val="24"/>
          <w:lang w:eastAsia="lt-LT"/>
        </w:rPr>
        <w:t>2</w:t>
      </w:r>
      <w:r>
        <w:rPr>
          <w:szCs w:val="24"/>
          <w:lang w:eastAsia="lt-LT"/>
        </w:rPr>
        <w:t>. Taisyklės parengtos, vadovaujantis Lietuvos Respublikos loterijų ir azartinių lošimų mokesčio įstatymu (toliau – Įstatymas) ir Lietuvos Respublikos mokesčių administravimo įstatymo (toliau – MAĮ) nuostatomis.</w:t>
      </w:r>
    </w:p>
    <w:p>
      <w:pPr>
        <w:ind w:firstLine="709"/>
        <w:jc w:val="both"/>
        <w:rPr>
          <w:szCs w:val="24"/>
          <w:lang w:eastAsia="lt-LT"/>
        </w:rPr>
      </w:pPr>
      <w:r>
        <w:rPr>
          <w:szCs w:val="24"/>
          <w:lang w:eastAsia="lt-LT"/>
        </w:rPr>
        <w:t>3</w:t>
      </w:r>
      <w:r>
        <w:rPr>
          <w:szCs w:val="24"/>
          <w:lang w:eastAsia="lt-LT"/>
        </w:rPr>
        <w:t xml:space="preserve">. Taisyklėse vartojamos sąvokos atitinka Įstatyme, MAĮ, Lietuvos Respublikos loterijų įstatyme bei Lietuvos Respublikos azartinių lošimų įstatyme vartojamas sąvokas. </w:t>
      </w:r>
    </w:p>
    <w:p>
      <w:pPr>
        <w:ind w:firstLine="709"/>
        <w:jc w:val="both"/>
        <w:rPr>
          <w:szCs w:val="24"/>
          <w:lang w:eastAsia="lt-LT"/>
        </w:rPr>
      </w:pPr>
      <w:r>
        <w:rPr>
          <w:szCs w:val="24"/>
          <w:lang w:eastAsia="lt-LT"/>
        </w:rPr>
        <w:t>4</w:t>
      </w:r>
      <w:r>
        <w:rPr>
          <w:szCs w:val="24"/>
          <w:lang w:eastAsia="lt-LT"/>
        </w:rPr>
        <w:t xml:space="preserve">. Loterijų ir lošimų mokesčio (toliau – mokestis) mokėtojai mokestinio laikotarpio (metų ketvirčio) mokestį privalo apskaičiuoti patys ir tinkamai užpildytą Loterijų mokesčio deklaraciją bei Lošimų mokesčio deklaraciją pateikti centriniam mokesčių administratoriui. Minėtos deklaracijos turi būti pateikiamos, kalendoriam metų ketvirčiui pasibaigus, iki kito metų ketvirčio pirmo mėnesio 15 dienos. </w:t>
      </w:r>
    </w:p>
    <w:p>
      <w:pPr>
        <w:ind w:firstLine="709"/>
        <w:jc w:val="both"/>
        <w:rPr>
          <w:rFonts w:ascii="Calibri" w:eastAsia="Calibri" w:hAnsi="Calibri"/>
          <w:sz w:val="22"/>
          <w:szCs w:val="22"/>
        </w:rPr>
      </w:pPr>
      <w:r>
        <w:rPr>
          <w:rFonts w:eastAsia="Calibri"/>
          <w:szCs w:val="24"/>
        </w:rPr>
        <w:t>5</w:t>
      </w:r>
      <w:r>
        <w:rPr>
          <w:rFonts w:eastAsia="Calibri"/>
          <w:szCs w:val="24"/>
        </w:rPr>
        <w:t>. Loterijas organizuojantys mokesčių mokėtojai Loterijų mokesčio deklaracijose nurodytą kiekvieno mokestinio laikotarpio mokesčio sumą turi sumokėti iki kito mokestinio laikotarpio pirmo mėnesio 15 dienos. Mokesčių mokėtojai, organizuojantys bingo, totalizatorių, lažybas, nuotolinius lošimus, Lošimų mokesčio deklaracijose nurodytą kiekvieno mokestinio laikotarpio mokestį taip pat turi sumokėti iki kito mokestinio laikotarpio pirmo mėnesio 15 dienos. Mokesčių mokėtojai, organizuojantys lošimus lošimo automatais ir stalo lošimus, tą mėnesį, kai išduodamas lošimų veiklos leidimas arba papildomas turimas lošimų veiklos leidimas, kuriame padidinamas lošimo įrenginių skaičius, arba pakeičiamas turimas lošimų veiklos leidimas, kuriame sumažinamas lošimo įrenginių skaičius, mokestį už kiekvieną tą mėnesį išduotame, papildytame ar pakeistame lošimų veiklos leidime nurodytą lošimo įrenginį apskaičiuoja už visą mėnesį, taikydami nustatytą fiksuotą mokesčio dydį, ir sumoka, pasibaigus kiekvienam mokestiniam laikotarpiui, iki kito mokestinio laikotarpio pirmo mėnesio 15 dienos.</w:t>
      </w:r>
    </w:p>
    <w:p>
      <w:pPr>
        <w:ind w:firstLine="709"/>
        <w:jc w:val="both"/>
        <w:rPr>
          <w:szCs w:val="24"/>
          <w:lang w:eastAsia="lt-LT"/>
        </w:rPr>
      </w:pPr>
      <w:r>
        <w:rPr>
          <w:szCs w:val="24"/>
          <w:lang w:eastAsia="lt-LT"/>
        </w:rPr>
        <w:t>Mokestis turi būti sumokamas į Valstybinės mokesčių inspekcijos prie Lietuvos Respublikos finansų ministerijos biudžeto pajamų surenkamąją sąskaitą.</w:t>
      </w:r>
    </w:p>
    <w:p>
      <w:pPr>
        <w:ind w:firstLine="709"/>
        <w:jc w:val="both"/>
        <w:rPr>
          <w:szCs w:val="24"/>
          <w:lang w:eastAsia="lt-LT"/>
        </w:rPr>
      </w:pPr>
      <w:r>
        <w:rPr>
          <w:szCs w:val="24"/>
          <w:lang w:eastAsia="lt-LT"/>
        </w:rPr>
        <w:t>6</w:t>
      </w:r>
      <w:r>
        <w:rPr>
          <w:szCs w:val="24"/>
          <w:lang w:eastAsia="lt-LT"/>
        </w:rPr>
        <w:t xml:space="preserve">. Deklaracijos turi būti teikiamos centrinio mokesčių administratoriaus nustatyta tvarka. </w:t>
      </w:r>
    </w:p>
    <w:p>
      <w:pPr>
        <w:ind w:right="-1" w:firstLine="709"/>
        <w:jc w:val="both"/>
        <w:rPr>
          <w:szCs w:val="24"/>
        </w:rPr>
      </w:pPr>
      <w:r>
        <w:t>7</w:t>
      </w:r>
      <w:r>
        <w:t>. Deklaracijos teikiamos, vadovaujantis Dokumentų elektroniniu būdu teikimo taisyklėmis, patvirtintomis Valstybinės mokesčių inspekcijos prie Lietuvos Respublikos finansų ministerijos viršininko 2010 m. liepos 21 d. įsakymu Nr. VA-83 „Dėl Dokumentų teikimo elektroniniu būdu taisyklių patvirtinimo.“</w:t>
      </w:r>
      <w:r>
        <w:rPr>
          <w:szCs w:val="24"/>
        </w:rPr>
        <w:t xml:space="preserve"> Elektroniniu būdu deklaracijos turi būti pateikiamos per Valstybinės mokesčių inspekcijos prie Lietuvos Respublikos finansų ministerijos (toliau – VMI prie FM) elektroninio deklaravimo sistemą (http://deklaravimas.vmi.lt).</w:t>
      </w:r>
    </w:p>
    <w:p>
      <w:pPr>
        <w:ind w:firstLine="769"/>
        <w:jc w:val="both"/>
        <w:rPr>
          <w:szCs w:val="24"/>
          <w:lang w:eastAsia="lt-LT"/>
        </w:rPr>
      </w:pPr>
    </w:p>
    <w:p>
      <w:pPr>
        <w:ind w:firstLine="709"/>
        <w:jc w:val="center"/>
        <w:rPr>
          <w:szCs w:val="24"/>
          <w:lang w:eastAsia="lt-LT"/>
        </w:rPr>
      </w:pPr>
      <w:r>
        <w:rPr>
          <w:b/>
          <w:bCs/>
          <w:szCs w:val="24"/>
          <w:lang w:eastAsia="lt-LT"/>
        </w:rPr>
        <w:t>II</w:t>
      </w:r>
      <w:r>
        <w:rPr>
          <w:b/>
          <w:bCs/>
          <w:szCs w:val="24"/>
          <w:lang w:eastAsia="lt-LT"/>
        </w:rPr>
        <w:t xml:space="preserve"> SKYRIUS</w:t>
      </w:r>
    </w:p>
    <w:p>
      <w:pPr>
        <w:ind w:firstLine="709"/>
        <w:jc w:val="center"/>
        <w:rPr>
          <w:szCs w:val="24"/>
          <w:lang w:eastAsia="lt-LT"/>
        </w:rPr>
      </w:pPr>
      <w:r>
        <w:rPr>
          <w:b/>
          <w:bCs/>
          <w:szCs w:val="24"/>
          <w:lang w:eastAsia="lt-LT"/>
        </w:rPr>
        <w:t>LOTERIJŲ VERSLO LOTERIJŲ IR LOŠIMŲ MOKESČIO DEKLARACIJOS FR0583 UŽPILDYMAS</w:t>
      </w:r>
    </w:p>
    <w:p>
      <w:pPr>
        <w:ind w:firstLine="769"/>
        <w:jc w:val="both"/>
        <w:rPr>
          <w:szCs w:val="24"/>
          <w:lang w:eastAsia="lt-LT"/>
        </w:rPr>
      </w:pPr>
    </w:p>
    <w:p>
      <w:pPr>
        <w:ind w:firstLine="709"/>
        <w:jc w:val="both"/>
        <w:rPr>
          <w:szCs w:val="24"/>
          <w:lang w:eastAsia="lt-LT"/>
        </w:rPr>
      </w:pPr>
      <w:r>
        <w:rPr>
          <w:szCs w:val="24"/>
          <w:lang w:eastAsia="lt-LT"/>
        </w:rPr>
        <w:t>8</w:t>
      </w:r>
      <w:r>
        <w:rPr>
          <w:szCs w:val="24"/>
          <w:lang w:eastAsia="lt-LT"/>
        </w:rPr>
        <w:t xml:space="preserve">. Šios deklaracijos </w:t>
      </w:r>
      <w:r>
        <w:rPr>
          <w:b/>
          <w:szCs w:val="24"/>
          <w:lang w:eastAsia="lt-LT"/>
        </w:rPr>
        <w:t>1 laukelyje</w:t>
      </w:r>
      <w:r>
        <w:rPr>
          <w:b/>
          <w:bCs/>
          <w:szCs w:val="24"/>
          <w:lang w:eastAsia="lt-LT"/>
        </w:rPr>
        <w:t xml:space="preserve"> </w:t>
      </w:r>
      <w:r>
        <w:rPr>
          <w:szCs w:val="24"/>
          <w:lang w:eastAsia="lt-LT"/>
        </w:rPr>
        <w:t>turi būti</w:t>
      </w:r>
      <w:r>
        <w:rPr>
          <w:b/>
          <w:bCs/>
          <w:szCs w:val="24"/>
          <w:lang w:eastAsia="lt-LT"/>
        </w:rPr>
        <w:t xml:space="preserve"> </w:t>
      </w:r>
      <w:r>
        <w:rPr>
          <w:szCs w:val="24"/>
          <w:lang w:eastAsia="lt-LT"/>
        </w:rPr>
        <w:t xml:space="preserve">įrašomas mokesčių mokėtojui suteiktas identifikacinis numeris (kodas). </w:t>
      </w:r>
    </w:p>
    <w:p>
      <w:pPr>
        <w:ind w:firstLine="709"/>
        <w:jc w:val="both"/>
        <w:rPr>
          <w:szCs w:val="24"/>
          <w:lang w:eastAsia="lt-LT"/>
        </w:rPr>
      </w:pPr>
      <w:r>
        <w:rPr>
          <w:szCs w:val="24"/>
          <w:lang w:eastAsia="lt-LT"/>
        </w:rPr>
        <w:t>9</w:t>
      </w:r>
      <w:r>
        <w:rPr>
          <w:szCs w:val="24"/>
          <w:lang w:eastAsia="lt-LT"/>
        </w:rPr>
        <w:t xml:space="preserve">. </w:t>
      </w:r>
      <w:r>
        <w:rPr>
          <w:b/>
          <w:szCs w:val="24"/>
          <w:lang w:eastAsia="lt-LT"/>
        </w:rPr>
        <w:t>2 laukelyje</w:t>
      </w:r>
      <w:r>
        <w:rPr>
          <w:b/>
          <w:bCs/>
          <w:szCs w:val="24"/>
          <w:lang w:eastAsia="lt-LT"/>
        </w:rPr>
        <w:t xml:space="preserve"> </w:t>
      </w:r>
      <w:r>
        <w:rPr>
          <w:szCs w:val="24"/>
          <w:lang w:eastAsia="lt-LT"/>
        </w:rPr>
        <w:t xml:space="preserve">– mokesčių mokėtojo pavadinimas. </w:t>
      </w:r>
    </w:p>
    <w:p>
      <w:pPr>
        <w:ind w:firstLine="709"/>
        <w:jc w:val="both"/>
        <w:rPr>
          <w:szCs w:val="24"/>
          <w:lang w:eastAsia="lt-LT"/>
        </w:rPr>
      </w:pPr>
      <w:r>
        <w:rPr>
          <w:szCs w:val="24"/>
          <w:lang w:eastAsia="lt-LT"/>
        </w:rPr>
        <w:t>10</w:t>
      </w:r>
      <w:r>
        <w:rPr>
          <w:szCs w:val="24"/>
          <w:lang w:eastAsia="lt-LT"/>
        </w:rPr>
        <w:t xml:space="preserve">. </w:t>
      </w:r>
      <w:r>
        <w:rPr>
          <w:b/>
          <w:szCs w:val="24"/>
          <w:lang w:eastAsia="lt-LT"/>
        </w:rPr>
        <w:t>3–6 laukeliai</w:t>
      </w:r>
      <w:r>
        <w:rPr>
          <w:szCs w:val="24"/>
          <w:lang w:eastAsia="lt-LT"/>
        </w:rPr>
        <w:t xml:space="preserve"> neužpildomi. </w:t>
      </w:r>
    </w:p>
    <w:p>
      <w:pPr>
        <w:ind w:firstLine="709"/>
        <w:jc w:val="both"/>
        <w:rPr>
          <w:szCs w:val="24"/>
          <w:lang w:eastAsia="lt-LT"/>
        </w:rPr>
      </w:pPr>
      <w:r>
        <w:rPr>
          <w:szCs w:val="24"/>
          <w:lang w:eastAsia="lt-LT"/>
        </w:rPr>
        <w:t>11</w:t>
      </w:r>
      <w:r>
        <w:rPr>
          <w:szCs w:val="24"/>
          <w:lang w:eastAsia="lt-LT"/>
        </w:rPr>
        <w:t xml:space="preserve">. </w:t>
      </w:r>
      <w:r>
        <w:rPr>
          <w:b/>
          <w:szCs w:val="24"/>
          <w:lang w:eastAsia="lt-LT"/>
        </w:rPr>
        <w:t>7 laukelyje</w:t>
      </w:r>
      <w:r>
        <w:rPr>
          <w:szCs w:val="24"/>
          <w:lang w:eastAsia="lt-LT"/>
        </w:rPr>
        <w:t xml:space="preserve"> turi būti įrašyta deklaracijos užpildymo data (metai, mėnuo, diena).</w:t>
      </w:r>
    </w:p>
    <w:p>
      <w:pPr>
        <w:ind w:firstLine="709"/>
        <w:jc w:val="both"/>
        <w:rPr>
          <w:szCs w:val="24"/>
          <w:lang w:eastAsia="lt-LT"/>
        </w:rPr>
      </w:pPr>
      <w:r>
        <w:rPr>
          <w:szCs w:val="24"/>
          <w:lang w:eastAsia="lt-LT"/>
        </w:rPr>
        <w:t>12</w:t>
      </w:r>
      <w:r>
        <w:rPr>
          <w:szCs w:val="24"/>
          <w:lang w:eastAsia="lt-LT"/>
        </w:rPr>
        <w:t xml:space="preserve">. </w:t>
      </w:r>
      <w:r>
        <w:rPr>
          <w:b/>
          <w:szCs w:val="24"/>
          <w:lang w:eastAsia="lt-LT"/>
        </w:rPr>
        <w:t>8 laukelyje</w:t>
      </w:r>
      <w:r>
        <w:rPr>
          <w:szCs w:val="24"/>
          <w:lang w:eastAsia="lt-LT"/>
        </w:rPr>
        <w:t xml:space="preserve"> – mokestinis laikotarpis (atitinkami metai ir tų metų kalendorinis ketvirtis), kurio mokestis deklaruojamas.</w:t>
      </w:r>
    </w:p>
    <w:p>
      <w:pPr>
        <w:ind w:right="-1050" w:firstLine="709"/>
        <w:jc w:val="both"/>
        <w:rPr>
          <w:bCs/>
        </w:rPr>
      </w:pPr>
      <w:r>
        <w:t>13</w:t>
      </w:r>
      <w:r>
        <w:t xml:space="preserve">. </w:t>
      </w:r>
      <w:r>
        <w:rPr>
          <w:b/>
        </w:rPr>
        <w:t>9 laukelyje</w:t>
      </w:r>
      <w:r>
        <w:rPr>
          <w:bCs/>
        </w:rPr>
        <w:t xml:space="preserve"> „x“ ženklu turi būti pažymima, ar tų ataskaitinių metų FR0583 forma </w:t>
      </w:r>
    </w:p>
    <w:p>
      <w:pPr>
        <w:ind w:right="-1050"/>
        <w:jc w:val="both"/>
        <w:rPr>
          <w:bCs/>
        </w:rPr>
      </w:pPr>
      <w:r>
        <w:rPr>
          <w:bCs/>
        </w:rPr>
        <w:t>teikiama pirmą kartą („pirminė forma“), ar ji yra patikslinta („patikslinta“).</w:t>
      </w:r>
    </w:p>
    <w:p>
      <w:pPr>
        <w:jc w:val="both"/>
        <w:rPr>
          <w:szCs w:val="24"/>
          <w:lang w:eastAsia="lt-LT"/>
        </w:rPr>
      </w:pPr>
    </w:p>
    <w:p>
      <w:pPr>
        <w:ind w:firstLine="709"/>
        <w:jc w:val="center"/>
        <w:rPr>
          <w:szCs w:val="24"/>
          <w:lang w:eastAsia="lt-LT"/>
        </w:rPr>
      </w:pPr>
      <w:r>
        <w:rPr>
          <w:b/>
          <w:bCs/>
          <w:szCs w:val="24"/>
          <w:lang w:eastAsia="lt-LT"/>
        </w:rPr>
        <w:t>Deklaracijos FR0583 A dalies užpildymas</w:t>
      </w:r>
    </w:p>
    <w:p>
      <w:pPr>
        <w:ind w:firstLine="709"/>
        <w:jc w:val="center"/>
        <w:rPr>
          <w:szCs w:val="24"/>
          <w:lang w:eastAsia="lt-LT"/>
        </w:rPr>
      </w:pPr>
    </w:p>
    <w:p>
      <w:pPr>
        <w:ind w:firstLine="709"/>
        <w:jc w:val="both"/>
        <w:rPr>
          <w:szCs w:val="24"/>
          <w:lang w:eastAsia="lt-LT"/>
        </w:rPr>
      </w:pPr>
      <w:r>
        <w:rPr>
          <w:szCs w:val="24"/>
          <w:lang w:eastAsia="lt-LT"/>
        </w:rPr>
        <w:t>14</w:t>
      </w:r>
      <w:r>
        <w:rPr>
          <w:szCs w:val="24"/>
          <w:lang w:eastAsia="lt-LT"/>
        </w:rPr>
        <w:t xml:space="preserve">. </w:t>
      </w:r>
      <w:r>
        <w:rPr>
          <w:b/>
          <w:szCs w:val="24"/>
          <w:lang w:eastAsia="lt-LT"/>
        </w:rPr>
        <w:t>10 laukelyje</w:t>
      </w:r>
      <w:r>
        <w:rPr>
          <w:szCs w:val="24"/>
          <w:lang w:eastAsia="lt-LT"/>
        </w:rPr>
        <w:t xml:space="preserve"> turi būti įrašoma didžiųjų loterijų mokesčio bazė (per mokestinį laikotarpį išplatintų loterijos bilietų nominali vertė). </w:t>
      </w:r>
    </w:p>
    <w:p>
      <w:pPr>
        <w:ind w:firstLine="709"/>
        <w:jc w:val="both"/>
        <w:rPr>
          <w:szCs w:val="24"/>
          <w:lang w:eastAsia="lt-LT"/>
        </w:rPr>
      </w:pPr>
      <w:r>
        <w:rPr>
          <w:szCs w:val="24"/>
          <w:lang w:eastAsia="lt-LT"/>
        </w:rPr>
        <w:t>15</w:t>
      </w:r>
      <w:r>
        <w:rPr>
          <w:szCs w:val="24"/>
          <w:lang w:eastAsia="lt-LT"/>
        </w:rPr>
        <w:t xml:space="preserve">. </w:t>
      </w:r>
      <w:r>
        <w:rPr>
          <w:b/>
          <w:szCs w:val="24"/>
          <w:lang w:eastAsia="lt-LT"/>
        </w:rPr>
        <w:t>11 laukelyje</w:t>
      </w:r>
      <w:r>
        <w:rPr>
          <w:b/>
          <w:bCs/>
          <w:szCs w:val="24"/>
          <w:lang w:eastAsia="lt-LT"/>
        </w:rPr>
        <w:t xml:space="preserve"> </w:t>
      </w:r>
      <w:r>
        <w:rPr>
          <w:szCs w:val="24"/>
          <w:lang w:eastAsia="lt-LT"/>
        </w:rPr>
        <w:t>− Įstatyme nustatytas loterijų mokesčio tarifas (proc.).</w:t>
      </w:r>
    </w:p>
    <w:p>
      <w:pPr>
        <w:ind w:firstLine="709"/>
        <w:jc w:val="both"/>
        <w:rPr>
          <w:szCs w:val="24"/>
          <w:lang w:eastAsia="lt-LT"/>
        </w:rPr>
      </w:pPr>
      <w:r>
        <w:rPr>
          <w:szCs w:val="24"/>
          <w:lang w:eastAsia="lt-LT"/>
        </w:rPr>
        <w:t>16</w:t>
      </w:r>
      <w:r>
        <w:rPr>
          <w:szCs w:val="24"/>
          <w:lang w:eastAsia="lt-LT"/>
        </w:rPr>
        <w:t xml:space="preserve">. </w:t>
      </w:r>
      <w:r>
        <w:rPr>
          <w:b/>
          <w:szCs w:val="24"/>
          <w:lang w:eastAsia="lt-LT"/>
        </w:rPr>
        <w:t>12 laukelyje</w:t>
      </w:r>
      <w:r>
        <w:rPr>
          <w:szCs w:val="24"/>
          <w:lang w:eastAsia="lt-LT"/>
        </w:rPr>
        <w:t xml:space="preserve"> − mokesčio suma (10 laukelis x 11 laukelio / 100).</w:t>
      </w:r>
    </w:p>
    <w:p>
      <w:pPr>
        <w:ind w:firstLine="769"/>
        <w:jc w:val="both"/>
        <w:rPr>
          <w:szCs w:val="24"/>
          <w:lang w:eastAsia="lt-LT"/>
        </w:rPr>
      </w:pPr>
    </w:p>
    <w:p>
      <w:pPr>
        <w:ind w:firstLine="709"/>
        <w:jc w:val="center"/>
        <w:rPr>
          <w:szCs w:val="24"/>
          <w:lang w:eastAsia="lt-LT"/>
        </w:rPr>
      </w:pPr>
      <w:r>
        <w:rPr>
          <w:b/>
          <w:bCs/>
          <w:szCs w:val="24"/>
          <w:lang w:eastAsia="lt-LT"/>
        </w:rPr>
        <w:t>Deklaracijos FR0583 B dalies užpildymas</w:t>
      </w:r>
    </w:p>
    <w:p>
      <w:pPr>
        <w:ind w:firstLine="769"/>
        <w:jc w:val="both"/>
        <w:rPr>
          <w:szCs w:val="24"/>
          <w:lang w:eastAsia="lt-LT"/>
        </w:rPr>
      </w:pPr>
    </w:p>
    <w:p>
      <w:pPr>
        <w:ind w:firstLine="709"/>
        <w:jc w:val="both"/>
        <w:rPr>
          <w:szCs w:val="24"/>
          <w:lang w:eastAsia="lt-LT"/>
        </w:rPr>
      </w:pPr>
      <w:r>
        <w:rPr>
          <w:szCs w:val="24"/>
          <w:lang w:eastAsia="lt-LT"/>
        </w:rPr>
        <w:t>17</w:t>
      </w:r>
      <w:r>
        <w:rPr>
          <w:szCs w:val="24"/>
          <w:lang w:eastAsia="lt-LT"/>
        </w:rPr>
        <w:t xml:space="preserve">. </w:t>
      </w:r>
      <w:r>
        <w:rPr>
          <w:b/>
          <w:szCs w:val="24"/>
          <w:lang w:eastAsia="lt-LT"/>
        </w:rPr>
        <w:t>13 laukelyje</w:t>
      </w:r>
      <w:r>
        <w:rPr>
          <w:szCs w:val="24"/>
          <w:lang w:eastAsia="lt-LT"/>
        </w:rPr>
        <w:t xml:space="preserve"> turi būti įrašomas eilės numeris.</w:t>
      </w:r>
    </w:p>
    <w:p>
      <w:pPr>
        <w:ind w:firstLine="709"/>
        <w:jc w:val="both"/>
        <w:rPr>
          <w:szCs w:val="24"/>
          <w:lang w:eastAsia="lt-LT"/>
        </w:rPr>
      </w:pPr>
      <w:r>
        <w:rPr>
          <w:szCs w:val="24"/>
          <w:lang w:eastAsia="lt-LT"/>
        </w:rPr>
        <w:t>18</w:t>
      </w:r>
      <w:r>
        <w:rPr>
          <w:szCs w:val="24"/>
          <w:lang w:eastAsia="lt-LT"/>
        </w:rPr>
        <w:t xml:space="preserve">. </w:t>
      </w:r>
      <w:r>
        <w:rPr>
          <w:b/>
          <w:szCs w:val="24"/>
          <w:lang w:eastAsia="lt-LT"/>
        </w:rPr>
        <w:t>14 laukelyje</w:t>
      </w:r>
      <w:r>
        <w:rPr>
          <w:szCs w:val="24"/>
          <w:lang w:eastAsia="lt-LT"/>
        </w:rPr>
        <w:t xml:space="preserve"> − savivaldybės, kurios teritorijoje buvo organizuota mažoji loterija, kodas iš savivaldybių kodų sąrašo, nurodyto Taisyklių priede.</w:t>
      </w:r>
      <w:r>
        <w:rPr>
          <w:b/>
          <w:szCs w:val="24"/>
          <w:lang w:eastAsia="lt-LT"/>
        </w:rPr>
        <w:t xml:space="preserve"> </w:t>
      </w:r>
      <w:r>
        <w:rPr>
          <w:szCs w:val="24"/>
          <w:lang w:eastAsia="lt-LT"/>
        </w:rPr>
        <w:t>Jeigu mažosios loterijos tą patį mokestinį laikotarpį buvo organizuotos kelių savivaldybių teritorijose, tai deklaracijoje turi būti nurodomos visos savivaldybės (tų savivaldybių kodai). Jeigu pagrindinėje deklaracijoje visoms savivaldybėms nurodyti laukelių neužtenka, turi būti užpildomas papildomas deklaracijos lapas.</w:t>
      </w:r>
    </w:p>
    <w:p>
      <w:pPr>
        <w:ind w:firstLine="709"/>
        <w:jc w:val="both"/>
        <w:rPr>
          <w:szCs w:val="24"/>
          <w:lang w:eastAsia="lt-LT"/>
        </w:rPr>
      </w:pPr>
      <w:r>
        <w:rPr>
          <w:szCs w:val="24"/>
          <w:lang w:eastAsia="lt-LT"/>
        </w:rPr>
        <w:t>19</w:t>
      </w:r>
      <w:r>
        <w:rPr>
          <w:szCs w:val="24"/>
          <w:lang w:eastAsia="lt-LT"/>
        </w:rPr>
        <w:t xml:space="preserve">. </w:t>
      </w:r>
      <w:r>
        <w:rPr>
          <w:b/>
          <w:szCs w:val="24"/>
          <w:lang w:eastAsia="lt-LT"/>
        </w:rPr>
        <w:t>15 laukelyje</w:t>
      </w:r>
      <w:r>
        <w:rPr>
          <w:szCs w:val="24"/>
          <w:lang w:eastAsia="lt-LT"/>
        </w:rPr>
        <w:t xml:space="preserve"> − mažųjų loterijų mokesčio bazė (savivaldybėje per mokestinį laikotarpį išplatintų loterijos bilietų nominali vertė).</w:t>
      </w:r>
    </w:p>
    <w:p>
      <w:pPr>
        <w:ind w:firstLine="709"/>
        <w:jc w:val="both"/>
        <w:rPr>
          <w:szCs w:val="24"/>
          <w:lang w:eastAsia="lt-LT"/>
        </w:rPr>
      </w:pPr>
      <w:r>
        <w:rPr>
          <w:szCs w:val="24"/>
          <w:lang w:eastAsia="lt-LT"/>
        </w:rPr>
        <w:t>20</w:t>
      </w:r>
      <w:r>
        <w:rPr>
          <w:szCs w:val="24"/>
          <w:lang w:eastAsia="lt-LT"/>
        </w:rPr>
        <w:t xml:space="preserve">. </w:t>
      </w:r>
      <w:r>
        <w:rPr>
          <w:b/>
          <w:szCs w:val="24"/>
          <w:lang w:eastAsia="lt-LT"/>
        </w:rPr>
        <w:t>16 laukelyje</w:t>
      </w:r>
      <w:r>
        <w:rPr>
          <w:szCs w:val="24"/>
          <w:lang w:eastAsia="lt-LT"/>
        </w:rPr>
        <w:t xml:space="preserve"> − Įstatyme nustatytas loterijų mokesčio tarifas procentais.</w:t>
      </w:r>
    </w:p>
    <w:p>
      <w:pPr>
        <w:ind w:firstLine="709"/>
        <w:jc w:val="both"/>
        <w:rPr>
          <w:szCs w:val="24"/>
          <w:lang w:eastAsia="lt-LT"/>
        </w:rPr>
      </w:pPr>
      <w:r>
        <w:rPr>
          <w:szCs w:val="24"/>
          <w:lang w:eastAsia="lt-LT"/>
        </w:rPr>
        <w:t>21</w:t>
      </w:r>
      <w:r>
        <w:rPr>
          <w:szCs w:val="24"/>
          <w:lang w:eastAsia="lt-LT"/>
        </w:rPr>
        <w:t xml:space="preserve">. </w:t>
      </w:r>
      <w:r>
        <w:rPr>
          <w:b/>
          <w:szCs w:val="24"/>
          <w:lang w:eastAsia="lt-LT"/>
        </w:rPr>
        <w:t>17 laukelyje</w:t>
      </w:r>
      <w:r>
        <w:rPr>
          <w:b/>
          <w:bCs/>
          <w:szCs w:val="24"/>
          <w:lang w:eastAsia="lt-LT"/>
        </w:rPr>
        <w:t xml:space="preserve"> </w:t>
      </w:r>
      <w:r>
        <w:rPr>
          <w:szCs w:val="24"/>
          <w:lang w:eastAsia="lt-LT"/>
        </w:rPr>
        <w:t>− mokesčio suma (15 laukelis x 16 laukelio / 100).</w:t>
      </w:r>
    </w:p>
    <w:p>
      <w:pPr>
        <w:ind w:firstLine="709"/>
        <w:jc w:val="both"/>
        <w:rPr>
          <w:szCs w:val="24"/>
          <w:lang w:eastAsia="lt-LT"/>
        </w:rPr>
      </w:pPr>
      <w:r>
        <w:rPr>
          <w:szCs w:val="24"/>
          <w:lang w:eastAsia="lt-LT"/>
        </w:rPr>
        <w:t>22</w:t>
      </w:r>
      <w:r>
        <w:rPr>
          <w:szCs w:val="24"/>
          <w:lang w:eastAsia="lt-LT"/>
        </w:rPr>
        <w:t xml:space="preserve">. </w:t>
      </w:r>
      <w:r>
        <w:rPr>
          <w:b/>
          <w:szCs w:val="24"/>
          <w:lang w:eastAsia="lt-LT"/>
        </w:rPr>
        <w:t>18 laukelyje</w:t>
      </w:r>
      <w:r>
        <w:rPr>
          <w:szCs w:val="24"/>
          <w:lang w:eastAsia="lt-LT"/>
        </w:rPr>
        <w:t>, jeigu užpildomi papildomi lapai, turi būti įrašomas jų skaičius. Tais atvejais, kai papildomi lapai neužpildomi, turi būti įrašytas 0.</w:t>
      </w:r>
    </w:p>
    <w:p>
      <w:pPr>
        <w:ind w:firstLine="709"/>
        <w:jc w:val="both"/>
        <w:rPr>
          <w:szCs w:val="24"/>
          <w:lang w:eastAsia="lt-LT"/>
        </w:rPr>
      </w:pPr>
      <w:r>
        <w:rPr>
          <w:szCs w:val="24"/>
          <w:lang w:eastAsia="lt-LT"/>
        </w:rPr>
        <w:t>23</w:t>
      </w:r>
      <w:r>
        <w:rPr>
          <w:szCs w:val="24"/>
          <w:lang w:eastAsia="lt-LT"/>
        </w:rPr>
        <w:t xml:space="preserve">. </w:t>
      </w:r>
      <w:r>
        <w:rPr>
          <w:b/>
          <w:szCs w:val="24"/>
          <w:lang w:eastAsia="lt-LT"/>
        </w:rPr>
        <w:t>19 laukelyje</w:t>
      </w:r>
      <w:r>
        <w:rPr>
          <w:b/>
          <w:bCs/>
          <w:szCs w:val="24"/>
          <w:lang w:eastAsia="lt-LT"/>
        </w:rPr>
        <w:t xml:space="preserve"> </w:t>
      </w:r>
      <w:r>
        <w:rPr>
          <w:szCs w:val="24"/>
          <w:lang w:eastAsia="lt-LT"/>
        </w:rPr>
        <w:t xml:space="preserve">turi būti įrašyta mokesčio, nurodyto pagrindinėje deklaracijoje, suma (17 laukelių suma). Papildomo deklaracijos lapo 19 laukelyje nurodoma tik tame lape nurodytų 17 laukelių suma. </w:t>
      </w:r>
    </w:p>
    <w:p>
      <w:pPr>
        <w:ind w:firstLine="709"/>
        <w:jc w:val="both"/>
        <w:rPr>
          <w:szCs w:val="24"/>
          <w:lang w:eastAsia="lt-LT"/>
        </w:rPr>
      </w:pPr>
      <w:r>
        <w:rPr>
          <w:szCs w:val="24"/>
          <w:lang w:eastAsia="lt-LT"/>
        </w:rPr>
        <w:t>24</w:t>
      </w:r>
      <w:r>
        <w:rPr>
          <w:szCs w:val="24"/>
          <w:lang w:eastAsia="lt-LT"/>
        </w:rPr>
        <w:t xml:space="preserve">. </w:t>
      </w:r>
      <w:r>
        <w:rPr>
          <w:b/>
          <w:szCs w:val="24"/>
          <w:lang w:eastAsia="lt-LT"/>
        </w:rPr>
        <w:t>20 laukelyje</w:t>
      </w:r>
      <w:r>
        <w:rPr>
          <w:szCs w:val="24"/>
          <w:lang w:eastAsia="lt-LT"/>
        </w:rPr>
        <w:t xml:space="preserve"> − mokesčio suma iš viso, kartu su papildomu lapu (jeigu papildomi deklaracijos lapai nėra užpildomi, šiame laukelyje nurodyta suma sutampa su 19 laukelyje nurodyta suma).</w:t>
      </w:r>
    </w:p>
    <w:p>
      <w:pPr>
        <w:jc w:val="both"/>
        <w:rPr>
          <w:szCs w:val="24"/>
          <w:lang w:eastAsia="lt-LT"/>
        </w:rPr>
      </w:pPr>
    </w:p>
    <w:p>
      <w:pPr>
        <w:ind w:firstLine="709"/>
        <w:jc w:val="center"/>
        <w:rPr>
          <w:szCs w:val="24"/>
          <w:lang w:eastAsia="lt-LT"/>
        </w:rPr>
      </w:pPr>
      <w:r>
        <w:rPr>
          <w:b/>
          <w:bCs/>
          <w:szCs w:val="24"/>
          <w:lang w:eastAsia="lt-LT"/>
        </w:rPr>
        <w:t>III</w:t>
      </w:r>
      <w:r>
        <w:rPr>
          <w:b/>
          <w:bCs/>
          <w:szCs w:val="24"/>
          <w:lang w:eastAsia="lt-LT"/>
        </w:rPr>
        <w:t xml:space="preserve"> SKYRIUS</w:t>
      </w:r>
    </w:p>
    <w:p>
      <w:pPr>
        <w:ind w:firstLine="709"/>
        <w:jc w:val="center"/>
        <w:rPr>
          <w:szCs w:val="24"/>
          <w:lang w:eastAsia="lt-LT"/>
        </w:rPr>
      </w:pPr>
      <w:r>
        <w:rPr>
          <w:b/>
          <w:bCs/>
          <w:szCs w:val="24"/>
          <w:lang w:eastAsia="lt-LT"/>
        </w:rPr>
        <w:t>AZARTINIŲ LOŠIMŲ VERSLO LOTERIJŲ IR LOŠIMŲ MOKESČIO DEKLARACIJOS FR0584 UŽPILDYMAS</w:t>
      </w:r>
    </w:p>
    <w:p>
      <w:pPr>
        <w:ind w:firstLine="769"/>
        <w:jc w:val="both"/>
        <w:rPr>
          <w:szCs w:val="24"/>
          <w:lang w:eastAsia="lt-LT"/>
        </w:rPr>
      </w:pPr>
    </w:p>
    <w:p>
      <w:pPr>
        <w:ind w:firstLine="709"/>
        <w:jc w:val="both"/>
        <w:rPr>
          <w:szCs w:val="24"/>
          <w:lang w:eastAsia="lt-LT"/>
        </w:rPr>
      </w:pPr>
      <w:r>
        <w:rPr>
          <w:szCs w:val="24"/>
          <w:lang w:eastAsia="lt-LT"/>
        </w:rPr>
        <w:t>25</w:t>
      </w:r>
      <w:r>
        <w:rPr>
          <w:szCs w:val="24"/>
          <w:lang w:eastAsia="lt-LT"/>
        </w:rPr>
        <w:t xml:space="preserve">. Šios deklaracijos </w:t>
      </w:r>
      <w:r>
        <w:rPr>
          <w:b/>
          <w:szCs w:val="24"/>
          <w:lang w:eastAsia="lt-LT"/>
        </w:rPr>
        <w:t>1 laukelyje</w:t>
      </w:r>
      <w:r>
        <w:rPr>
          <w:b/>
          <w:bCs/>
          <w:szCs w:val="24"/>
          <w:lang w:eastAsia="lt-LT"/>
        </w:rPr>
        <w:t xml:space="preserve"> </w:t>
      </w:r>
      <w:r>
        <w:rPr>
          <w:szCs w:val="24"/>
          <w:lang w:eastAsia="lt-LT"/>
        </w:rPr>
        <w:t>turi būti</w:t>
      </w:r>
      <w:r>
        <w:rPr>
          <w:b/>
          <w:bCs/>
          <w:szCs w:val="24"/>
          <w:lang w:eastAsia="lt-LT"/>
        </w:rPr>
        <w:t xml:space="preserve"> </w:t>
      </w:r>
      <w:r>
        <w:rPr>
          <w:szCs w:val="24"/>
          <w:lang w:eastAsia="lt-LT"/>
        </w:rPr>
        <w:t xml:space="preserve">įrašomas mokesčių mokėtojui suteiktas identifikacinis numeris (kodas). </w:t>
      </w:r>
    </w:p>
    <w:p>
      <w:pPr>
        <w:ind w:firstLine="709"/>
        <w:jc w:val="both"/>
        <w:rPr>
          <w:szCs w:val="24"/>
          <w:lang w:eastAsia="lt-LT"/>
        </w:rPr>
      </w:pPr>
      <w:r>
        <w:rPr>
          <w:szCs w:val="24"/>
          <w:lang w:eastAsia="lt-LT"/>
        </w:rPr>
        <w:t>26</w:t>
      </w:r>
      <w:r>
        <w:rPr>
          <w:bCs/>
          <w:szCs w:val="24"/>
          <w:lang w:eastAsia="lt-LT"/>
        </w:rPr>
        <w:t>.</w:t>
      </w:r>
      <w:r>
        <w:rPr>
          <w:b/>
          <w:bCs/>
          <w:szCs w:val="24"/>
          <w:lang w:eastAsia="lt-LT"/>
        </w:rPr>
        <w:t xml:space="preserve"> </w:t>
      </w:r>
      <w:r>
        <w:rPr>
          <w:b/>
          <w:szCs w:val="24"/>
          <w:lang w:eastAsia="lt-LT"/>
        </w:rPr>
        <w:t>2 laukelyje</w:t>
      </w:r>
      <w:r>
        <w:rPr>
          <w:b/>
          <w:bCs/>
          <w:szCs w:val="24"/>
          <w:lang w:eastAsia="lt-LT"/>
        </w:rPr>
        <w:t xml:space="preserve"> </w:t>
      </w:r>
      <w:r>
        <w:rPr>
          <w:szCs w:val="24"/>
          <w:lang w:eastAsia="lt-LT"/>
        </w:rPr>
        <w:t xml:space="preserve">– mokesčių mokėtojo pavadinimas. </w:t>
      </w:r>
    </w:p>
    <w:p>
      <w:pPr>
        <w:ind w:firstLine="709"/>
        <w:jc w:val="both"/>
        <w:rPr>
          <w:szCs w:val="24"/>
          <w:lang w:eastAsia="lt-LT"/>
        </w:rPr>
      </w:pPr>
      <w:r>
        <w:rPr>
          <w:szCs w:val="24"/>
          <w:lang w:eastAsia="lt-LT"/>
        </w:rPr>
        <w:t>27</w:t>
      </w:r>
      <w:r>
        <w:rPr>
          <w:szCs w:val="24"/>
          <w:lang w:eastAsia="lt-LT"/>
        </w:rPr>
        <w:t xml:space="preserve">. </w:t>
      </w:r>
      <w:r>
        <w:rPr>
          <w:b/>
          <w:szCs w:val="24"/>
          <w:lang w:eastAsia="lt-LT"/>
        </w:rPr>
        <w:t>7 laukelyje</w:t>
      </w:r>
      <w:r>
        <w:rPr>
          <w:szCs w:val="24"/>
          <w:lang w:eastAsia="lt-LT"/>
        </w:rPr>
        <w:t xml:space="preserve"> turi būti įrašyta deklaracijos užpildymo data (metai, mėnuo, diena).</w:t>
      </w:r>
    </w:p>
    <w:p>
      <w:pPr>
        <w:ind w:firstLine="709"/>
        <w:jc w:val="both"/>
        <w:rPr>
          <w:szCs w:val="24"/>
          <w:lang w:eastAsia="lt-LT"/>
        </w:rPr>
      </w:pPr>
      <w:r>
        <w:rPr>
          <w:szCs w:val="24"/>
          <w:lang w:eastAsia="lt-LT"/>
        </w:rPr>
        <w:t>28</w:t>
      </w:r>
      <w:r>
        <w:rPr>
          <w:szCs w:val="24"/>
          <w:lang w:eastAsia="lt-LT"/>
        </w:rPr>
        <w:t xml:space="preserve">. </w:t>
      </w:r>
      <w:r>
        <w:rPr>
          <w:b/>
          <w:szCs w:val="24"/>
          <w:lang w:eastAsia="lt-LT"/>
        </w:rPr>
        <w:t>8 laukelyje</w:t>
      </w:r>
      <w:r>
        <w:rPr>
          <w:b/>
          <w:bCs/>
          <w:szCs w:val="24"/>
          <w:lang w:eastAsia="lt-LT"/>
        </w:rPr>
        <w:t xml:space="preserve"> </w:t>
      </w:r>
      <w:r>
        <w:rPr>
          <w:szCs w:val="24"/>
          <w:lang w:eastAsia="lt-LT"/>
        </w:rPr>
        <w:t>– mokestinis laikotarpis (atitinkami metai ir tų metų kalendorinis ketvirtis), kurio mokestis deklaruojamas.</w:t>
      </w:r>
    </w:p>
    <w:p>
      <w:pPr>
        <w:jc w:val="both"/>
        <w:rPr>
          <w:szCs w:val="24"/>
          <w:lang w:eastAsia="lt-LT"/>
        </w:rPr>
      </w:pPr>
    </w:p>
    <w:p>
      <w:pPr>
        <w:ind w:firstLine="709"/>
        <w:jc w:val="center"/>
        <w:rPr>
          <w:szCs w:val="24"/>
          <w:lang w:eastAsia="lt-LT"/>
        </w:rPr>
      </w:pPr>
      <w:r>
        <w:rPr>
          <w:b/>
          <w:bCs/>
          <w:szCs w:val="24"/>
          <w:lang w:eastAsia="lt-LT"/>
        </w:rPr>
        <w:t>Deklaracijos FR0584 A dalies užpildymas</w:t>
      </w:r>
    </w:p>
    <w:p>
      <w:pPr>
        <w:ind w:firstLine="769"/>
        <w:jc w:val="both"/>
        <w:rPr>
          <w:szCs w:val="24"/>
          <w:lang w:eastAsia="lt-LT"/>
        </w:rPr>
      </w:pPr>
    </w:p>
    <w:p>
      <w:pPr>
        <w:ind w:firstLine="709"/>
        <w:jc w:val="both"/>
        <w:rPr>
          <w:szCs w:val="24"/>
          <w:lang w:eastAsia="lt-LT"/>
        </w:rPr>
      </w:pPr>
      <w:r>
        <w:rPr>
          <w:szCs w:val="24"/>
          <w:lang w:eastAsia="lt-LT"/>
        </w:rPr>
        <w:t>29</w:t>
      </w:r>
      <w:r>
        <w:rPr>
          <w:szCs w:val="24"/>
          <w:lang w:eastAsia="lt-LT"/>
        </w:rPr>
        <w:t xml:space="preserve">. </w:t>
      </w:r>
      <w:r>
        <w:rPr>
          <w:b/>
          <w:szCs w:val="24"/>
          <w:lang w:eastAsia="lt-LT"/>
        </w:rPr>
        <w:t>10 laukelyje</w:t>
      </w:r>
      <w:r>
        <w:rPr>
          <w:b/>
          <w:bCs/>
          <w:szCs w:val="24"/>
          <w:lang w:eastAsia="lt-LT"/>
        </w:rPr>
        <w:t xml:space="preserve"> </w:t>
      </w:r>
      <w:r>
        <w:rPr>
          <w:szCs w:val="24"/>
          <w:lang w:eastAsia="lt-LT"/>
        </w:rPr>
        <w:t>turi būti</w:t>
      </w:r>
      <w:r>
        <w:rPr>
          <w:b/>
          <w:bCs/>
          <w:szCs w:val="24"/>
          <w:lang w:eastAsia="lt-LT"/>
        </w:rPr>
        <w:t xml:space="preserve"> </w:t>
      </w:r>
      <w:r>
        <w:rPr>
          <w:szCs w:val="24"/>
          <w:lang w:eastAsia="lt-LT"/>
        </w:rPr>
        <w:t>įrašoma</w:t>
      </w:r>
      <w:r>
        <w:rPr>
          <w:b/>
          <w:bCs/>
          <w:szCs w:val="24"/>
          <w:lang w:eastAsia="lt-LT"/>
        </w:rPr>
        <w:t xml:space="preserve"> </w:t>
      </w:r>
      <w:r>
        <w:rPr>
          <w:szCs w:val="24"/>
          <w:lang w:eastAsia="lt-LT"/>
        </w:rPr>
        <w:t>atitinkamos lošimų rūšies (bingo, totalizatoriaus, lažybų, nuotolinių lošimų) mokestinio laikotarpio įplaukų suma.</w:t>
      </w:r>
    </w:p>
    <w:p>
      <w:pPr>
        <w:ind w:firstLine="709"/>
        <w:jc w:val="both"/>
        <w:rPr>
          <w:szCs w:val="24"/>
          <w:lang w:eastAsia="lt-LT"/>
        </w:rPr>
      </w:pPr>
      <w:r>
        <w:rPr>
          <w:szCs w:val="24"/>
          <w:lang w:eastAsia="lt-LT"/>
        </w:rPr>
        <w:t>30</w:t>
      </w:r>
      <w:r>
        <w:rPr>
          <w:szCs w:val="24"/>
          <w:lang w:eastAsia="lt-LT"/>
        </w:rPr>
        <w:t>.</w:t>
      </w:r>
      <w:r>
        <w:rPr>
          <w:b/>
          <w:bCs/>
          <w:szCs w:val="24"/>
          <w:lang w:eastAsia="lt-LT"/>
        </w:rPr>
        <w:t xml:space="preserve"> </w:t>
      </w:r>
      <w:r>
        <w:rPr>
          <w:b/>
          <w:szCs w:val="24"/>
          <w:lang w:eastAsia="lt-LT"/>
        </w:rPr>
        <w:t>11 laukelyje</w:t>
      </w:r>
      <w:r>
        <w:rPr>
          <w:szCs w:val="24"/>
          <w:lang w:eastAsia="lt-LT"/>
        </w:rPr>
        <w:t xml:space="preserve"> – atitinkamos rūšies lošimų išmokėtų laimėjimų suma.</w:t>
      </w:r>
    </w:p>
    <w:p>
      <w:pPr>
        <w:ind w:firstLine="709"/>
        <w:jc w:val="both"/>
        <w:rPr>
          <w:szCs w:val="24"/>
          <w:lang w:eastAsia="lt-LT"/>
        </w:rPr>
      </w:pPr>
      <w:r>
        <w:rPr>
          <w:szCs w:val="24"/>
          <w:lang w:eastAsia="lt-LT"/>
        </w:rPr>
        <w:t>31</w:t>
      </w:r>
      <w:r>
        <w:rPr>
          <w:szCs w:val="24"/>
          <w:lang w:eastAsia="lt-LT"/>
        </w:rPr>
        <w:t xml:space="preserve">. </w:t>
      </w:r>
      <w:r>
        <w:rPr>
          <w:b/>
          <w:szCs w:val="24"/>
          <w:lang w:eastAsia="lt-LT"/>
        </w:rPr>
        <w:t>12 laukelyje</w:t>
      </w:r>
      <w:r>
        <w:rPr>
          <w:b/>
          <w:bCs/>
          <w:szCs w:val="24"/>
          <w:lang w:eastAsia="lt-LT"/>
        </w:rPr>
        <w:t xml:space="preserve"> </w:t>
      </w:r>
      <w:r>
        <w:rPr>
          <w:szCs w:val="24"/>
          <w:lang w:eastAsia="lt-LT"/>
        </w:rPr>
        <w:t>– atitinkamos rūšies lošimų mokesčio bazė (10 laukelis–11 laukelis).</w:t>
      </w:r>
    </w:p>
    <w:p>
      <w:pPr>
        <w:ind w:firstLine="709"/>
        <w:jc w:val="both"/>
        <w:rPr>
          <w:szCs w:val="24"/>
          <w:lang w:eastAsia="lt-LT"/>
        </w:rPr>
      </w:pPr>
      <w:r>
        <w:rPr>
          <w:szCs w:val="24"/>
          <w:lang w:eastAsia="lt-LT"/>
        </w:rPr>
        <w:t>32</w:t>
      </w:r>
      <w:r>
        <w:rPr>
          <w:szCs w:val="24"/>
          <w:lang w:eastAsia="lt-LT"/>
        </w:rPr>
        <w:t>.</w:t>
      </w:r>
      <w:r>
        <w:rPr>
          <w:b/>
          <w:bCs/>
          <w:szCs w:val="24"/>
          <w:lang w:eastAsia="lt-LT"/>
        </w:rPr>
        <w:t xml:space="preserve"> </w:t>
      </w:r>
      <w:r>
        <w:rPr>
          <w:b/>
          <w:szCs w:val="24"/>
          <w:lang w:eastAsia="lt-LT"/>
        </w:rPr>
        <w:t>13 laukelyje</w:t>
      </w:r>
      <w:r>
        <w:rPr>
          <w:szCs w:val="24"/>
          <w:lang w:eastAsia="lt-LT"/>
        </w:rPr>
        <w:t xml:space="preserve"> – atitinkamos rūšies lošimų mokesčio tarifas (procentais), nurodytas Įstatyme. </w:t>
      </w:r>
    </w:p>
    <w:p>
      <w:pPr>
        <w:ind w:firstLine="709"/>
        <w:jc w:val="both"/>
        <w:rPr>
          <w:szCs w:val="24"/>
          <w:lang w:eastAsia="lt-LT"/>
        </w:rPr>
      </w:pPr>
      <w:r>
        <w:rPr>
          <w:szCs w:val="24"/>
          <w:lang w:eastAsia="lt-LT"/>
        </w:rPr>
        <w:t>33</w:t>
      </w:r>
      <w:r>
        <w:rPr>
          <w:szCs w:val="24"/>
          <w:lang w:eastAsia="lt-LT"/>
        </w:rPr>
        <w:t>.</w:t>
      </w:r>
      <w:r>
        <w:rPr>
          <w:b/>
          <w:bCs/>
          <w:szCs w:val="24"/>
          <w:lang w:eastAsia="lt-LT"/>
        </w:rPr>
        <w:t xml:space="preserve"> </w:t>
      </w:r>
      <w:r>
        <w:rPr>
          <w:b/>
          <w:szCs w:val="24"/>
          <w:lang w:eastAsia="lt-LT"/>
        </w:rPr>
        <w:t>14 laukelyje</w:t>
      </w:r>
      <w:r>
        <w:rPr>
          <w:szCs w:val="24"/>
          <w:lang w:eastAsia="lt-LT"/>
        </w:rPr>
        <w:t xml:space="preserve"> – atitinkamos rūšies lošimų mokesčio suma (12 laukelis x 13 laukelio / 100).</w:t>
      </w:r>
    </w:p>
    <w:p>
      <w:pPr>
        <w:ind w:firstLine="709"/>
        <w:jc w:val="both"/>
        <w:rPr>
          <w:szCs w:val="24"/>
          <w:lang w:eastAsia="lt-LT"/>
        </w:rPr>
      </w:pPr>
      <w:r>
        <w:rPr>
          <w:szCs w:val="24"/>
          <w:lang w:eastAsia="lt-LT"/>
        </w:rPr>
        <w:t>34</w:t>
      </w:r>
      <w:r>
        <w:rPr>
          <w:szCs w:val="24"/>
          <w:lang w:eastAsia="lt-LT"/>
        </w:rPr>
        <w:t xml:space="preserve">. </w:t>
      </w:r>
      <w:r>
        <w:rPr>
          <w:b/>
          <w:szCs w:val="24"/>
          <w:lang w:eastAsia="lt-LT"/>
        </w:rPr>
        <w:t>15 laukelyje</w:t>
      </w:r>
      <w:r>
        <w:rPr>
          <w:b/>
          <w:bCs/>
          <w:szCs w:val="24"/>
          <w:lang w:eastAsia="lt-LT"/>
        </w:rPr>
        <w:t xml:space="preserve"> </w:t>
      </w:r>
      <w:r>
        <w:rPr>
          <w:szCs w:val="24"/>
          <w:lang w:eastAsia="lt-LT"/>
        </w:rPr>
        <w:t>–</w:t>
      </w:r>
      <w:r>
        <w:rPr>
          <w:b/>
          <w:bCs/>
          <w:szCs w:val="24"/>
          <w:lang w:eastAsia="lt-LT"/>
        </w:rPr>
        <w:t xml:space="preserve"> </w:t>
      </w:r>
      <w:r>
        <w:rPr>
          <w:szCs w:val="24"/>
          <w:lang w:eastAsia="lt-LT"/>
        </w:rPr>
        <w:t>mokesčio suma nuo visų lošimų rūšių (14 laukelių suma).</w:t>
      </w:r>
    </w:p>
    <w:p>
      <w:pPr>
        <w:ind w:firstLine="769"/>
        <w:jc w:val="both"/>
        <w:rPr>
          <w:szCs w:val="24"/>
          <w:lang w:eastAsia="lt-LT"/>
        </w:rPr>
      </w:pPr>
    </w:p>
    <w:p>
      <w:pPr>
        <w:ind w:firstLine="709"/>
        <w:jc w:val="center"/>
        <w:rPr>
          <w:szCs w:val="24"/>
          <w:lang w:eastAsia="lt-LT"/>
        </w:rPr>
      </w:pPr>
      <w:r>
        <w:rPr>
          <w:b/>
          <w:bCs/>
          <w:szCs w:val="24"/>
          <w:lang w:eastAsia="lt-LT"/>
        </w:rPr>
        <w:t>Deklaracijos FR0584 B dalies užpildymas</w:t>
      </w:r>
    </w:p>
    <w:p>
      <w:pPr>
        <w:ind w:firstLine="769"/>
        <w:jc w:val="both"/>
        <w:rPr>
          <w:szCs w:val="24"/>
          <w:lang w:eastAsia="lt-LT"/>
        </w:rPr>
      </w:pPr>
    </w:p>
    <w:p>
      <w:pPr>
        <w:ind w:firstLine="709"/>
        <w:jc w:val="both"/>
        <w:rPr>
          <w:szCs w:val="24"/>
          <w:lang w:eastAsia="lt-LT"/>
        </w:rPr>
      </w:pPr>
      <w:r>
        <w:rPr>
          <w:szCs w:val="24"/>
          <w:lang w:eastAsia="lt-LT"/>
        </w:rPr>
        <w:t>35</w:t>
      </w:r>
      <w:r>
        <w:rPr>
          <w:bCs/>
          <w:szCs w:val="24"/>
          <w:lang w:eastAsia="lt-LT"/>
        </w:rPr>
        <w:t>.</w:t>
      </w:r>
      <w:r>
        <w:rPr>
          <w:b/>
          <w:bCs/>
          <w:szCs w:val="24"/>
          <w:lang w:eastAsia="lt-LT"/>
        </w:rPr>
        <w:t xml:space="preserve"> </w:t>
      </w:r>
      <w:r>
        <w:rPr>
          <w:b/>
          <w:szCs w:val="24"/>
          <w:lang w:eastAsia="lt-LT"/>
        </w:rPr>
        <w:t>16.1–16.3 laukeliuose</w:t>
      </w:r>
      <w:r>
        <w:rPr>
          <w:b/>
          <w:bCs/>
          <w:szCs w:val="24"/>
          <w:lang w:eastAsia="lt-LT"/>
        </w:rPr>
        <w:t xml:space="preserve"> </w:t>
      </w:r>
      <w:r>
        <w:rPr>
          <w:szCs w:val="24"/>
          <w:lang w:eastAsia="lt-LT"/>
        </w:rPr>
        <w:t>turi būti įrašomas kiekvieno mokestinio laikotarpio mėnesio atitinkamos rūšies lošimų įrenginių skaičius, už kuriuos mokamas mokestis (mokestis mokamas už kiekvieną</w:t>
      </w:r>
      <w:r>
        <w:rPr>
          <w:i/>
          <w:iCs/>
          <w:szCs w:val="24"/>
          <w:lang w:eastAsia="lt-LT"/>
        </w:rPr>
        <w:t xml:space="preserve"> </w:t>
      </w:r>
      <w:r>
        <w:rPr>
          <w:szCs w:val="24"/>
          <w:lang w:eastAsia="lt-LT"/>
        </w:rPr>
        <w:t>lošimų veiklos leidime mėnesio 1 dieną nurodytą lošimo įrenginį; tą mėnesį, kai išduodamas lošimų veiklos leidimas arba papildomas turimas lošimų veiklos leidimas padidinti lošimo įrenginių skaičių, mokestis už kiekvieną lošimų veiklos leidime nurodytą naują lošimo įrenginį apskaičiuojamas už visą mėnesį).</w:t>
      </w:r>
    </w:p>
    <w:p>
      <w:pPr>
        <w:ind w:firstLine="709"/>
        <w:jc w:val="both"/>
        <w:rPr>
          <w:szCs w:val="24"/>
          <w:lang w:eastAsia="lt-LT"/>
        </w:rPr>
      </w:pPr>
      <w:r>
        <w:rPr>
          <w:szCs w:val="24"/>
          <w:lang w:eastAsia="lt-LT"/>
        </w:rPr>
        <w:t>36</w:t>
      </w:r>
      <w:r>
        <w:rPr>
          <w:bCs/>
          <w:szCs w:val="24"/>
          <w:lang w:eastAsia="lt-LT"/>
        </w:rPr>
        <w:t>.</w:t>
      </w:r>
      <w:r>
        <w:rPr>
          <w:b/>
          <w:bCs/>
          <w:szCs w:val="24"/>
          <w:lang w:eastAsia="lt-LT"/>
        </w:rPr>
        <w:t xml:space="preserve"> </w:t>
      </w:r>
      <w:r>
        <w:rPr>
          <w:b/>
          <w:szCs w:val="24"/>
          <w:lang w:eastAsia="lt-LT"/>
        </w:rPr>
        <w:t>17 laukelyje</w:t>
      </w:r>
      <w:r>
        <w:rPr>
          <w:szCs w:val="24"/>
          <w:lang w:eastAsia="lt-LT"/>
        </w:rPr>
        <w:t xml:space="preserve"> – Įstatyme nustatytas mokestis už vieną atitinkamos rūšies lošimų įrenginį per mėnesį.</w:t>
      </w:r>
    </w:p>
    <w:p>
      <w:pPr>
        <w:ind w:firstLine="709"/>
        <w:jc w:val="both"/>
        <w:rPr>
          <w:szCs w:val="24"/>
          <w:lang w:eastAsia="lt-LT"/>
        </w:rPr>
      </w:pPr>
      <w:r>
        <w:rPr>
          <w:szCs w:val="24"/>
          <w:lang w:eastAsia="lt-LT"/>
        </w:rPr>
        <w:t>37</w:t>
      </w:r>
      <w:r>
        <w:rPr>
          <w:szCs w:val="24"/>
          <w:lang w:eastAsia="lt-LT"/>
        </w:rPr>
        <w:t>.</w:t>
      </w:r>
      <w:r>
        <w:rPr>
          <w:b/>
          <w:bCs/>
          <w:szCs w:val="24"/>
          <w:lang w:eastAsia="lt-LT"/>
        </w:rPr>
        <w:t xml:space="preserve"> </w:t>
      </w:r>
      <w:r>
        <w:rPr>
          <w:szCs w:val="24"/>
          <w:lang w:eastAsia="lt-LT"/>
        </w:rPr>
        <w:t>Mokesčio suma už atitinkamos rūšies lošimų įrenginius įrašoma taip:</w:t>
      </w:r>
    </w:p>
    <w:p>
      <w:pPr>
        <w:ind w:firstLine="709"/>
        <w:jc w:val="both"/>
        <w:rPr>
          <w:szCs w:val="24"/>
          <w:lang w:eastAsia="lt-LT"/>
        </w:rPr>
      </w:pPr>
      <w:r>
        <w:rPr>
          <w:szCs w:val="24"/>
          <w:lang w:eastAsia="lt-LT"/>
        </w:rPr>
        <w:t>37.1</w:t>
      </w:r>
      <w:r>
        <w:rPr>
          <w:szCs w:val="24"/>
          <w:lang w:eastAsia="lt-LT"/>
        </w:rPr>
        <w:t>.</w:t>
      </w:r>
      <w:r>
        <w:rPr>
          <w:b/>
          <w:bCs/>
          <w:szCs w:val="24"/>
          <w:lang w:eastAsia="lt-LT"/>
        </w:rPr>
        <w:t xml:space="preserve"> </w:t>
      </w:r>
      <w:r>
        <w:rPr>
          <w:b/>
          <w:szCs w:val="24"/>
          <w:lang w:eastAsia="lt-LT"/>
        </w:rPr>
        <w:t>18.1–18.3 laukeliuose</w:t>
      </w:r>
      <w:r>
        <w:rPr>
          <w:b/>
          <w:bCs/>
          <w:szCs w:val="24"/>
          <w:lang w:eastAsia="lt-LT"/>
        </w:rPr>
        <w:t xml:space="preserve"> </w:t>
      </w:r>
      <w:r>
        <w:rPr>
          <w:szCs w:val="24"/>
          <w:lang w:eastAsia="lt-LT"/>
        </w:rPr>
        <w:t>turi būti įrašoma</w:t>
      </w:r>
      <w:r>
        <w:rPr>
          <w:b/>
          <w:bCs/>
          <w:szCs w:val="24"/>
          <w:lang w:eastAsia="lt-LT"/>
        </w:rPr>
        <w:t xml:space="preserve"> </w:t>
      </w:r>
      <w:r>
        <w:rPr>
          <w:szCs w:val="24"/>
          <w:lang w:eastAsia="lt-LT"/>
        </w:rPr>
        <w:t>kiekvieno mokestinio laikotarpio mėnesio mokesčio suma nuo atitinkamos rūšies lošimų įrenginių skaičiaus tą mėnesį (atitinkamus 16.1–16.3 laukelius padauginus iš 17 laukelio);</w:t>
      </w:r>
    </w:p>
    <w:p>
      <w:pPr>
        <w:ind w:firstLine="709"/>
        <w:jc w:val="both"/>
        <w:rPr>
          <w:szCs w:val="24"/>
          <w:lang w:eastAsia="lt-LT"/>
        </w:rPr>
      </w:pPr>
      <w:r>
        <w:rPr>
          <w:szCs w:val="24"/>
          <w:lang w:eastAsia="lt-LT"/>
        </w:rPr>
        <w:t>37.2</w:t>
      </w:r>
      <w:r>
        <w:rPr>
          <w:szCs w:val="24"/>
          <w:lang w:eastAsia="lt-LT"/>
        </w:rPr>
        <w:t xml:space="preserve">. </w:t>
      </w:r>
      <w:r>
        <w:rPr>
          <w:b/>
          <w:szCs w:val="24"/>
          <w:lang w:eastAsia="lt-LT"/>
        </w:rPr>
        <w:t>18 laukelyje</w:t>
      </w:r>
      <w:r>
        <w:rPr>
          <w:szCs w:val="24"/>
          <w:lang w:eastAsia="lt-LT"/>
        </w:rPr>
        <w:t xml:space="preserve"> – mokestinio laikotarpio mokesčio suma už atitinkamos rūšies įrenginius (18.1–18.3 laukelių suma).</w:t>
      </w:r>
    </w:p>
    <w:p>
      <w:pPr>
        <w:ind w:firstLine="709"/>
        <w:jc w:val="both"/>
        <w:rPr>
          <w:szCs w:val="24"/>
          <w:lang w:eastAsia="lt-LT"/>
        </w:rPr>
      </w:pPr>
      <w:r>
        <w:rPr>
          <w:szCs w:val="24"/>
          <w:lang w:eastAsia="lt-LT"/>
        </w:rPr>
        <w:t>38</w:t>
      </w:r>
      <w:r>
        <w:rPr>
          <w:szCs w:val="24"/>
          <w:lang w:eastAsia="lt-LT"/>
        </w:rPr>
        <w:t xml:space="preserve">. </w:t>
      </w:r>
      <w:r>
        <w:rPr>
          <w:b/>
          <w:szCs w:val="24"/>
          <w:lang w:eastAsia="lt-LT"/>
        </w:rPr>
        <w:t>19 laukelyje</w:t>
      </w:r>
      <w:r>
        <w:rPr>
          <w:szCs w:val="24"/>
          <w:lang w:eastAsia="lt-LT"/>
        </w:rPr>
        <w:t xml:space="preserve"> – mokesčio suma nuo visų lošimų įrenginių kiekio (18 laukelių suma). </w:t>
      </w:r>
    </w:p>
    <w:p>
      <w:pPr>
        <w:ind w:firstLine="709"/>
        <w:jc w:val="center"/>
        <w:rPr>
          <w:szCs w:val="24"/>
          <w:lang w:eastAsia="lt-LT"/>
        </w:rPr>
      </w:pPr>
    </w:p>
    <w:p>
      <w:pPr>
        <w:ind w:firstLine="709"/>
        <w:jc w:val="center"/>
        <w:rPr>
          <w:b/>
          <w:bCs/>
          <w:szCs w:val="24"/>
          <w:lang w:eastAsia="lt-LT"/>
        </w:rPr>
      </w:pPr>
      <w:r>
        <w:rPr>
          <w:b/>
          <w:bCs/>
          <w:szCs w:val="24"/>
          <w:lang w:eastAsia="lt-LT"/>
        </w:rPr>
        <w:t>IV</w:t>
      </w:r>
      <w:r>
        <w:rPr>
          <w:b/>
          <w:bCs/>
          <w:szCs w:val="24"/>
          <w:lang w:eastAsia="lt-LT"/>
        </w:rPr>
        <w:t xml:space="preserve"> SKYRIUS</w:t>
      </w:r>
    </w:p>
    <w:p>
      <w:pPr>
        <w:ind w:firstLine="769"/>
        <w:jc w:val="center"/>
        <w:rPr>
          <w:szCs w:val="24"/>
          <w:lang w:eastAsia="lt-LT"/>
        </w:rPr>
      </w:pPr>
      <w:r>
        <w:rPr>
          <w:b/>
          <w:bCs/>
          <w:szCs w:val="24"/>
          <w:lang w:eastAsia="lt-LT"/>
        </w:rPr>
        <w:t>BAIGIAMOSIOS NUOSTATOS</w:t>
      </w:r>
    </w:p>
    <w:p>
      <w:pPr>
        <w:ind w:firstLine="769"/>
        <w:jc w:val="both"/>
        <w:rPr>
          <w:szCs w:val="24"/>
          <w:lang w:eastAsia="lt-LT"/>
        </w:rPr>
      </w:pPr>
    </w:p>
    <w:p>
      <w:pPr>
        <w:ind w:firstLine="709"/>
        <w:jc w:val="both"/>
        <w:rPr>
          <w:szCs w:val="24"/>
          <w:lang w:eastAsia="lt-LT"/>
        </w:rPr>
      </w:pPr>
      <w:r>
        <w:rPr>
          <w:szCs w:val="24"/>
          <w:lang w:eastAsia="lt-LT"/>
        </w:rPr>
        <w:t>39</w:t>
      </w:r>
      <w:r>
        <w:rPr>
          <w:szCs w:val="24"/>
          <w:lang w:eastAsia="lt-LT"/>
        </w:rPr>
        <w:t>. Už pavėluotą deklaracijų pateikimą, nepateikimą ar neteisingų duomenų į jas įrašymą ir pateikimą taikoma Lietuvos Respublikos teisės aktų nustatyta atsakomybė.</w:t>
      </w:r>
    </w:p>
    <w:p>
      <w:pPr>
        <w:ind w:firstLine="709"/>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566870493211e483c6e89f9dba57fd">
        <w:r w:rsidRPr="00532B9F">
          <w:rPr>
            <w:rFonts w:ascii="Times New Roman" w:eastAsia="MS Mincho" w:hAnsi="Times New Roman"/>
            <w:sz w:val="20"/>
            <w:i/>
            <w:iCs/>
            <w:color w:val="0000FF" w:themeColor="hyperlink"/>
            <w:u w:val="single"/>
          </w:rPr>
          <w:t>VA-83</w:t>
        </w:r>
      </w:fldSimple>
      <w:r>
        <w:rPr>
          <w:rFonts w:ascii="Times New Roman" w:eastAsia="MS Mincho" w:hAnsi="Times New Roman"/>
          <w:sz w:val="20"/>
          <w:i/>
          <w:iCs/>
        </w:rPr>
        <w:t>,
2014-09-30,
paskelbta TAR 2014-10-01, i. k. 2014-13354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4004b0eb5511e58deaaf0783ebf65b">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2016-03-15,
paskelbta TAR 2016-03-17, i. k. 2016-05107            </w:t>
      </w:r>
    </w:p>
    <w:p/>
    <w:p>
      <w:pPr>
        <w:spacing w:line="276" w:lineRule="auto"/>
        <w:jc w:val="both"/>
      </w:pPr>
    </w:p>
    <w:p>
      <w:pPr>
        <w:spacing w:line="276" w:lineRule="auto"/>
        <w:ind w:left="5103"/>
        <w:jc w:val="both"/>
        <w:rPr>
          <w:color w:val="000000"/>
          <w:szCs w:val="24"/>
          <w:lang w:eastAsia="lt-LT"/>
        </w:rPr>
        <w:sectPr>
          <w:pgSz w:w="11907" w:h="16839"/>
          <w:pgMar w:top="1134" w:right="567" w:bottom="1134" w:left="1701" w:header="567" w:footer="567" w:gutter="0"/>
          <w:pgNumType w:start="1"/>
          <w:cols w:space="1296"/>
          <w:titlePg/>
          <w:docGrid w:linePitch="360"/>
        </w:sectPr>
      </w:pPr>
    </w:p>
    <w:p>
      <w:pPr>
        <w:spacing w:line="276" w:lineRule="auto"/>
        <w:ind w:left="5103"/>
        <w:jc w:val="both"/>
        <w:rPr>
          <w:color w:val="000000"/>
          <w:szCs w:val="24"/>
          <w:lang w:eastAsia="lt-LT"/>
        </w:rPr>
      </w:pPr>
      <w:r>
        <w:rPr>
          <w:color w:val="000000"/>
          <w:szCs w:val="24"/>
          <w:lang w:eastAsia="lt-LT"/>
        </w:rPr>
        <w:t>Loterijų verslo loterijų ir lošimų mokesčio</w:t>
      </w:r>
    </w:p>
    <w:p>
      <w:pPr>
        <w:spacing w:line="276" w:lineRule="auto"/>
        <w:ind w:left="5103"/>
        <w:jc w:val="both"/>
        <w:rPr>
          <w:color w:val="000000"/>
          <w:szCs w:val="24"/>
          <w:lang w:eastAsia="lt-LT"/>
        </w:rPr>
      </w:pPr>
      <w:r>
        <w:rPr>
          <w:color w:val="000000"/>
          <w:szCs w:val="24"/>
          <w:lang w:eastAsia="lt-LT"/>
        </w:rPr>
        <w:t>deklaracijos FR0583 formos bei Azartinių</w:t>
      </w:r>
    </w:p>
    <w:p>
      <w:pPr>
        <w:spacing w:line="276" w:lineRule="auto"/>
        <w:ind w:left="5103"/>
        <w:jc w:val="both"/>
        <w:rPr>
          <w:color w:val="000000"/>
          <w:szCs w:val="24"/>
          <w:lang w:eastAsia="lt-LT"/>
        </w:rPr>
      </w:pPr>
      <w:r>
        <w:rPr>
          <w:color w:val="000000"/>
          <w:szCs w:val="24"/>
          <w:lang w:eastAsia="lt-LT"/>
        </w:rPr>
        <w:t>lošimų verslo loterijų ir lošimų mokesčio</w:t>
      </w:r>
    </w:p>
    <w:p>
      <w:pPr>
        <w:spacing w:line="276" w:lineRule="auto"/>
        <w:ind w:left="5103"/>
        <w:jc w:val="both"/>
        <w:rPr>
          <w:color w:val="000000"/>
          <w:szCs w:val="24"/>
          <w:lang w:eastAsia="lt-LT"/>
        </w:rPr>
      </w:pPr>
      <w:r>
        <w:rPr>
          <w:color w:val="000000"/>
          <w:szCs w:val="24"/>
          <w:lang w:eastAsia="lt-LT"/>
        </w:rPr>
        <w:t>deklaracijos FR0584 formos užpildymo</w:t>
      </w:r>
    </w:p>
    <w:p>
      <w:pPr>
        <w:spacing w:line="276" w:lineRule="auto"/>
        <w:ind w:left="5103"/>
        <w:jc w:val="both"/>
        <w:rPr>
          <w:b/>
          <w:szCs w:val="24"/>
          <w:lang w:eastAsia="lt-LT"/>
        </w:rPr>
      </w:pPr>
      <w:r>
        <w:rPr>
          <w:color w:val="000000"/>
          <w:szCs w:val="24"/>
          <w:lang w:eastAsia="lt-LT"/>
        </w:rPr>
        <w:t>taisyklių priedas</w:t>
      </w:r>
    </w:p>
    <w:p>
      <w:pPr>
        <w:rPr>
          <w:sz w:val="20"/>
        </w:rPr>
      </w:pPr>
    </w:p>
    <w:p>
      <w:pPr>
        <w:spacing w:line="360" w:lineRule="auto"/>
        <w:jc w:val="center"/>
        <w:rPr>
          <w:b/>
          <w:szCs w:val="24"/>
          <w:lang w:eastAsia="lt-LT"/>
        </w:rPr>
      </w:pPr>
      <w:r>
        <w:rPr>
          <w:b/>
          <w:szCs w:val="24"/>
          <w:lang w:eastAsia="lt-LT"/>
        </w:rPr>
        <w:t>LIETUVOS SAVIVALDYBIŲ KODAI</w:t>
      </w:r>
    </w:p>
    <w:p>
      <w:pPr>
        <w:rPr>
          <w:sz w:val="20"/>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170"/>
        <w:gridCol w:w="2580"/>
        <w:gridCol w:w="1185"/>
      </w:tblGrid>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ascii="Calibri" w:eastAsia="Calibri" w:hAnsi="Calibri"/>
                <w:b/>
                <w:bCs/>
                <w:szCs w:val="24"/>
              </w:rPr>
              <w:t>Savivaldybė</w:t>
            </w:r>
            <w:r>
              <w:rPr>
                <w:rFonts w:eastAsia="Calibri"/>
                <w:szCs w:val="24"/>
              </w:rPr>
              <w:t xml:space="preserve"> </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ascii="Calibri" w:eastAsia="Calibri" w:hAnsi="Calibri"/>
                <w:b/>
                <w:bCs/>
                <w:szCs w:val="24"/>
              </w:rPr>
              <w:t>Kodas</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ascii="Calibri" w:eastAsia="Calibri" w:hAnsi="Calibri"/>
                <w:b/>
                <w:bCs/>
                <w:szCs w:val="24"/>
              </w:rPr>
              <w:t>Savivaldybė</w:t>
            </w:r>
            <w:r>
              <w:rPr>
                <w:rFonts w:eastAsia="Calibri"/>
                <w:szCs w:val="24"/>
              </w:rPr>
              <w:t xml:space="preserve"> </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ascii="Calibri" w:eastAsia="Calibri" w:hAnsi="Calibri"/>
                <w:b/>
                <w:bCs/>
                <w:szCs w:val="24"/>
              </w:rPr>
              <w:t>Kodas</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Akmenės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32</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Palangos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25</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Alytaus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11</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Panevėžio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27</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Alytaus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33</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Panevėžio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66</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Anykščių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34</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Pasvalio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67</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Birštono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12</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Plungės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68</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Biržų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36</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Prienų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69</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Druskininkų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15</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Radviliškio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71</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Elektrėnų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42</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Raseinių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72</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Ignalinos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45</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Rietavo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74</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Jonavos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46</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Rokiškio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73</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Joniškio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47</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Skuodo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75</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Jurbarko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94</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Šakių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84</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Kaišiadorių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49</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Šalčininkų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85</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Kalvarijos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48</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Šiaulių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29</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Kauno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19</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Šiaulių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91</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Kauno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52</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Šilalės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87</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Kazlų Rūdos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58</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Šilutės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88</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Kėdainių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53</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Širvintų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89</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Kelmės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54</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Švenčionių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86</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Klaipėdos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21</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Tauragės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77</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Klaipėdos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55</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Telšių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78</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Kretingos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56</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Trakų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79</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Kupiškio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57</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Ukmergės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81</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Lazdijų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59</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Utenos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82</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Marijampolės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18</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Varėnos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38</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Mažeikių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61</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Vilkaviškio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39</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Molėtų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62</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Vilniaus m.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13</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Neringos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23</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Vilniaus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41</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Pagėgių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63</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Visagino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30</w:t>
            </w:r>
          </w:p>
        </w:tc>
      </w:tr>
      <w:tr>
        <w:trPr>
          <w:tblCellSpacing w:w="15" w:type="dxa"/>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Pakruojo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65</w:t>
            </w:r>
          </w:p>
        </w:tc>
        <w:tc>
          <w:tcPr>
            <w:tcW w:w="25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Zarasų r. sav.</w:t>
            </w:r>
          </w:p>
        </w:tc>
        <w:tc>
          <w:tcPr>
            <w:tcW w:w="11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pPr>
              <w:spacing w:line="276" w:lineRule="auto"/>
              <w:rPr>
                <w:rFonts w:eastAsia="Calibri"/>
                <w:szCs w:val="24"/>
              </w:rPr>
            </w:pPr>
            <w:r>
              <w:rPr>
                <w:rFonts w:eastAsia="Calibri"/>
                <w:szCs w:val="24"/>
              </w:rPr>
              <w:t>43</w:t>
            </w:r>
          </w:p>
        </w:tc>
      </w:tr>
    </w:tbl>
    <w:p>
      <w:pPr>
        <w:spacing w:line="276" w:lineRule="auto"/>
        <w:jc w:val="center"/>
      </w:pPr>
      <w:r>
        <w:rPr>
          <w:rFonts w:ascii="Calibri" w:eastAsia="Calibri" w:hAnsi="Calibri"/>
          <w:b/>
          <w:bCs/>
          <w:caps/>
          <w:sz w:val="22"/>
          <w:szCs w:val="22"/>
        </w:rPr>
        <w:t>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4004b0eb5511e58deaaf0783ebf65b">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2016-03-15,
paskelbta TAR 2016-03-17, i. k. 2016-05107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V-290 pakeitimo VA-23 forma FR0583</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566870493211e483c6e89f9dba57fd">
        <w:r w:rsidRPr="00532B9F">
          <w:rPr>
            <w:rFonts w:ascii="Times New Roman" w:eastAsia="MS Mincho" w:hAnsi="Times New Roman"/>
            <w:sz w:val="20"/>
            <w:i/>
            <w:iCs/>
            <w:color w:val="0000FF" w:themeColor="hyperlink"/>
            <w:u w:val="single"/>
          </w:rPr>
          <w:t>VA-83</w:t>
        </w:r>
      </w:fldSimple>
      <w:r>
        <w:rPr>
          <w:rFonts w:ascii="Times New Roman" w:eastAsia="MS Mincho" w:hAnsi="Times New Roman"/>
          <w:sz w:val="20"/>
          <w:i/>
          <w:iCs/>
        </w:rPr>
        <w:t>,
2014-09-30,
paskelbta TAR 2014-10-01, i. k. 2014-13354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4004b0eb5511e58deaaf0783ebf65b">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2016-03-15,
paskelbta TAR 2016-03-17, i. k. 2016-05107        </w:t>
      </w:r>
    </w:p>
    <w:p/>
    <w:p>
      <w:pPr>
        <w:pStyle w:val="PlainText"/>
        <w:rPr>
          <w:rFonts w:ascii="Times New Roman" w:eastAsia="MS Mincho" w:hAnsi="Times New Roman"/>
          <w:sz w:val="20"/>
          <w:iCs/>
        </w:rPr>
      </w:pPr>
      <w:r>
        <w:rPr>
          <w:rFonts w:ascii="Times New Roman" w:eastAsia="MS Mincho" w:hAnsi="Times New Roman"/>
          <w:sz w:val="20"/>
          <w:iCs/>
        </w:rPr>
        <w:t>Azartinių lošimų verslo loterijų ir lošimų mokesčio deklaracijos FR0584 forma  pagal įsakymą Nr. VA-19</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1566870493211e483c6e89f9dba57fd">
        <w:r w:rsidRPr="00532B9F">
          <w:rPr>
            <w:rFonts w:ascii="Times New Roman" w:eastAsia="MS Mincho" w:hAnsi="Times New Roman"/>
            <w:sz w:val="20"/>
            <w:i/>
            <w:iCs/>
            <w:color w:val="0000FF" w:themeColor="hyperlink"/>
            <w:u w:val="single"/>
          </w:rPr>
          <w:t>VA-83</w:t>
        </w:r>
      </w:fldSimple>
      <w:r>
        <w:rPr>
          <w:rFonts w:ascii="Times New Roman" w:eastAsia="MS Mincho" w:hAnsi="Times New Roman"/>
          <w:sz w:val="20"/>
          <w:i/>
          <w:iCs/>
        </w:rPr>
        <w:t>,
2014-09-30,
paskelbta TAR 2014-10-01, i. k. 2014-13354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4004b0eb5511e58deaaf0783ebf65b">
        <w:r w:rsidRPr="00532B9F">
          <w:rPr>
            <w:rFonts w:ascii="Times New Roman" w:eastAsia="MS Mincho" w:hAnsi="Times New Roman"/>
            <w:sz w:val="20"/>
            <w:i/>
            <w:iCs/>
            <w:color w:val="0000FF" w:themeColor="hyperlink"/>
            <w:u w:val="single"/>
          </w:rPr>
          <w:t>VA-23</w:t>
        </w:r>
      </w:fldSimple>
      <w:r>
        <w:rPr>
          <w:rFonts w:ascii="Times New Roman" w:eastAsia="MS Mincho" w:hAnsi="Times New Roman"/>
          <w:sz w:val="20"/>
          <w:i/>
          <w:iCs/>
        </w:rPr>
        <w:t>,
2016-03-15,
paskelbta TAR 2016-03-17, i. k. 2016-05107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45e8a03a8e11e99595d005d42b863e">
        <w:r w:rsidRPr="00532B9F">
          <w:rPr>
            <w:rFonts w:ascii="Times New Roman" w:eastAsia="MS Mincho" w:hAnsi="Times New Roman"/>
            <w:sz w:val="20"/>
            <w:i/>
            <w:iCs/>
            <w:color w:val="0000FF" w:themeColor="hyperlink"/>
            <w:u w:val="single"/>
          </w:rPr>
          <w:t>VA-19</w:t>
        </w:r>
      </w:fldSimple>
      <w:r>
        <w:rPr>
          <w:rFonts w:ascii="Times New Roman" w:eastAsia="MS Mincho" w:hAnsi="Times New Roman"/>
          <w:sz w:val="20"/>
          <w:i/>
          <w:iCs/>
        </w:rPr>
        <w:t>,
2019-02-26,
paskelbta TAR 2019-02-27, i. k. 2019-03273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5B797DE324">
        <w:r w:rsidRPr="00532B9F">
          <w:rPr>
            <w:rFonts w:ascii="Times New Roman" w:eastAsia="MS Mincho" w:hAnsi="Times New Roman"/>
            <w:sz w:val="20"/>
            <w:iCs/>
            <w:color w:val="0000FF" w:themeColor="hyperlink"/>
            <w:u w:val="single"/>
          </w:rPr>
          <w:t>VA-19</w:t>
        </w:r>
      </w:fldSimple>
      <w:r>
        <w:rPr>
          <w:rFonts w:ascii="Times New Roman" w:eastAsia="MS Mincho" w:hAnsi="Times New Roman"/>
          <w:sz w:val="20"/>
          <w:iCs/>
        </w:rPr>
        <w:t>,
2009-02-20,
Žin., 2009, Nr.
22-890 (2009-02-26), i. k. 1092055ISAK000VA-19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lapkričio 10 d. įsakymo Nr. V-290 "Dėl Loterijų ir lošimų mokesčio deklaracijų formų bei jų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1566870493211e483c6e89f9dba57fd">
        <w:r w:rsidRPr="00532B9F">
          <w:rPr>
            <w:rFonts w:ascii="Times New Roman" w:eastAsia="MS Mincho" w:hAnsi="Times New Roman"/>
            <w:sz w:val="20"/>
            <w:iCs/>
            <w:color w:val="0000FF" w:themeColor="hyperlink"/>
            <w:u w:val="single"/>
          </w:rPr>
          <w:t>VA-83</w:t>
        </w:r>
      </w:fldSimple>
      <w:r>
        <w:rPr>
          <w:rFonts w:ascii="Times New Roman" w:eastAsia="MS Mincho" w:hAnsi="Times New Roman"/>
          <w:sz w:val="20"/>
          <w:iCs/>
        </w:rPr>
        <w:t>,
2014-09-30,
paskelbta TAR 2014-10-01, i. k. 2014-13354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lapkričio 10 d. įsakymo Nr. V-290 „Dėl loterijų ir lošimų mokesčio deklaracijų formų bei jų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54004b0eb5511e58deaaf0783ebf65b">
        <w:r w:rsidRPr="00532B9F">
          <w:rPr>
            <w:rFonts w:ascii="Times New Roman" w:eastAsia="MS Mincho" w:hAnsi="Times New Roman"/>
            <w:sz w:val="20"/>
            <w:iCs/>
            <w:color w:val="0000FF" w:themeColor="hyperlink"/>
            <w:u w:val="single"/>
          </w:rPr>
          <w:t>VA-23</w:t>
        </w:r>
      </w:fldSimple>
      <w:r>
        <w:rPr>
          <w:rFonts w:ascii="Times New Roman" w:eastAsia="MS Mincho" w:hAnsi="Times New Roman"/>
          <w:sz w:val="20"/>
          <w:iCs/>
        </w:rPr>
        <w:t>,
2016-03-15,
paskelbta TAR 2016-03-17, i. k. 2016-05107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lapkričio 10 d. įsakymo Nr. V-290 „Dėl Loterijų verslo loterijų ir lošimų mokesčio deklaracijos FR0583 formos bei azartinių lošimų verslo loterijų ir lošimų mokesčio deklaracijos FR0584 formos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45e8a03a8e11e99595d005d42b863e">
        <w:r w:rsidRPr="00532B9F">
          <w:rPr>
            <w:rFonts w:ascii="Times New Roman" w:eastAsia="MS Mincho" w:hAnsi="Times New Roman"/>
            <w:sz w:val="20"/>
            <w:iCs/>
            <w:color w:val="0000FF" w:themeColor="hyperlink"/>
            <w:u w:val="single"/>
          </w:rPr>
          <w:t>VA-19</w:t>
        </w:r>
      </w:fldSimple>
      <w:r>
        <w:rPr>
          <w:rFonts w:ascii="Times New Roman" w:eastAsia="MS Mincho" w:hAnsi="Times New Roman"/>
          <w:sz w:val="20"/>
          <w:iCs/>
        </w:rPr>
        <w:t>,
2019-02-26,
paskelbta TAR 2019-02-27, i. k. 2019-03273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2003 m. lapkričio 10 d. įsakymo Nr. V-290 „Dėl loterijų ir lošimų mokesčio deklaracijų formų bei jų pildymo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A0E15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D503DCB3BF0D"/>
  <Relationship Id="rId12" Type="http://schemas.openxmlformats.org/officeDocument/2006/relationships/hyperlink" TargetMode="External" Target="https://www.e-tar.lt/portal/lt/legalAct/TAR.E5509883EBB4"/>
  <Relationship Id="rId13" Type="http://schemas.openxmlformats.org/officeDocument/2006/relationships/hyperlink" TargetMode="External" Target="https://www.e-tar.lt/portal/lt/legalAct/TAR.623EB9458C45"/>
  <Relationship Id="rId14" Type="http://schemas.openxmlformats.org/officeDocument/2006/relationships/hyperlink" TargetMode="External" Target="https://www.e-tar.lt/portal/lt/legalAct/TAR.077276F69388"/>
  <Relationship Id="rId15" Type="http://schemas.openxmlformats.org/officeDocument/2006/relationships/hyperlink" TargetMode="External" Target="https://www.e-tar.lt/portal/lt/legalAct/TAR.69AE693D1287"/>
  <Relationship Id="rId16" Type="http://schemas.openxmlformats.org/officeDocument/2006/relationships/hyperlink" TargetMode="External" Target="https://www.e-tar.lt/portal/lt/legalAct/TAR.87ADE53958E8"/>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fontTable" Target="fontTable.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Parts>
    <w:docPart>
      <w:docPartPr>
        <w:name w:val="DefaultPlaceholder_1082065158"/>
        <w:category>
          <w:name w:val="Bendrosios nuostatos"/>
          <w:gallery w:val="placeholder"/>
        </w:category>
        <w:types>
          <w:type w:val="bbPlcHdr"/>
        </w:types>
        <w:behaviors>
          <w:behavior w:val="content"/>
        </w:behaviors>
        <w:guid w:val="{532F7BA2-E234-42AC-B2D1-F8AE99DB9954}"/>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67"/>
    <w:rsid w:val="001451D5"/>
    <w:rsid w:val="001809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6A8B42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096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096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6</Pages>
  <Words>8154</Words>
  <Characters>4648</Characters>
  <Application>Microsoft Office Word</Application>
  <DocSecurity>0</DocSecurity>
  <Lines>38</Lines>
  <Paragraphs>25</Paragraphs>
  <ScaleCrop>false</ScaleCrop>
  <Company/>
  <LinksUpToDate>false</LinksUpToDate>
  <CharactersWithSpaces>12777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2015-09-09T19:56:00Z</dcterms:created>
  <dc:creator>Win2003Stdx32</dc:creator>
  <lastModifiedBy>GUMBYTĖ Danguolė</lastModifiedBy>
  <dcterms:modified xsi:type="dcterms:W3CDTF">2019-02-28T05:56:00Z</dcterms:modified>
  <revision>9</revision>
</coreProperties>
</file>