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afebc4960be41aba2a228c6acd7023e"/>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A6BE5BE0C398">
            <w:r w:rsidRPr="00532B9F">
              <w:rPr>
                <w:rFonts w:ascii="Times New Roman" w:eastAsia="MS Mincho" w:hAnsi="Times New Roman"/>
                <w:sz w:val="20"/>
                <w:i/>
                <w:iCs/>
                <w:color w:val="0000FF" w:themeColor="hyperlink"/>
                <w:u w:val="single"/>
              </w:rPr>
              <w:t>31-1290</w:t>
            </w:r>
          </w:fldSimple>
          <w:r>
            <w:rPr>
              <w:rFonts w:ascii="Times New Roman" w:eastAsia="MS Mincho" w:hAnsi="Times New Roman"/>
              <w:sz w:val="20"/>
              <w:i/>
              <w:iCs/>
            </w:rPr>
            <w:t>; Žin. 2005, Nr. </w:t>
          </w:r>
          <w:fldSimple w:instr="HYPERLINK https://www.e-tar.lt/portal/legalAct.html?documentId=TAR.A6BE5BE0C398">
            <w:r w:rsidRPr="00532B9F">
              <w:rPr>
                <w:rFonts w:ascii="Times New Roman" w:eastAsia="MS Mincho" w:hAnsi="Times New Roman"/>
                <w:sz w:val="20"/>
                <w:i/>
                <w:iCs/>
                <w:color w:val="0000FF" w:themeColor="hyperlink"/>
                <w:u w:val="single"/>
              </w:rPr>
              <w:t>122-0</w:t>
            </w:r>
          </w:fldSimple>
          <w:r>
            <w:rPr>
              <w:rFonts w:ascii="Times New Roman" w:eastAsia="MS Mincho" w:hAnsi="Times New Roman"/>
              <w:sz w:val="20"/>
              <w:i/>
              <w:iCs/>
            </w:rPr>
            <w:t>, i. k. 102301MISAK00000699</w:t>
          </w:r>
        </w:p>
        <w:p>
          <w:pPr>
            <w:jc w:val="both"/>
            <w:rPr>
              <w:rFonts w:ascii="Times New Roman" w:hAnsi="Times New Roman"/>
              <w:sz w:val="20"/>
            </w:rPr>
          </w:pPr>
        </w:p>
        <w:p>
          <w:pPr>
            <w:tabs>
              <w:tab w:val="center" w:pos="4153"/>
              <w:tab w:val="right" w:pos="8306"/>
            </w:tabs>
          </w:pPr>
          <w:r>
            <w:t xml:space="preserve"> </w:t>
          </w:r>
        </w:p>
        <w:p>
          <w:pPr>
            <w:snapToGrid w:val="0"/>
            <w:jc w:val="center"/>
            <w:rPr>
              <w:b/>
              <w:color w:val="000000"/>
              <w:lang w:eastAsia="lt-LT"/>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3" o:title=""/>
              </v:shape>
              <w:control r:id="rId14" w:name="Control 4" w:shapeid="_x0000_s1028"/>
            </w:pict>
            <w:t>LIETUVOS RESPUBLIKOS APLINKOS MINISTRO</w:t>
          </w:r>
        </w:p>
        <w:p>
          <w:pPr>
            <w:snapToGrid w:val="0"/>
            <w:jc w:val="center"/>
            <w:rPr>
              <w:color w:val="000000"/>
              <w:lang w:eastAsia="lt-LT"/>
            </w:rPr>
          </w:pPr>
        </w:p>
        <w:p>
          <w:pPr>
            <w:snapToGrid w:val="0"/>
            <w:jc w:val="center"/>
            <w:rPr>
              <w:b/>
              <w:color w:val="000000"/>
              <w:lang w:eastAsia="lt-LT"/>
            </w:rPr>
          </w:pPr>
          <w:r>
            <w:rPr>
              <w:b/>
              <w:color w:val="000000"/>
              <w:lang w:eastAsia="lt-LT"/>
            </w:rPr>
            <w:t>Į S A K Y M A S</w:t>
          </w:r>
        </w:p>
        <w:p>
          <w:pPr>
            <w:snapToGrid w:val="0"/>
            <w:jc w:val="center"/>
            <w:rPr>
              <w:b/>
              <w:color w:val="000000"/>
              <w:lang w:eastAsia="lt-LT"/>
            </w:rPr>
          </w:pPr>
          <w:r>
            <w:rPr>
              <w:b/>
              <w:color w:val="000000"/>
              <w:lang w:eastAsia="lt-LT"/>
            </w:rPr>
            <w:t>DĖL ATLIEKŲ DEGINIMO APLINKOSAUGINIŲ REIKALAVIMŲ PATVIRTINIMO</w:t>
          </w:r>
        </w:p>
        <w:p>
          <w:pPr>
            <w:snapToGrid w:val="0"/>
            <w:jc w:val="center"/>
            <w:rPr>
              <w:color w:val="000000"/>
              <w:lang w:eastAsia="lt-LT"/>
            </w:rPr>
          </w:pPr>
        </w:p>
        <w:p>
          <w:pPr>
            <w:snapToGrid w:val="0"/>
            <w:jc w:val="center"/>
            <w:rPr>
              <w:color w:val="000000"/>
              <w:lang w:eastAsia="lt-LT"/>
            </w:rPr>
          </w:pPr>
          <w:r>
            <w:rPr>
              <w:color w:val="000000"/>
              <w:lang w:eastAsia="lt-LT"/>
            </w:rPr>
            <w:t>2002 m. gruodžio 31 d. Nr. 699</w:t>
          </w:r>
        </w:p>
        <w:p>
          <w:pPr>
            <w:snapToGrid w:val="0"/>
            <w:jc w:val="center"/>
            <w:rPr>
              <w:color w:val="000000"/>
              <w:lang w:eastAsia="lt-LT"/>
            </w:rPr>
          </w:pPr>
          <w:r>
            <w:rPr>
              <w:color w:val="000000"/>
              <w:lang w:eastAsia="lt-LT"/>
            </w:rPr>
            <w:t>Vilnius</w:t>
          </w:r>
        </w:p>
        <w:p>
          <w:pPr>
            <w:snapToGrid w:val="0"/>
            <w:ind w:firstLine="709"/>
            <w:jc w:val="both"/>
            <w:rPr>
              <w:color w:val="000000"/>
              <w:lang w:eastAsia="lt-LT"/>
            </w:rPr>
          </w:pPr>
        </w:p>
        <w:p>
          <w:pPr>
            <w:snapToGrid w:val="0"/>
            <w:ind w:firstLine="709"/>
            <w:jc w:val="both"/>
            <w:rPr>
              <w:color w:val="000000"/>
              <w:lang w:eastAsia="lt-LT"/>
            </w:rPr>
          </w:pPr>
        </w:p>
        <w:sdt>
          <w:sdtPr>
            <w:alias w:val="preambule"/>
            <w:tag w:val="part_68e7beaa936f4e9d96f6956b5407a0c2"/>
            <w:lock w:val="sdtLocked"/>
            <w:richText/>
          </w:sdtPr>
          <w:sdtContent>
            <w:p>
              <w:pPr>
                <w:ind w:firstLine="709"/>
                <w:jc w:val="both"/>
              </w:pPr>
              <w:r>
                <w:t xml:space="preserve">Vadovaudamasis Lietuvos Respublikos aplinkos apsaugos įstatymo 6 straipsnio 5 dalies 4 ir 8 punktais, Lietuvos Respublikos atliekų tvarkymo įstatymo 20 straipsnio 1 dalimi, įgyvendindamas </w:t>
              </w:r>
              <w:r>
                <w:rPr>
                  <w:szCs w:val="24"/>
                </w:rPr>
                <w:t xml:space="preserve">2010 m. lapkričio 24 d. Europos Parlamento ir Tarybos direktyvą </w:t>
              </w:r>
              <w:hyperlink r:id="rId15" w:tgtFrame="_blank" w:history="1">
                <w:r>
                  <w:rPr>
                    <w:color w:val="0000FF" w:themeColor="hyperlink"/>
                    <w:szCs w:val="24"/>
                    <w:u w:val="single"/>
                  </w:rPr>
                  <w:t>2010/75/ES</w:t>
                </w:r>
              </w:hyperlink>
              <w:r>
                <w:rPr>
                  <w:szCs w:val="24"/>
                </w:rPr>
                <w:t xml:space="preserve"> dėl pramoninių ir </w:t>
              </w:r>
              <w:r>
                <w:t>gyvulininkystės sektoriuje išmetamų teršalų</w:t>
              </w:r>
              <w:r>
                <w:rPr>
                  <w:szCs w:val="24"/>
                </w:rPr>
                <w:t xml:space="preserve"> (taršos integruotos prevencijos ir kontrolės)</w:t>
              </w:r>
              <w:r>
                <w:t xml:space="preserve"> su paskutiniais pakeitimais, padarytais 2024 m. balandžio 24 d. Europos Parlamento ir Tarybos direktyva </w:t>
              </w:r>
              <w:hyperlink r:id="rId16" w:tgtFrame="_blank" w:history="1">
                <w:r>
                  <w:rPr>
                    <w:color w:val="0000FF" w:themeColor="hyperlink"/>
                    <w:u w:val="single"/>
                  </w:rPr>
                  <w:t>(ES) 2024/1785</w:t>
                </w:r>
              </w:hyperlink>
              <w:r>
                <w:t xml:space="preserve">, 2023 m. liepos 12 d. Europos Parlamento ir Tarybos reglamentą </w:t>
              </w:r>
              <w:hyperlink r:id="rId17" w:tgtFrame="_blank" w:history="1">
                <w:r>
                  <w:rPr>
                    <w:color w:val="0000FF" w:themeColor="hyperlink"/>
                    <w:u w:val="single"/>
                  </w:rPr>
                  <w:t>(ES)  2023/1542</w:t>
                </w:r>
              </w:hyperlink>
              <w:r>
                <w:t xml:space="preserve"> dėl baterijų ir baterijų atliekų, kuriuo iš dalies keičiama Direktyva </w:t>
              </w:r>
              <w:hyperlink r:id="rId18" w:tgtFrame="_blank" w:history="1">
                <w:r>
                  <w:rPr>
                    <w:color w:val="0000FF" w:themeColor="hyperlink"/>
                    <w:u w:val="single"/>
                  </w:rPr>
                  <w:t>2008/98/EB</w:t>
                </w:r>
              </w:hyperlink>
              <w:r>
                <w:t xml:space="preserve"> bei Reglamentas </w:t>
              </w:r>
              <w:hyperlink r:id="rId19" w:tgtFrame="_blank" w:history="1">
                <w:r>
                  <w:rPr>
                    <w:color w:val="0000FF" w:themeColor="hyperlink"/>
                    <w:u w:val="single"/>
                  </w:rPr>
                  <w:t>(ES) 2019/1020</w:t>
                </w:r>
              </w:hyperlink>
              <w:r>
                <w:t xml:space="preserve"> ir panaikinama Direktyva </w:t>
              </w:r>
              <w:hyperlink r:id="rId20" w:tgtFrame="_blank" w:history="1">
                <w:r>
                  <w:rPr>
                    <w:color w:val="0000FF" w:themeColor="hyperlink"/>
                    <w:u w:val="single"/>
                  </w:rPr>
                  <w:t>2006/66/EB</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09630290f11e9b66f85227a03f7a3">
                <w:r w:rsidRPr="00532B9F">
                  <w:rPr>
                    <w:rFonts w:ascii="Times New Roman" w:eastAsia="MS Mincho" w:hAnsi="Times New Roman"/>
                    <w:sz w:val="20"/>
                    <w:i/>
                    <w:iCs/>
                    <w:color w:val="0000FF" w:themeColor="hyperlink"/>
                    <w:u w:val="single"/>
                  </w:rPr>
                  <w:t>D1-66</w:t>
                </w:r>
              </w:fldSimple>
              <w:r>
                <w:rPr>
                  <w:rFonts w:ascii="Times New Roman" w:eastAsia="MS Mincho" w:hAnsi="Times New Roman"/>
                  <w:sz w:val="20"/>
                  <w:i/>
                  <w:iCs/>
                </w:rPr>
                <w:t>,
2019-02-04,
paskelbta TAR 2019-02-05, i. k. 2019-01719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bb211bba111f092fda1fd0c194cc5">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2025-11-07,
paskelbta TAR 2025-11-07, i. k. 2025-18725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sdtContent>
        </w:sdt>
        <w:sdt>
          <w:sdtPr>
            <w:alias w:val="1 p."/>
            <w:tag w:val="part_7d3966a29c70429e8f320ced57c5da46"/>
            <w:lock w:val="sdtLocked"/>
            <w:richText/>
          </w:sdtPr>
          <w:sdtContent>
            <w:p>
              <w:pPr>
                <w:ind w:firstLine="709"/>
                <w:jc w:val="both"/>
              </w:pPr>
              <w:sdt>
                <w:sdtPr>
                  <w:alias w:val="Numeris"/>
                  <w:tag w:val="nr_7d3966a29c70429e8f320ced57c5da46"/>
                  <w:lock w:val="sdtLocked"/>
                  <w:richText/>
                </w:sdtPr>
                <w:sdtContent>
                  <w:r>
                    <w:t>1</w:t>
                  </w:r>
                </w:sdtContent>
              </w:sdt>
              <w:r>
                <w:t xml:space="preserve">. </w:t>
              </w:r>
              <w:r>
                <w:rPr>
                  <w:spacing w:val="60"/>
                </w:rPr>
                <w:t>Tvirtinu</w:t>
              </w:r>
              <w:r>
                <w:t xml:space="preserve"> Atliekų deginimo aplinkosauginius reikalavimus (pridedama).</w:t>
              </w:r>
            </w:p>
          </w:sdtContent>
        </w:sdt>
        <w:sdt>
          <w:sdtPr>
            <w:alias w:val="2 p."/>
            <w:tag w:val="part_1d79e0e1fb234e5ca1ee5133c9960e94"/>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2019-02-06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09630290f11e9b66f85227a03f7a3">
                <w:r w:rsidRPr="00532B9F">
                  <w:rPr>
                    <w:rFonts w:ascii="Times New Roman" w:eastAsia="MS Mincho" w:hAnsi="Times New Roman"/>
                    <w:sz w:val="20"/>
                    <w:i/>
                    <w:iCs/>
                    <w:color w:val="0000FF" w:themeColor="hyperlink"/>
                    <w:u w:val="single"/>
                  </w:rPr>
                  <w:t>D1-66</w:t>
                </w:r>
              </w:fldSimple>
              <w:r>
                <w:rPr>
                  <w:rFonts w:ascii="Times New Roman" w:eastAsia="MS Mincho" w:hAnsi="Times New Roman"/>
                  <w:sz w:val="20"/>
                  <w:i/>
                  <w:iCs/>
                </w:rPr>
                <w:t>,
2019-02-04,
paskelbta TAR 2019-02-05, i. k. 2019-01719        </w:t>
              </w:r>
            </w:p>
            <w:p/>
          </w:sdtContent>
        </w:sdt>
        <w:sdt>
          <w:sdtPr>
            <w:alias w:val="3 p."/>
            <w:tag w:val="part_1aedd3afcb3048b4a67ea738a50c7d39"/>
            <w:lock w:val="sdtLocked"/>
            <w:richText/>
          </w:sdtPr>
          <w:sdtContent>
            <w:p>
              <w:pPr>
                <w:ind w:firstLine="709"/>
                <w:jc w:val="both"/>
                <w:textAlignment w:val="center"/>
              </w:pPr>
              <w:sdt>
                <w:sdtPr>
                  <w:alias w:val="Numeris"/>
                  <w:tag w:val="nr_1aedd3afcb3048b4a67ea738a50c7d39"/>
                  <w:lock w:val="sdtLocked"/>
                  <w:richText/>
                </w:sdtPr>
                <w:sdtContent>
                  <w:r>
                    <w:rPr>
                      <w:color w:val="000000"/>
                      <w:szCs w:val="24"/>
                      <w:lang w:eastAsia="lt-LT"/>
                    </w:rPr>
                    <w:t>3</w:t>
                  </w:r>
                </w:sdtContent>
              </w:sdt>
              <w:r>
                <w:rPr>
                  <w:color w:val="000000"/>
                  <w:szCs w:val="24"/>
                  <w:lang w:eastAsia="lt-LT"/>
                </w:rPr>
                <w:t>. Pavedu Aplinkos apsaugos departamentui prie Aplinkos ministerijos kontroliuoti Atliekų deginimo aplinkosauginių reikalavimų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4EF00A860">
                <w:r w:rsidRPr="00532B9F">
                  <w:rPr>
                    <w:rFonts w:ascii="Times New Roman" w:eastAsia="MS Mincho" w:hAnsi="Times New Roman"/>
                    <w:sz w:val="20"/>
                    <w:i/>
                    <w:iCs/>
                    <w:color w:val="0000FF" w:themeColor="hyperlink"/>
                    <w:u w:val="single"/>
                  </w:rPr>
                  <w:t>D1-515</w:t>
                </w:r>
              </w:fldSimple>
              <w:r>
                <w:rPr>
                  <w:rFonts w:ascii="Times New Roman" w:eastAsia="MS Mincho" w:hAnsi="Times New Roman"/>
                  <w:sz w:val="20"/>
                  <w:i/>
                  <w:iCs/>
                </w:rPr>
                <w:t>,
2010-06-16,
Žin., 2010, Nr.
79-4115 (2010-07-03), i. k. 110301MISAK00D1-515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3aa00790411e8ae2bfd1913d66d57">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2018-06-18,
paskelbta TAR 2018-06-26, i. k. 2018-10483            </w:t>
              </w:r>
            </w:p>
            <w:p/>
          </w:sdtContent>
        </w:sdt>
        <w:sdt>
          <w:sdtPr>
            <w:alias w:val="4 p."/>
            <w:tag w:val="part_4a99cd5fe1344c0a8a3482bb8da31b2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2019-02-06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09630290f11e9b66f85227a03f7a3">
                <w:r w:rsidRPr="00532B9F">
                  <w:rPr>
                    <w:rFonts w:ascii="Times New Roman" w:eastAsia="MS Mincho" w:hAnsi="Times New Roman"/>
                    <w:sz w:val="20"/>
                    <w:i/>
                    <w:iCs/>
                    <w:color w:val="0000FF" w:themeColor="hyperlink"/>
                    <w:u w:val="single"/>
                  </w:rPr>
                  <w:t>D1-66</w:t>
                </w:r>
              </w:fldSimple>
              <w:r>
                <w:rPr>
                  <w:rFonts w:ascii="Times New Roman" w:eastAsia="MS Mincho" w:hAnsi="Times New Roman"/>
                  <w:sz w:val="20"/>
                  <w:i/>
                  <w:iCs/>
                </w:rPr>
                <w:t>,
2019-02-04,
paskelbta TAR 2019-02-05, i. k. 2019-01719        </w:t>
              </w:r>
            </w:p>
            <w:p/>
          </w:sdtContent>
        </w:sdt>
        <w:sdt>
          <w:sdtPr>
            <w:alias w:val="signatura"/>
            <w:tag w:val="part_d8a3eb45fc3c49c9989927e6615740d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5d75e359b82d4e18a1a08fab9b3f0e13"/>
        <w:lock w:val="sdtLocked"/>
        <w:richText/>
      </w:sdtPr>
      <w:sdtContent>
        <w:p>
          <w:pPr>
            <w:ind w:firstLine="5102"/>
            <w:sectPr>
              <w:headerReference w:type="even" r:id="rId21"/>
              <w:headerReference w:type="default" r:id="rId22"/>
              <w:footerReference w:type="even" r:id="rId23"/>
              <w:footerReference w:type="default" r:id="rId24"/>
              <w:headerReference w:type="first" r:id="rId25"/>
              <w:footerReference w:type="first" r:id="rId26"/>
              <w:pgSz w:w="11907" w:h="16839"/>
              <w:pgMar w:top="1134" w:right="567" w:bottom="1134" w:left="1701" w:header="567" w:footer="567" w:gutter="0"/>
              <w:cols w:space="1296"/>
              <w:titlePg/>
              <w:docGrid w:linePitch="360"/>
            </w:sectPr>
          </w:pPr>
        </w:p>
        <w:p>
          <w:pPr>
            <w:ind w:firstLine="5102"/>
          </w:pPr>
          <w:r>
            <w:t>PATVIRTINTA</w:t>
          </w:r>
        </w:p>
        <w:p>
          <w:pPr>
            <w:ind w:firstLine="5102"/>
          </w:pPr>
          <w:r>
            <w:t>Lietuvos Respublikos aplinkos ministro</w:t>
          </w:r>
        </w:p>
        <w:p>
          <w:pPr>
            <w:ind w:firstLine="5102"/>
          </w:pPr>
          <w:smartTag w:uri="urn:schemas-microsoft-com:office:smarttags" w:element="metricconverter">
            <w:smartTagPr>
              <w:attr w:name="ProductID" w:val="2002 m"/>
            </w:smartTagPr>
            <w:r>
              <w:t>2002 m</w:t>
            </w:r>
          </w:smartTag>
          <w:r>
            <w:t>. gruodžio 31 d. įsakymu Nr. 699</w:t>
          </w:r>
        </w:p>
        <w:p>
          <w:pPr>
            <w:ind w:firstLine="709"/>
          </w:pPr>
        </w:p>
        <w:p>
          <w:pPr>
            <w:jc w:val="center"/>
            <w:rPr>
              <w:b/>
            </w:rPr>
          </w:pPr>
          <w:sdt>
            <w:sdtPr>
              <w:alias w:val="Pavadinimas"/>
              <w:tag w:val="title_5d75e359b82d4e18a1a08fab9b3f0e13"/>
              <w:lock w:val="sdtLocked"/>
              <w:richText/>
            </w:sdtPr>
            <w:sdtContent>
              <w:r>
                <w:rPr>
                  <w:b/>
                </w:rPr>
                <w:t>ATLIEKŲ DEGINIMO APLINKOSAUGINIAI REIKALAVIMAI</w:t>
              </w:r>
            </w:sdtContent>
          </w:sdt>
        </w:p>
        <w:p>
          <w:pPr>
            <w:jc w:val="center"/>
            <w:rPr>
              <w:b/>
            </w:rPr>
          </w:pPr>
        </w:p>
        <w:sdt>
          <w:sdtPr>
            <w:alias w:val="skyrius"/>
            <w:tag w:val="part_a7a92c9fca8b452f85f3dd322601d4bf"/>
            <w:lock w:val="sdtLocked"/>
            <w:richText/>
          </w:sdtPr>
          <w:sdtContent>
            <w:p>
              <w:pPr>
                <w:jc w:val="center"/>
                <w:rPr>
                  <w:b/>
                </w:rPr>
              </w:pPr>
              <w:sdt>
                <w:sdtPr>
                  <w:alias w:val="Numeris"/>
                  <w:tag w:val="nr_a7a92c9fca8b452f85f3dd322601d4bf"/>
                  <w:lock w:val="sdtLocked"/>
                  <w:richText/>
                </w:sdtPr>
                <w:sdtContent>
                  <w:r>
                    <w:rPr>
                      <w:b/>
                    </w:rPr>
                    <w:t>I</w:t>
                  </w:r>
                </w:sdtContent>
              </w:sdt>
              <w:r>
                <w:rPr>
                  <w:b/>
                </w:rPr>
                <w:t xml:space="preserve"> SKYRIUS</w:t>
              </w:r>
            </w:p>
            <w:p>
              <w:pPr>
                <w:jc w:val="center"/>
                <w:rPr>
                  <w:b/>
                </w:rPr>
              </w:pPr>
              <w:sdt>
                <w:sdtPr>
                  <w:alias w:val="Pavadinimas"/>
                  <w:tag w:val="title_a7a92c9fca8b452f85f3dd322601d4bf"/>
                  <w:lock w:val="sdtLocked"/>
                  <w:richText/>
                </w:sdtPr>
                <w:sdtContent>
                  <w:r>
                    <w:rPr>
                      <w:b/>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sdt>
              <w:sdtPr>
                <w:alias w:val="1 p."/>
                <w:tag w:val="part_b1a2c87dfbbc4a44adb3ae94742acb75"/>
                <w:lock w:val="sdtLocked"/>
                <w:richText/>
              </w:sdtPr>
              <w:sdtContent>
                <w:p>
                  <w:pPr>
                    <w:ind w:firstLine="709"/>
                    <w:jc w:val="both"/>
                  </w:pPr>
                  <w:sdt>
                    <w:sdtPr>
                      <w:alias w:val="Numeris"/>
                      <w:tag w:val="nr_b1a2c87dfbbc4a44adb3ae94742acb75"/>
                      <w:lock w:val="sdtLocked"/>
                      <w:richText/>
                    </w:sdtPr>
                    <w:sdtContent>
                      <w:r>
                        <w:t>1</w:t>
                      </w:r>
                    </w:sdtContent>
                  </w:sdt>
                  <w:r>
                    <w:t>. Atliekų deginimo aplinkosauginiai reikalavimai (toliau – Reikalavimai) nustatyti siekiant išvengti ar kiek įmanoma sumažinti neigiamą poveikį aplinkai, ypač teršalų emisiją į aplinkos orą, dirvožemį, paviršinius ir gruntinius vandenis iš atliekas deginančių įrenginių, ir su tuo susijusią riziką žmonių sveikatai.</w:t>
                  </w:r>
                </w:p>
              </w:sdtContent>
            </w:sdt>
            <w:sdt>
              <w:sdtPr>
                <w:alias w:val="2 p."/>
                <w:tag w:val="part_404d9179e5d0465f98959b8f86353e0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A2852A26B36">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2008-09-23,
Žin., 2008, Nr.
111-4253 (2008-09-27), i. k. 108301MISAK00D1-487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3 p."/>
                <w:tag w:val="part_331ce83427d342b6ba431a818e5bbcbe"/>
                <w:lock w:val="sdtLocked"/>
                <w:richText/>
              </w:sdtPr>
              <w:sdtContent>
                <w:p>
                  <w:pPr>
                    <w:ind w:firstLine="709"/>
                    <w:jc w:val="both"/>
                  </w:pPr>
                  <w:sdt>
                    <w:sdtPr>
                      <w:alias w:val="Numeris"/>
                      <w:tag w:val="nr_331ce83427d342b6ba431a818e5bbcbe"/>
                      <w:lock w:val="sdtLocked"/>
                      <w:richText/>
                    </w:sdtPr>
                    <w:sdtContent>
                      <w:r>
                        <w:rPr>
                          <w:szCs w:val="24"/>
                        </w:rPr>
                        <w:t>3</w:t>
                      </w:r>
                    </w:sdtContent>
                  </w:sdt>
                  <w:r>
                    <w:rPr>
                      <w:szCs w:val="24"/>
                    </w:rPr>
                    <w:t xml:space="preserve">. </w:t>
                  </w:r>
                  <w:r>
                    <w:rPr>
                      <w:bCs/>
                      <w:szCs w:val="24"/>
                    </w:rPr>
                    <w:t>Reikalavimai</w:t>
                  </w:r>
                  <w:r>
                    <w:rPr>
                      <w:szCs w:val="24"/>
                    </w:rPr>
                    <w:t xml:space="preserve"> nustato eksploatacines sąlygas, išmetamųjų teršalų ribines vertes ir techninius reikalavimus, kurie privalomi visiems veiklos vykdytojams, Lietuvos Respublikos teritorijoje eksploatuojantiems ar planuojantiems eksploatuoti atliekų deginimo įrenginius ar bendro atliekų deginimo įrenginius, deginantiems kiet</w:t>
                  </w:r>
                  <w:r>
                    <w:rPr>
                      <w:bCs/>
                      <w:szCs w:val="24"/>
                    </w:rPr>
                    <w:t>ąsi</w:t>
                  </w:r>
                  <w:r>
                    <w:rPr>
                      <w:szCs w:val="24"/>
                    </w:rPr>
                    <w:t>as arba skyst</w:t>
                  </w:r>
                  <w:r>
                    <w:rPr>
                      <w:bCs/>
                      <w:szCs w:val="24"/>
                    </w:rPr>
                    <w:t>ąsi</w:t>
                  </w:r>
                  <w:r>
                    <w:rPr>
                      <w:szCs w:val="24"/>
                    </w:rPr>
                    <w:t xml:space="preserve">as atliekas </w:t>
                  </w:r>
                  <w:r>
                    <w:rPr>
                      <w:bCs/>
                      <w:szCs w:val="24"/>
                    </w:rPr>
                    <w:t>(išskyrus radioaktyviąsias atliekas)</w:t>
                  </w:r>
                  <w:r>
                    <w:rPr>
                      <w:szCs w:val="24"/>
                    </w:rPr>
                    <w:t>, išmetamųjų oro teršalų (išskyrus radionuklidų) ribines vertes radioaktyviųjų atliekų deginimo įrenginiams ir jų laikymosi kontrolės ir matavimų reikalavimus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4 p."/>
                <w:tag w:val="part_68b2acfbc110413a9b6cc245a9e0cc84"/>
                <w:lock w:val="sdtLocked"/>
                <w:richText/>
              </w:sdtPr>
              <w:sdtContent>
                <w:p>
                  <w:pPr>
                    <w:ind w:firstLine="709"/>
                    <w:jc w:val="both"/>
                  </w:pPr>
                  <w:sdt>
                    <w:sdtPr>
                      <w:alias w:val="Numeris"/>
                      <w:tag w:val="nr_68b2acfbc110413a9b6cc245a9e0cc84"/>
                      <w:lock w:val="sdtLocked"/>
                      <w:richText/>
                    </w:sdtPr>
                    <w:sdtContent>
                      <w:r>
                        <w:t>4</w:t>
                      </w:r>
                    </w:sdtContent>
                  </w:sdt>
                  <w:r>
                    <w:t>. Reikalavimai netaikomi:</w:t>
                  </w:r>
                </w:p>
                <w:sdt>
                  <w:sdtPr>
                    <w:alias w:val="4.1 p."/>
                    <w:tag w:val="part_2e54ae3552a74475875007c4415369d1"/>
                    <w:lock w:val="sdtLocked"/>
                    <w:richText/>
                  </w:sdtPr>
                  <w:sdtContent>
                    <w:p>
                      <w:pPr>
                        <w:ind w:firstLine="709"/>
                        <w:jc w:val="both"/>
                      </w:pPr>
                      <w:sdt>
                        <w:sdtPr>
                          <w:alias w:val="Numeris"/>
                          <w:tag w:val="nr_2e54ae3552a74475875007c4415369d1"/>
                          <w:lock w:val="sdtLocked"/>
                          <w:richText/>
                        </w:sdtPr>
                        <w:sdtContent>
                          <w:r>
                            <w:t>4.1</w:t>
                          </w:r>
                        </w:sdtContent>
                      </w:sdt>
                      <w:r>
                        <w:t>. įrenginiams, kuriuose apdorojamos tik šios atliekos:</w:t>
                      </w:r>
                    </w:p>
                    <w:sdt>
                      <w:sdtPr>
                        <w:alias w:val="4.1.1 p."/>
                        <w:tag w:val="part_2ccf28c0b8274e928bf63ad3dfa35dd2"/>
                        <w:lock w:val="sdtLocked"/>
                        <w:richText/>
                      </w:sdtPr>
                      <w:sdtContent>
                        <w:p>
                          <w:pPr>
                            <w:ind w:firstLine="709"/>
                            <w:jc w:val="both"/>
                          </w:pPr>
                          <w:sdt>
                            <w:sdtPr>
                              <w:alias w:val="Numeris"/>
                              <w:tag w:val="nr_2ccf28c0b8274e928bf63ad3dfa35dd2"/>
                              <w:lock w:val="sdtLocked"/>
                              <w:richText/>
                            </w:sdtPr>
                            <w:sdtContent>
                              <w:r>
                                <w:t>4.1.1</w:t>
                              </w:r>
                            </w:sdtContent>
                          </w:sdt>
                          <w:r>
                            <w:t>. augalinės kilmės žemės ūkio ir miškininkystės atliekos;</w:t>
                          </w:r>
                        </w:p>
                      </w:sdtContent>
                    </w:sdt>
                    <w:sdt>
                      <w:sdtPr>
                        <w:alias w:val="4.1.2 p."/>
                        <w:tag w:val="part_1b2266090a54474a931c98b41f4e49ff"/>
                        <w:lock w:val="sdtLocked"/>
                        <w:richText/>
                      </w:sdtPr>
                      <w:sdtContent>
                        <w:p>
                          <w:pPr>
                            <w:ind w:firstLine="709"/>
                            <w:jc w:val="both"/>
                          </w:pPr>
                          <w:sdt>
                            <w:sdtPr>
                              <w:alias w:val="Numeris"/>
                              <w:tag w:val="nr_1b2266090a54474a931c98b41f4e49ff"/>
                              <w:lock w:val="sdtLocked"/>
                              <w:richText/>
                            </w:sdtPr>
                            <w:sdtContent>
                              <w:r>
                                <w:t>4.1.2</w:t>
                              </w:r>
                            </w:sdtContent>
                          </w:sdt>
                          <w:r>
                            <w:t>. augalinės kilmės maisto pramonės atliekos, jei gauta šiluma yra panaudojama;</w:t>
                          </w:r>
                        </w:p>
                      </w:sdtContent>
                    </w:sdt>
                    <w:sdt>
                      <w:sdtPr>
                        <w:alias w:val="4.1.3 p."/>
                        <w:tag w:val="part_3ffdd9c623d14e1a85bc88ba8ef93e60"/>
                        <w:lock w:val="sdtLocked"/>
                        <w:richText/>
                      </w:sdtPr>
                      <w:sdtContent>
                        <w:p>
                          <w:pPr>
                            <w:ind w:firstLine="709"/>
                            <w:jc w:val="both"/>
                          </w:pPr>
                          <w:sdt>
                            <w:sdtPr>
                              <w:alias w:val="Numeris"/>
                              <w:tag w:val="nr_3ffdd9c623d14e1a85bc88ba8ef93e60"/>
                              <w:lock w:val="sdtLocked"/>
                              <w:richText/>
                            </w:sdtPr>
                            <w:sdtContent>
                              <w:r>
                                <w:t>4.1.3</w:t>
                              </w:r>
                            </w:sdtContent>
                          </w:sdt>
                          <w:r>
                            <w:t>. pluoštinės augalinės kilmės atliekos, susidariusios gaminant celiuliozę ir iš celiuliozės gaminant popierių, jei tokios atliekos bendrai deginamos gamybos vietoje, o gauta šiluma yra panaudojama;</w:t>
                          </w:r>
                        </w:p>
                      </w:sdtContent>
                    </w:sdt>
                    <w:sdt>
                      <w:sdtPr>
                        <w:alias w:val="4.1.4 p."/>
                        <w:tag w:val="part_a8ce140d9ecd4e19950dbe77047c4d22"/>
                        <w:lock w:val="sdtLocked"/>
                        <w:richText/>
                      </w:sdtPr>
                      <w:sdtContent>
                        <w:p>
                          <w:pPr>
                            <w:ind w:firstLine="709"/>
                            <w:jc w:val="both"/>
                          </w:pPr>
                          <w:sdt>
                            <w:sdtPr>
                              <w:alias w:val="Numeris"/>
                              <w:tag w:val="nr_a8ce140d9ecd4e19950dbe77047c4d22"/>
                              <w:lock w:val="sdtLocked"/>
                              <w:richText/>
                            </w:sdtPr>
                            <w:sdtContent>
                              <w:r>
                                <w:t>4.1.4</w:t>
                              </w:r>
                            </w:sdtContent>
                          </w:sdt>
                          <w:r>
                            <w:t>. medienos atliekos, išskyrus tas, kurios apdorotos medienos konservantais arba padengtos gruntu ar dažais ir dėl to gali būti užterštos halogenintais organiniais junginiais arba sunkiaisiais metalais ir kurios daugeliu atveju patenka į statybos ir griovimo atliekų srautą;</w:t>
                          </w:r>
                        </w:p>
                      </w:sdtContent>
                    </w:sdt>
                    <w:sdt>
                      <w:sdtPr>
                        <w:alias w:val="4.1.5 p."/>
                        <w:tag w:val="part_2fae4466a4584a80a312fd3bd15e5d06"/>
                        <w:lock w:val="sdtLocked"/>
                        <w:richText/>
                      </w:sdtPr>
                      <w:sdtContent>
                        <w:p>
                          <w:pPr>
                            <w:ind w:firstLine="709"/>
                            <w:jc w:val="both"/>
                          </w:pPr>
                          <w:sdt>
                            <w:sdtPr>
                              <w:alias w:val="Numeris"/>
                              <w:tag w:val="nr_2fae4466a4584a80a312fd3bd15e5d06"/>
                              <w:lock w:val="sdtLocked"/>
                              <w:richText/>
                            </w:sdtPr>
                            <w:sdtContent>
                              <w:r>
                                <w:t>4.1.5</w:t>
                              </w:r>
                            </w:sdtContent>
                          </w:sdt>
                          <w:r>
                            <w:t>. kamščiamedžio žievės atliekos;</w:t>
                          </w:r>
                        </w:p>
                      </w:sdtContent>
                    </w:sdt>
                    <w:sdt>
                      <w:sdtPr>
                        <w:alias w:val="4.1.6 p."/>
                        <w:tag w:val="part_a7269f7120ce4bad8cd4966a0768a01d"/>
                        <w:lock w:val="sdtLocked"/>
                        <w:richText/>
                      </w:sdtPr>
                      <w:sdtContent>
                        <w:p>
                          <w:pPr>
                            <w:pStyle w:val="PlainText"/>
                            <w:ind w:firstLine="567"/>
                            <w:jc w:val="both"/>
                            <w:rPr>
                              <w:rFonts w:ascii="Times New Roman" w:hAnsi="Times New Roman"/>
                              <w:b/>
                              <w:bCs/>
                              <w:sz w:val="22"/>
                            </w:rPr>
                          </w:pPr>
                          <w:r>
                            <w:rPr>
                              <w:rFonts w:ascii="Times New Roman" w:hAnsi="Times New Roman"/>
                              <w:sz w:val="22"/>
                            </w:rPr>
                            <w:t>4.1.6</w:t>
                          </w:r>
                          <w:r>
                            <w:rPr>
                              <w:rFonts w:ascii="Times New Roman" w:hAnsi="Times New Roman"/>
                              <w:sz w:val="22"/>
                            </w:rPr>
                            <w:t>.</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4.1.7 p."/>
                        <w:tag w:val="part_159574fe8a964eb7b84d471b7ee62389"/>
                        <w:lock w:val="sdtLocked"/>
                        <w:richText/>
                      </w:sdtPr>
                      <w:sdtContent>
                        <w:p>
                          <w:pPr>
                            <w:ind w:firstLine="709"/>
                            <w:jc w:val="both"/>
                          </w:pPr>
                          <w:sdt>
                            <w:sdtPr>
                              <w:alias w:val="Numeris"/>
                              <w:tag w:val="nr_159574fe8a964eb7b84d471b7ee62389"/>
                              <w:lock w:val="sdtLocked"/>
                              <w:richText/>
                            </w:sdtPr>
                            <w:sdtContent>
                              <w:r>
                                <w:rPr>
                                  <w:color w:val="000000"/>
                                </w:rPr>
                                <w:t>4.1.7</w:t>
                              </w:r>
                            </w:sdtContent>
                          </w:sdt>
                          <w:r>
                            <w:rPr>
                              <w:color w:val="000000"/>
                            </w:rPr>
                            <w:t xml:space="preserve">. kritusių gyvūnų kūnai, kurių tvarkymą reglamentuoja 2009 m. spalio 21 d. Europos Parlamento ir Tarybos reglamentas (EB) Nr. 1069/2009, nustatantis žmonėms vartoti neskirtų šalutinių gyvūninių produktų ir jų gaminių sveikumo taisykles ir panaikinantis reglamentą (EB) Nr. 1774/2002 </w:t>
                          </w:r>
                          <w:r>
                            <w:rPr>
                              <w:bCs/>
                              <w:color w:val="000000"/>
                            </w:rPr>
                            <w:t>(Šalutinių gyvūninių produktų reglamentas)</w:t>
                          </w:r>
                          <w:r>
                            <w:rPr>
                              <w:color w:val="000000"/>
                            </w:rPr>
                            <w:t>, su visais pakeitimais,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4.1.8 p."/>
                        <w:tag w:val="part_ba76758d8549484ea1b736ef6ea3f4f9"/>
                        <w:lock w:val="sdtLocked"/>
                        <w:richText/>
                      </w:sdtPr>
                      <w:sdtContent>
                        <w:p>
                          <w:pPr>
                            <w:ind w:firstLine="709"/>
                            <w:jc w:val="both"/>
                          </w:pPr>
                          <w:sdt>
                            <w:sdtPr>
                              <w:alias w:val="Numeris"/>
                              <w:tag w:val="nr_ba76758d8549484ea1b736ef6ea3f4f9"/>
                              <w:lock w:val="sdtLocked"/>
                              <w:richText/>
                            </w:sdtPr>
                            <w:sdtContent>
                              <w:r>
                                <w:t>4.1.8</w:t>
                              </w:r>
                            </w:sdtContent>
                          </w:sdt>
                          <w:r>
                            <w:t>. atliekos, susidarančios atviroje jūroje esančiuose naftos ir dujų telkinių žvalgybos ir eksploatacijos įrenginiuose, kuriuose šios atliekos ir deginamos;</w:t>
                          </w:r>
                        </w:p>
                      </w:sdtContent>
                    </w:sdt>
                  </w:sdtContent>
                </w:sdt>
                <w:sdt>
                  <w:sdtPr>
                    <w:alias w:val="4.2 p."/>
                    <w:tag w:val="part_271636781a934d73b3a4a47c7000d776"/>
                    <w:lock w:val="sdtLocked"/>
                    <w:richText/>
                  </w:sdtPr>
                  <w:sdtContent>
                    <w:p>
                      <w:pPr>
                        <w:ind w:firstLine="709"/>
                        <w:jc w:val="both"/>
                      </w:pPr>
                      <w:sdt>
                        <w:sdtPr>
                          <w:alias w:val="Numeris"/>
                          <w:tag w:val="nr_271636781a934d73b3a4a47c7000d776"/>
                          <w:lock w:val="sdtLocked"/>
                          <w:richText/>
                        </w:sdtPr>
                        <w:sdtContent>
                          <w:r>
                            <w:rPr>
                              <w:szCs w:val="24"/>
                            </w:rPr>
                            <w:t>4.2</w:t>
                          </w:r>
                        </w:sdtContent>
                      </w:sdt>
                      <w:r>
                        <w:rPr>
                          <w:szCs w:val="24"/>
                        </w:rPr>
                        <w:t>. moksliniams tyrimams, eksperimentinei plėtrai ir bandymams naudojamiems bandomiesiems įrenginiams, kuriais siekiama patobulinti deginimo procesą ir kuriuose per metus sudeginama mažiau kaip 50 tonų atliekų;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4.3 p."/>
                    <w:tag w:val="part_de4ce9f2acc34107896ed6a4d5286f10"/>
                    <w:lock w:val="sdtLocked"/>
                    <w:richText/>
                  </w:sdtPr>
                  <w:sdtContent>
                    <w:p>
                      <w:pPr>
                        <w:ind w:firstLine="709"/>
                        <w:jc w:val="both"/>
                        <w:rPr>
                          <w:color w:val="000000"/>
                          <w:lang w:eastAsia="lt-LT"/>
                        </w:rPr>
                      </w:pPr>
                      <w:sdt>
                        <w:sdtPr>
                          <w:alias w:val="Numeris"/>
                          <w:tag w:val="nr_de4ce9f2acc34107896ed6a4d5286f10"/>
                          <w:lock w:val="sdtLocked"/>
                          <w:richText/>
                        </w:sdtPr>
                        <w:sdtContent>
                          <w:r>
                            <w:rPr>
                              <w:color w:val="000000"/>
                              <w:lang w:eastAsia="lt-LT"/>
                            </w:rPr>
                            <w:t>4.3</w:t>
                          </w:r>
                        </w:sdtContent>
                      </w:sdt>
                      <w:r>
                        <w:rPr>
                          <w:color w:val="000000"/>
                          <w:lang w:eastAsia="lt-LT"/>
                        </w:rPr>
                        <w:t xml:space="preserve">. pavertimo dujomis arba pirolizės įrenginiams, jeigu tokio terminio atliekų apdorojimo metu susidariusios dujos ar skysčiai prieš jų sudeginimą yra apdorojami taip, kad: </w:t>
                      </w:r>
                    </w:p>
                    <w:sdt>
                      <w:sdtPr>
                        <w:alias w:val="4.3.1 pp."/>
                        <w:tag w:val="part_b04c3b128f944836a14d674c20182e0a"/>
                        <w:lock w:val="sdtLocked"/>
                        <w:richText/>
                      </w:sdtPr>
                      <w:sdtContent>
                        <w:p>
                          <w:pPr>
                            <w:ind w:firstLine="709"/>
                            <w:jc w:val="both"/>
                            <w:rPr>
                              <w:lang w:eastAsia="en-GB"/>
                            </w:rPr>
                          </w:pPr>
                          <w:sdt>
                            <w:sdtPr>
                              <w:alias w:val="Numeris"/>
                              <w:tag w:val="nr_b04c3b128f944836a14d674c20182e0a"/>
                              <w:lock w:val="sdtLocked"/>
                              <w:richText/>
                            </w:sdtPr>
                            <w:sdtContent>
                              <w:r>
                                <w:rPr>
                                  <w:lang w:eastAsia="en-GB"/>
                                </w:rPr>
                                <w:t>4.3.1</w:t>
                              </w:r>
                            </w:sdtContent>
                          </w:sdt>
                          <w:r>
                            <w:rPr>
                              <w:lang w:eastAsia="en-GB"/>
                            </w:rPr>
                            <w:t xml:space="preserve">.  </w:t>
                          </w:r>
                          <w:r>
                            <w:t>juos deginant į aplinkos orą išmetamų teršalų kiekis yra mažesnis nei deginant mažiausiai taršų rinkoje prieinamą kurą, kuris galėtų būti deginamas tokiame įrenginyje;</w:t>
                          </w:r>
                        </w:p>
                      </w:sdtContent>
                    </w:sdt>
                    <w:sdt>
                      <w:sdtPr>
                        <w:alias w:val="4.3.2 pp."/>
                        <w:tag w:val="part_76b3b42ff4e74b42b00dbae26fd51218"/>
                        <w:lock w:val="sdtLocked"/>
                        <w:richText/>
                      </w:sdtPr>
                      <w:sdtContent>
                        <w:p>
                          <w:pPr>
                            <w:ind w:firstLine="709"/>
                            <w:jc w:val="both"/>
                          </w:pPr>
                          <w:sdt>
                            <w:sdtPr>
                              <w:alias w:val="Numeris"/>
                              <w:tag w:val="nr_76b3b42ff4e74b42b00dbae26fd51218"/>
                              <w:lock w:val="sdtLocked"/>
                              <w:richText/>
                            </w:sdtPr>
                            <w:sdtContent>
                              <w:r>
                                <w:rPr>
                                  <w:lang w:eastAsia="en-GB"/>
                                </w:rPr>
                                <w:t>4.3.2</w:t>
                              </w:r>
                            </w:sdtContent>
                          </w:sdt>
                          <w:r>
                            <w:rPr>
                              <w:lang w:eastAsia="en-GB"/>
                            </w:rPr>
                            <w:t xml:space="preserve">.  </w:t>
                          </w:r>
                          <w:r>
                            <w:t xml:space="preserve">juos deginant į aplinkos orą išmetamų teršalų, išskyrus azoto oksidus, sieros oksidus ir dulkes, kiekis nedidesnis nei atliekų deginimo arba bendro atliekų deginimo metu išmetamų teršalų kiekis.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sdtContent>
                </w:sdt>
              </w:sdtContent>
            </w:sdt>
            <w:sdt>
              <w:sdtPr>
                <w:alias w:val="5 p."/>
                <w:tag w:val="part_ef5ee677e18c47de9a0e089a0ada8a88"/>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5-1 p."/>
                <w:tag w:val="part_8b136f0c938a4f9d943eb61ed0837e2c"/>
                <w:lock w:val="sdtLocked"/>
                <w:richText/>
              </w:sdtPr>
              <w:sdtContent>
                <w:p>
                  <w:pPr>
                    <w:suppressAutoHyphens/>
                    <w:ind w:firstLine="709"/>
                    <w:jc w:val="both"/>
                  </w:pPr>
                  <w:sdt>
                    <w:sdtPr>
                      <w:alias w:val="Numeris"/>
                      <w:tag w:val="nr_8b136f0c938a4f9d943eb61ed0837e2c"/>
                      <w:lock w:val="sdtLocked"/>
                      <w:richText/>
                    </w:sdtPr>
                    <w:sdtContent>
                      <w:r>
                        <w:rPr>
                          <w:lang w:eastAsia="lt-LT"/>
                        </w:rPr>
                        <w:t>5</w:t>
                      </w:r>
                      <w:r>
                        <w:rPr>
                          <w:vertAlign w:val="superscript"/>
                          <w:lang w:eastAsia="lt-LT"/>
                        </w:rPr>
                        <w:t>1</w:t>
                      </w:r>
                    </w:sdtContent>
                  </w:sdt>
                  <w:r>
                    <w:rPr>
                      <w:lang w:eastAsia="lt-LT"/>
                    </w:rPr>
                    <w:t xml:space="preserve">. Deginti baterijų atliekas draudžiama, kaip numatyta </w:t>
                  </w:r>
                  <w:r>
                    <w:rPr>
                      <w:szCs w:val="24"/>
                      <w:lang w:eastAsia="lt-LT"/>
                    </w:rPr>
                    <w:t xml:space="preserve">2023 m. liepos 12 d. Europos Parlamento ir Tarybos reglamento </w:t>
                  </w:r>
                  <w:hyperlink r:id="rId27" w:tgtFrame="_blank" w:history="1">
                    <w:r>
                      <w:rPr>
                        <w:color w:val="0000FF" w:themeColor="hyperlink"/>
                        <w:szCs w:val="24"/>
                        <w:u w:val="single"/>
                        <w:lang w:eastAsia="lt-LT"/>
                      </w:rPr>
                      <w:t>(ES) 2023/1542</w:t>
                    </w:r>
                  </w:hyperlink>
                  <w:r>
                    <w:rPr>
                      <w:szCs w:val="24"/>
                      <w:lang w:eastAsia="lt-LT"/>
                    </w:rPr>
                    <w:t xml:space="preserve"> dėl baterijų ir baterijų atliekų, kuriuo iš dalies keičiama Direktyva </w:t>
                  </w:r>
                  <w:hyperlink r:id="rId28" w:tgtFrame="_blank" w:history="1">
                    <w:r>
                      <w:rPr>
                        <w:color w:val="0000FF" w:themeColor="hyperlink"/>
                        <w:szCs w:val="24"/>
                        <w:u w:val="single"/>
                        <w:lang w:eastAsia="lt-LT"/>
                      </w:rPr>
                      <w:t>2008/98/EB</w:t>
                    </w:r>
                  </w:hyperlink>
                  <w:r>
                    <w:rPr>
                      <w:szCs w:val="24"/>
                      <w:lang w:eastAsia="lt-LT"/>
                    </w:rPr>
                    <w:t xml:space="preserve"> bei Reglamentas </w:t>
                  </w:r>
                  <w:hyperlink r:id="rId29" w:tgtFrame="_blank" w:history="1">
                    <w:r>
                      <w:rPr>
                        <w:color w:val="0000FF" w:themeColor="hyperlink"/>
                        <w:szCs w:val="24"/>
                        <w:u w:val="single"/>
                        <w:lang w:eastAsia="lt-LT"/>
                      </w:rPr>
                      <w:t>(ES) 2019/1020</w:t>
                    </w:r>
                  </w:hyperlink>
                  <w:r>
                    <w:rPr>
                      <w:szCs w:val="24"/>
                      <w:lang w:eastAsia="lt-LT"/>
                    </w:rPr>
                    <w:t xml:space="preserve"> ir panaikinama Direktyva </w:t>
                  </w:r>
                  <w:hyperlink r:id="rId30" w:tgtFrame="_blank" w:history="1">
                    <w:r>
                      <w:rPr>
                        <w:color w:val="0000FF" w:themeColor="hyperlink"/>
                        <w:szCs w:val="24"/>
                        <w:u w:val="single"/>
                        <w:lang w:eastAsia="lt-LT"/>
                      </w:rPr>
                      <w:t>2006/66/EB</w:t>
                    </w:r>
                  </w:hyperlink>
                  <w:r>
                    <w:rPr>
                      <w:szCs w:val="24"/>
                      <w:lang w:eastAsia="lt-LT"/>
                    </w:rPr>
                    <w:t xml:space="preserve"> 70 straipsnio 1 dalyje</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A2852A26B36">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2008-09-23,
Žin., 2008, Nr.
111-4253 (2008-09-27), i. k. 108301MISAK00D1-487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bb211bba111f092fda1fd0c194cc5">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2025-11-07,
paskelbta TAR 2025-11-07, i. k. 2025-18725            </w:t>
                  </w:r>
                </w:p>
                <w:p/>
              </w:sdtContent>
            </w:sdt>
            <w:sdt>
              <w:sdtPr>
                <w:alias w:val="6 p."/>
                <w:tag w:val="part_53c0c84a70f344a2a98e4e241b1a1da0"/>
                <w:lock w:val="sdtLocked"/>
                <w:richText/>
              </w:sdtPr>
              <w:sdtContent>
                <w:p>
                  <w:pPr>
                    <w:ind w:firstLine="709"/>
                    <w:jc w:val="both"/>
                  </w:pPr>
                  <w:sdt>
                    <w:sdtPr>
                      <w:alias w:val="Numeris"/>
                      <w:tag w:val="nr_53c0c84a70f344a2a98e4e241b1a1da0"/>
                      <w:lock w:val="sdtLocked"/>
                      <w:richText/>
                    </w:sdtPr>
                    <w:sdtContent>
                      <w:r>
                        <w:t>6</w:t>
                      </w:r>
                    </w:sdtContent>
                  </w:sdt>
                  <w:r>
                    <w:t>. Šiuose Reikalavimuose:</w:t>
                  </w:r>
                </w:p>
                <w:sdt>
                  <w:sdtPr>
                    <w:alias w:val="6.1 p."/>
                    <w:tag w:val="part_a789ba259a4047fab9cb9cffb115332b"/>
                    <w:lock w:val="sdtLocked"/>
                    <w:richText/>
                  </w:sdtPr>
                  <w:sdtContent>
                    <w:p>
                      <w:pPr>
                        <w:ind w:firstLine="709"/>
                        <w:jc w:val="both"/>
                      </w:pPr>
                      <w:sdt>
                        <w:sdtPr>
                          <w:alias w:val="Numeris"/>
                          <w:tag w:val="nr_a789ba259a4047fab9cb9cffb115332b"/>
                          <w:lock w:val="sdtLocked"/>
                          <w:richText/>
                        </w:sdtPr>
                        <w:sdtContent>
                          <w:r>
                            <w:rPr>
                              <w:szCs w:val="24"/>
                            </w:rPr>
                            <w:t>6.1</w:t>
                          </w:r>
                        </w:sdtContent>
                      </w:sdt>
                      <w:r>
                        <w:rPr>
                          <w:szCs w:val="24"/>
                        </w:rPr>
                        <w:t xml:space="preserve">. atliekų ir pavojingųjų atliekų </w:t>
                      </w:r>
                      <w:r>
                        <w:rPr>
                          <w:bCs/>
                          <w:szCs w:val="24"/>
                        </w:rPr>
                        <w:t xml:space="preserve">sąvokos </w:t>
                      </w:r>
                      <w:r>
                        <w:rPr>
                          <w:szCs w:val="24"/>
                        </w:rPr>
                        <w:t>atitinka Lietuvos Respublikos atliekų tvarkymo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1-1 p."/>
                    <w:tag w:val="part_f1997602bfa1478ba546a8b3744af4cf"/>
                    <w:lock w:val="sdtLocked"/>
                    <w:richText/>
                  </w:sdtPr>
                  <w:sdtContent>
                    <w:p>
                      <w:pPr>
                        <w:widowControl w:val="0"/>
                        <w:ind w:firstLine="709"/>
                        <w:jc w:val="both"/>
                      </w:pPr>
                      <w:sdt>
                        <w:sdtPr>
                          <w:alias w:val="Numeris"/>
                          <w:tag w:val="nr_f1997602bfa1478ba546a8b3744af4cf"/>
                          <w:lock w:val="sdtLocked"/>
                          <w:richText/>
                        </w:sdtPr>
                        <w:sdtContent>
                          <w:r>
                            <w:rPr>
                              <w:color w:val="000000"/>
                              <w:spacing w:val="-5"/>
                            </w:rPr>
                            <w:t>6.1</w:t>
                          </w:r>
                          <w:r>
                            <w:rPr>
                              <w:color w:val="000000"/>
                              <w:spacing w:val="-5"/>
                              <w:vertAlign w:val="superscript"/>
                            </w:rPr>
                            <w:t>1</w:t>
                          </w:r>
                        </w:sdtContent>
                      </w:sdt>
                      <w:r>
                        <w:rPr>
                          <w:color w:val="000000"/>
                          <w:spacing w:val="-5"/>
                        </w:rPr>
                        <w:t xml:space="preserve">. </w:t>
                      </w:r>
                      <w:r>
                        <w:rPr>
                          <w:b/>
                          <w:color w:val="000000"/>
                          <w:spacing w:val="-5"/>
                        </w:rPr>
                        <w:t>alyvų atliekos</w:t>
                      </w:r>
                      <w:r>
                        <w:rPr>
                          <w:color w:val="000000"/>
                          <w:spacing w:val="-5"/>
                        </w:rPr>
                        <w:t xml:space="preserve"> – bet kokios tepimo ar pramoninės alyvos, kurios tapo netinkamos naudoti pagal pirminę paskirtį, </w:t>
                      </w:r>
                      <w:r>
                        <w:rPr>
                          <w:color w:val="000000"/>
                        </w:rPr>
                        <w:t xml:space="preserve">taip pat netinkamos naudoti vidaus degimo variklių ir pavarų dėžių alyvos, mineralinės tepimo alyvos, turbininės ir </w:t>
                      </w:r>
                      <w:r>
                        <w:rPr>
                          <w:color w:val="000000"/>
                          <w:spacing w:val="-4"/>
                        </w:rPr>
                        <w:t>hidraulinės alyvos;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DFF5F72264">
                        <w:r w:rsidRPr="00532B9F">
                          <w:rPr>
                            <w:rFonts w:ascii="Times New Roman" w:eastAsia="MS Mincho" w:hAnsi="Times New Roman"/>
                            <w:sz w:val="20"/>
                            <w:i/>
                            <w:iCs/>
                            <w:color w:val="0000FF" w:themeColor="hyperlink"/>
                            <w:u w:val="single"/>
                          </w:rPr>
                          <w:t>D1-601</w:t>
                        </w:r>
                      </w:fldSimple>
                      <w:r>
                        <w:rPr>
                          <w:rFonts w:ascii="Times New Roman" w:eastAsia="MS Mincho" w:hAnsi="Times New Roman"/>
                          <w:sz w:val="20"/>
                          <w:i/>
                          <w:iCs/>
                        </w:rPr>
                        <w:t>,
2005-12-12,
Žin., 2005, Nr.
147-5366 (2005-12-17), i. k. 105301MISAK00D1-601        </w:t>
                      </w:r>
                    </w:p>
                    <w:p/>
                  </w:sdtContent>
                </w:sdt>
                <w:sdt>
                  <w:sdtPr>
                    <w:alias w:val="6.2 p."/>
                    <w:tag w:val="part_971646882fcb4c65be3d22d4434bc5dd"/>
                    <w:lock w:val="sdtLocked"/>
                    <w:richText/>
                  </w:sdtPr>
                  <w:sdtContent>
                    <w:p>
                      <w:pPr>
                        <w:widowControl w:val="0"/>
                        <w:ind w:firstLine="709"/>
                        <w:jc w:val="both"/>
                        <w:rPr>
                          <w:color w:val="000000"/>
                          <w:szCs w:val="24"/>
                          <w:lang w:eastAsia="lt-LT"/>
                        </w:rPr>
                      </w:pPr>
                      <w:sdt>
                        <w:sdtPr>
                          <w:alias w:val="Numeris"/>
                          <w:tag w:val="nr_971646882fcb4c65be3d22d4434bc5dd"/>
                          <w:lock w:val="sdtLocked"/>
                          <w:richText/>
                        </w:sdtPr>
                        <w:sdtContent>
                          <w:r>
                            <w:rPr>
                              <w:color w:val="000000"/>
                              <w:szCs w:val="24"/>
                              <w:lang w:eastAsia="lt-LT"/>
                            </w:rPr>
                            <w:t>6.2</w:t>
                          </w:r>
                        </w:sdtContent>
                      </w:sdt>
                      <w:r>
                        <w:rPr>
                          <w:color w:val="000000"/>
                          <w:szCs w:val="24"/>
                          <w:lang w:eastAsia="lt-LT"/>
                        </w:rPr>
                        <w:t xml:space="preserve">. </w:t>
                      </w:r>
                      <w:r>
                        <w:rPr>
                          <w:b/>
                          <w:color w:val="000000"/>
                          <w:szCs w:val="24"/>
                          <w:lang w:eastAsia="lt-LT"/>
                        </w:rPr>
                        <w:t xml:space="preserve">bendro atliekų deginimo įrenginys (toliau – bendro deginimo įrenginys) </w:t>
                      </w:r>
                      <w:r>
                        <w:rPr>
                          <w:color w:val="000000"/>
                          <w:szCs w:val="24"/>
                          <w:lang w:eastAsia="lt-LT"/>
                        </w:rPr>
                        <w:t>–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 vykstant šiems procesams susidariusios medžiagos yra sudeginamos.</w:t>
                      </w:r>
                    </w:p>
                    <w:p>
                      <w:pPr>
                        <w:widowControl w:val="0"/>
                        <w:ind w:firstLine="709"/>
                        <w:jc w:val="both"/>
                        <w:rPr>
                          <w:color w:val="000000"/>
                          <w:szCs w:val="24"/>
                          <w:lang w:eastAsia="lt-LT"/>
                        </w:rPr>
                      </w:pPr>
                      <w:r>
                        <w:rPr>
                          <w:color w:val="000000"/>
                          <w:szCs w:val="24"/>
                          <w:lang w:eastAsia="lt-LT"/>
                        </w:rPr>
                        <w:t>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monitoringą.</w:t>
                      </w:r>
                    </w:p>
                    <w:p>
                      <w:pPr>
                        <w:widowControl w:val="0"/>
                        <w:ind w:firstLine="709"/>
                        <w:jc w:val="both"/>
                      </w:pPr>
                      <w:r>
                        <w:rPr>
                          <w:color w:val="000000"/>
                          <w:szCs w:val="24"/>
                          <w:lang w:eastAsia="lt-LT"/>
                        </w:rPr>
                        <w:t>Jei atliekos termiškai apdorojamos kitu būdu nei oksiduojant, pavyzdžiui, pirolizės, pavertimo dujomis arba plazminių procesų būdu, bendro atliekų deginimo įrenginio veikla apima ir terminio apdorojimo procesą, ir vėlesnį deginimo procesą;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6.3 p."/>
                    <w:tag w:val="part_7a79e8df67d745639b5356a2bf88338c"/>
                    <w:lock w:val="sdtLocked"/>
                    <w:richText/>
                  </w:sdtPr>
                  <w:sdtContent>
                    <w:p>
                      <w:pPr>
                        <w:widowControl w:val="0"/>
                        <w:ind w:firstLine="709"/>
                        <w:jc w:val="both"/>
                        <w:rPr>
                          <w:color w:val="000000"/>
                          <w:szCs w:val="24"/>
                          <w:lang w:eastAsia="lt-LT"/>
                        </w:rPr>
                      </w:pPr>
                      <w:sdt>
                        <w:sdtPr>
                          <w:alias w:val="Numeris"/>
                          <w:tag w:val="nr_7a79e8df67d745639b5356a2bf88338c"/>
                          <w:lock w:val="sdtLocked"/>
                          <w:richText/>
                        </w:sdtPr>
                        <w:sdtContent>
                          <w:r>
                            <w:rPr>
                              <w:color w:val="000000"/>
                              <w:szCs w:val="24"/>
                              <w:lang w:eastAsia="lt-LT"/>
                            </w:rPr>
                            <w:t>6.3</w:t>
                          </w:r>
                        </w:sdtContent>
                      </w:sdt>
                      <w:r>
                        <w:rPr>
                          <w:color w:val="000000"/>
                          <w:szCs w:val="24"/>
                          <w:lang w:eastAsia="lt-LT"/>
                        </w:rPr>
                        <w:t xml:space="preserve">. </w:t>
                      </w:r>
                      <w:r>
                        <w:rPr>
                          <w:b/>
                          <w:color w:val="000000"/>
                          <w:szCs w:val="24"/>
                          <w:lang w:eastAsia="lt-LT"/>
                        </w:rPr>
                        <w:t>atliekų deginimo įrenginys (toliau – deginimo įrenginys)</w:t>
                      </w:r>
                      <w:r>
                        <w:rPr>
                          <w:color w:val="000000"/>
                          <w:szCs w:val="24"/>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 vykstant šiems procesams susidariusios medžiagos yra sudeginamos.</w:t>
                      </w:r>
                    </w:p>
                    <w:p>
                      <w:pPr>
                        <w:widowControl w:val="0"/>
                        <w:ind w:firstLine="709"/>
                        <w:jc w:val="both"/>
                        <w:rPr>
                          <w:color w:val="000000"/>
                          <w:szCs w:val="24"/>
                          <w:lang w:eastAsia="lt-LT"/>
                        </w:rPr>
                      </w:pPr>
                      <w:r>
                        <w:rPr>
                          <w:color w:val="000000"/>
                          <w:szCs w:val="24"/>
                          <w:lang w:eastAsia="lt-LT"/>
                        </w:rPr>
                        <w:t>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monitoringą.</w:t>
                      </w:r>
                    </w:p>
                    <w:p>
                      <w:pPr>
                        <w:widowControl w:val="0"/>
                        <w:ind w:firstLine="709"/>
                        <w:jc w:val="both"/>
                      </w:pPr>
                      <w:r>
                        <w:rPr>
                          <w:color w:val="000000"/>
                          <w:szCs w:val="24"/>
                          <w:lang w:eastAsia="lt-LT"/>
                        </w:rPr>
                        <w:t>Jei atliekos termiškai apdorojamos kitu būdu nei oksiduojant, pavyzdžiui, pirolizės, pavertimo dujomis arba plazminių procesų būdu, atliekų deginimo įrenginio veikla apima ir terminio apdorojimo procesą, ir vėlesnį deginimo procesą;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6.4 p."/>
                    <w:tag w:val="part_7be54e26ae9a420e92a9a215ab78639a"/>
                    <w:lock w:val="sdtLocked"/>
                    <w:richText/>
                  </w:sdtPr>
                  <w:sdtContent>
                    <w:p>
                      <w:pPr>
                        <w:ind w:firstLine="709"/>
                        <w:jc w:val="both"/>
                      </w:pPr>
                      <w:sdt>
                        <w:sdtPr>
                          <w:alias w:val="Numeris"/>
                          <w:tag w:val="nr_7be54e26ae9a420e92a9a215ab78639a"/>
                          <w:lock w:val="sdtLocked"/>
                          <w:richText/>
                        </w:sdtPr>
                        <w:sdtContent>
                          <w:r>
                            <w:t>6.4</w:t>
                          </w:r>
                        </w:sdtContent>
                      </w:sdt>
                      <w:r>
                        <w:t xml:space="preserve">. </w:t>
                      </w:r>
                      <w:r>
                        <w:rPr>
                          <w:b/>
                        </w:rPr>
                        <w:t>dioksinai ir furanai</w:t>
                      </w:r>
                      <w:r>
                        <w:t xml:space="preserve"> – tai visi 1 priede išvardyti polichlorinti dibenzo-p-dioksinai ir dibenzofuranai;</w:t>
                      </w:r>
                    </w:p>
                  </w:sdtContent>
                </w:sdt>
                <w:sdt>
                  <w:sdtPr>
                    <w:alias w:val="6.5 p."/>
                    <w:tag w:val="part_3683cc7ec41b4b208cc7d1481077f2a0"/>
                    <w:lock w:val="sdtLocked"/>
                    <w:richText/>
                  </w:sdtPr>
                  <w:sdtContent>
                    <w:p>
                      <w:pPr>
                        <w:ind w:firstLine="709"/>
                        <w:jc w:val="both"/>
                      </w:pPr>
                      <w:sdt>
                        <w:sdtPr>
                          <w:alias w:val="Numeris"/>
                          <w:tag w:val="nr_3683cc7ec41b4b208cc7d1481077f2a0"/>
                          <w:lock w:val="sdtLocked"/>
                          <w:richText/>
                        </w:sdtPr>
                        <w:sdtContent>
                          <w:r>
                            <w:t>6.5</w:t>
                          </w:r>
                        </w:sdtContent>
                      </w:sdt>
                      <w:r>
                        <w:t xml:space="preserve">. </w:t>
                      </w:r>
                      <w:r>
                        <w:rPr>
                          <w:b/>
                        </w:rPr>
                        <w:t>emisija (išmetimas)</w:t>
                      </w:r>
                      <w:r>
                        <w:t xml:space="preserve"> – tai tiesioginis ar netiesioginis medžiagų, vibracijos, šilumos ar triukšmo iš taškinių arba išsklaidytų taršos šaltinių, esančių įrenginyje, patekimas į orą, vandenį ar dirvožemį;</w:t>
                      </w:r>
                    </w:p>
                  </w:sdtContent>
                </w:sdt>
                <w:sdt>
                  <w:sdtPr>
                    <w:alias w:val="6.6 p."/>
                    <w:tag w:val="part_0d640929d8ed4b30a5d673c314bceb7c"/>
                    <w:lock w:val="sdtLocked"/>
                    <w:richText/>
                  </w:sdtPr>
                  <w:sdtContent>
                    <w:p>
                      <w:pPr>
                        <w:widowControl w:val="0"/>
                        <w:ind w:firstLine="709"/>
                        <w:jc w:val="both"/>
                        <w:rPr>
                          <w:color w:val="000000"/>
                          <w:szCs w:val="24"/>
                          <w:lang w:eastAsia="lt-LT"/>
                        </w:rPr>
                      </w:pPr>
                      <w:sdt>
                        <w:sdtPr>
                          <w:alias w:val="Numeris"/>
                          <w:tag w:val="nr_0d640929d8ed4b30a5d673c314bceb7c"/>
                          <w:lock w:val="sdtLocked"/>
                          <w:richText/>
                        </w:sdtPr>
                        <w:sdtContent>
                          <w:r>
                            <w:rPr>
                              <w:color w:val="000000"/>
                              <w:szCs w:val="24"/>
                              <w:lang w:eastAsia="lt-LT"/>
                            </w:rPr>
                            <w:t>6.6</w:t>
                          </w:r>
                        </w:sdtContent>
                      </w:sdt>
                      <w:r>
                        <w:rPr>
                          <w:color w:val="000000"/>
                          <w:szCs w:val="24"/>
                          <w:lang w:eastAsia="lt-LT"/>
                        </w:rPr>
                        <w:t xml:space="preserve">. </w:t>
                      </w:r>
                      <w:r>
                        <w:rPr>
                          <w:b/>
                          <w:color w:val="000000"/>
                          <w:szCs w:val="24"/>
                          <w:lang w:eastAsia="lt-LT"/>
                        </w:rPr>
                        <w:t>esamas atliekų deginimo arba bendro atliekų deginimo įrenginys</w:t>
                      </w:r>
                      <w:r>
                        <w:rPr>
                          <w:color w:val="000000"/>
                          <w:szCs w:val="24"/>
                          <w:lang w:eastAsia="lt-LT"/>
                        </w:rPr>
                        <w:t xml:space="preserve"> – deginimo arba bendro deginimo įrenginys, kuris:</w:t>
                      </w:r>
                    </w:p>
                    <w:sdt>
                      <w:sdtPr>
                        <w:alias w:val="6.6.1 p."/>
                        <w:tag w:val="part_44ce3a1f265a450f80e893475dea1e49"/>
                        <w:lock w:val="sdtLocked"/>
                        <w:richText/>
                      </w:sdtPr>
                      <w:sdtContent>
                        <w:p>
                          <w:pPr>
                            <w:widowControl w:val="0"/>
                            <w:ind w:firstLine="709"/>
                            <w:jc w:val="both"/>
                            <w:rPr>
                              <w:color w:val="000000"/>
                              <w:szCs w:val="24"/>
                              <w:lang w:eastAsia="lt-LT"/>
                            </w:rPr>
                          </w:pPr>
                          <w:sdt>
                            <w:sdtPr>
                              <w:alias w:val="Numeris"/>
                              <w:tag w:val="nr_44ce3a1f265a450f80e893475dea1e49"/>
                              <w:lock w:val="sdtLocked"/>
                              <w:richText/>
                            </w:sdtPr>
                            <w:sdtContent>
                              <w:r>
                                <w:rPr>
                                  <w:color w:val="000000"/>
                                  <w:szCs w:val="24"/>
                                  <w:lang w:eastAsia="lt-LT"/>
                                </w:rPr>
                                <w:t>6.6.1</w:t>
                              </w:r>
                            </w:sdtContent>
                          </w:sdt>
                          <w:r>
                            <w:rPr>
                              <w:color w:val="000000"/>
                              <w:szCs w:val="24"/>
                              <w:lang w:eastAsia="lt-LT"/>
                            </w:rPr>
                            <w:t>. veikia ir kurio operatorius teisės aktų nustatyta tvarka iki Reikalavimų įsigaliojimo yra gavęs leidimą;</w:t>
                          </w:r>
                        </w:p>
                      </w:sdtContent>
                    </w:sdt>
                    <w:sdt>
                      <w:sdtPr>
                        <w:alias w:val="6.6.2 p."/>
                        <w:tag w:val="part_d795202d60534139a4d88db49d7484e3"/>
                        <w:lock w:val="sdtLocked"/>
                        <w:richText/>
                      </w:sdtPr>
                      <w:sdtContent>
                        <w:p>
                          <w:pPr>
                            <w:widowControl w:val="0"/>
                            <w:ind w:firstLine="709"/>
                            <w:jc w:val="both"/>
                            <w:rPr>
                              <w:color w:val="000000"/>
                              <w:szCs w:val="24"/>
                              <w:lang w:eastAsia="lt-LT"/>
                            </w:rPr>
                          </w:pPr>
                          <w:sdt>
                            <w:sdtPr>
                              <w:alias w:val="Numeris"/>
                              <w:tag w:val="nr_d795202d60534139a4d88db49d7484e3"/>
                              <w:lock w:val="sdtLocked"/>
                              <w:richText/>
                            </w:sdtPr>
                            <w:sdtContent>
                              <w:r>
                                <w:rPr>
                                  <w:color w:val="000000"/>
                                  <w:szCs w:val="24"/>
                                  <w:lang w:eastAsia="lt-LT"/>
                                </w:rPr>
                                <w:t>6.6.2</w:t>
                              </w:r>
                            </w:sdtContent>
                          </w:sdt>
                          <w:r>
                            <w:rPr>
                              <w:color w:val="000000"/>
                              <w:szCs w:val="24"/>
                              <w:lang w:eastAsia="lt-LT"/>
                            </w:rPr>
                            <w:t>. pradėjo veikti ne vėliau kaip 2003 m. gruodžio 28 d. ir kurio operatorius teisės aktų nustatyta tvarka iki Reikalavimų įsigaliojimo yra gavęs leidimą ir yra įregistruotas kaip atliekas deginanti arba bendrai atliekas deginanti įmonė;</w:t>
                          </w:r>
                        </w:p>
                      </w:sdtContent>
                    </w:sdt>
                    <w:sdt>
                      <w:sdtPr>
                        <w:alias w:val="6.6.3 p."/>
                        <w:tag w:val="part_d3a01dd719aa4204a6c9639e7a586079"/>
                        <w:lock w:val="sdtLocked"/>
                        <w:richText/>
                      </w:sdtPr>
                      <w:sdtContent>
                        <w:p>
                          <w:pPr>
                            <w:widowControl w:val="0"/>
                            <w:ind w:firstLine="709"/>
                            <w:jc w:val="both"/>
                          </w:pPr>
                          <w:sdt>
                            <w:sdtPr>
                              <w:alias w:val="Numeris"/>
                              <w:tag w:val="nr_d3a01dd719aa4204a6c9639e7a586079"/>
                              <w:lock w:val="sdtLocked"/>
                              <w:richText/>
                            </w:sdtPr>
                            <w:sdtContent>
                              <w:r>
                                <w:rPr>
                                  <w:color w:val="000000"/>
                                  <w:szCs w:val="24"/>
                                  <w:lang w:eastAsia="lt-LT"/>
                                </w:rPr>
                                <w:t>6.6.3</w:t>
                              </w:r>
                            </w:sdtContent>
                          </w:sdt>
                          <w:r>
                            <w:rPr>
                              <w:color w:val="000000"/>
                              <w:szCs w:val="24"/>
                              <w:lang w:eastAsia="lt-LT"/>
                            </w:rPr>
                            <w:t>. pradėjo veikti ne vėliau kaip 2004 m. gruodžio 28 d. ir kurio operatorius teisės aktų nustatyta tvarka iki Reikalavimų įsigaliojimo buvo pateikęs paraišką gauti leidimą.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6.7 p."/>
                    <w:tag w:val="part_20c585f6f121436aa0a860f5e7aed3ed"/>
                    <w:lock w:val="sdtLocked"/>
                    <w:richText/>
                  </w:sdtPr>
                  <w:sdtContent>
                    <w:p>
                      <w:pPr>
                        <w:ind w:firstLine="709"/>
                        <w:jc w:val="both"/>
                      </w:pPr>
                      <w:sdt>
                        <w:sdtPr>
                          <w:alias w:val="Numeris"/>
                          <w:tag w:val="nr_20c585f6f121436aa0a860f5e7aed3ed"/>
                          <w:lock w:val="sdtLocked"/>
                          <w:richText/>
                        </w:sdtPr>
                        <w:sdtContent>
                          <w:r>
                            <w:t>6.7</w:t>
                          </w:r>
                        </w:sdtContent>
                      </w:sdt>
                      <w:r>
                        <w:t xml:space="preserve">. </w:t>
                      </w:r>
                      <w:r>
                        <w:rPr>
                          <w:b/>
                        </w:rPr>
                        <w:t>išmetamųjų teršalų ribinės vertės</w:t>
                      </w:r>
                      <w:r>
                        <w:t xml:space="preserve"> – tai masė, išreikšta tam tikrais specifiniais parametrais, teršalų koncentracijomis ir/arba lygiais, kurių negalima viršyti per vieną ar daugiau laiko tarpų;</w:t>
                      </w:r>
                    </w:p>
                  </w:sdtContent>
                </w:sdt>
                <w:sdt>
                  <w:sdtPr>
                    <w:alias w:val="6.7-1 p."/>
                    <w:tag w:val="part_e23f1b4fb68849ab9161575908318106"/>
                    <w:lock w:val="sdtLocked"/>
                    <w:richText/>
                  </w:sdtPr>
                  <w:sdtContent>
                    <w:p>
                      <w:pPr>
                        <w:widowControl w:val="0"/>
                        <w:ind w:firstLine="709"/>
                        <w:jc w:val="both"/>
                      </w:pPr>
                      <w:sdt>
                        <w:sdtPr>
                          <w:alias w:val="Numeris"/>
                          <w:tag w:val="nr_e23f1b4fb68849ab9161575908318106"/>
                          <w:lock w:val="sdtLocked"/>
                          <w:richText/>
                        </w:sdtPr>
                        <w:sdtContent>
                          <w:r>
                            <w:t>6.7</w:t>
                          </w:r>
                          <w:r>
                            <w:rPr>
                              <w:vertAlign w:val="superscript"/>
                            </w:rPr>
                            <w:t>1</w:t>
                          </w:r>
                        </w:sdtContent>
                      </w:sdt>
                      <w:r>
                        <w:t xml:space="preserve">. </w:t>
                      </w:r>
                      <w:r>
                        <w:rPr>
                          <w:b/>
                          <w:bCs/>
                        </w:rPr>
                        <w:t xml:space="preserve">kubinis metras normaliomis sąlygomis </w:t>
                      </w:r>
                      <w:r>
                        <w:t>(toliau – Nm</w:t>
                      </w:r>
                      <w:r>
                        <w:rPr>
                          <w:vertAlign w:val="superscript"/>
                        </w:rPr>
                        <w:t>3</w:t>
                      </w:r>
                      <w:r>
                        <w:t xml:space="preserve">) – išmetamųjų dujų tūrio vienetas, perskaičiuotas sausoms dujoms, taikant šias standartines sąlygas: temperatūra – 273 K (0 °C), slėgis – 101,3 kPa (760 mmHg);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sdtContent>
                </w:sdt>
                <w:sdt>
                  <w:sdtPr>
                    <w:alias w:val="6.7-2 p."/>
                    <w:tag w:val="part_d1e0eda3e69445c18a9c986ce8af81bf"/>
                    <w:lock w:val="sdtLocked"/>
                    <w:richText/>
                  </w:sdtPr>
                  <w:sdtContent>
                    <w:p>
                      <w:pPr>
                        <w:ind w:firstLine="709"/>
                        <w:jc w:val="both"/>
                      </w:pPr>
                      <w:sdt>
                        <w:sdtPr>
                          <w:alias w:val="Numeris"/>
                          <w:tag w:val="nr_d1e0eda3e69445c18a9c986ce8af81bf"/>
                          <w:lock w:val="sdtLocked"/>
                          <w:richText/>
                        </w:sdtPr>
                        <w:sdtContent>
                          <w:r>
                            <w:rPr>
                              <w:szCs w:val="24"/>
                              <w:lang w:eastAsia="lt-LT"/>
                            </w:rPr>
                            <w:t>6.7</w:t>
                          </w:r>
                          <w:r>
                            <w:rPr>
                              <w:szCs w:val="24"/>
                              <w:vertAlign w:val="superscript"/>
                              <w:lang w:eastAsia="lt-LT"/>
                            </w:rPr>
                            <w:t>2</w:t>
                          </w:r>
                        </w:sdtContent>
                      </w:sdt>
                      <w:r>
                        <w:rPr>
                          <w:szCs w:val="24"/>
                          <w:lang w:eastAsia="lt-LT"/>
                        </w:rPr>
                        <w:t>.</w:t>
                      </w:r>
                      <w:r>
                        <w:rPr>
                          <w:rFonts w:ascii="Arial" w:eastAsia="Calibri" w:hAnsi="Arial" w:cs="Arial"/>
                          <w:sz w:val="20"/>
                        </w:rPr>
                        <w:t xml:space="preserve"> </w:t>
                      </w:r>
                      <w:r>
                        <w:rPr>
                          <w:rFonts w:eastAsia="Calibri"/>
                          <w:szCs w:val="24"/>
                        </w:rPr>
                        <w:t>Atliekų deginimo įrenginio kaminas - vieną ar kelis dūmtakius turinti konstrukcija, per kurią iš atliekų deginimo ar iš bendro atliekų deginimo įrenginio į orą išleidžiamos išmetamosios dujos;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64d6064b811e4b6b89037654e22b1">
                        <w:r w:rsidRPr="00532B9F">
                          <w:rPr>
                            <w:rFonts w:ascii="Times New Roman" w:eastAsia="MS Mincho" w:hAnsi="Times New Roman"/>
                            <w:sz w:val="20"/>
                            <w:i/>
                            <w:iCs/>
                            <w:color w:val="0000FF" w:themeColor="hyperlink"/>
                            <w:u w:val="single"/>
                          </w:rPr>
                          <w:t>D1-853</w:t>
                        </w:r>
                      </w:fldSimple>
                      <w:r>
                        <w:rPr>
                          <w:rFonts w:ascii="Times New Roman" w:eastAsia="MS Mincho" w:hAnsi="Times New Roman"/>
                          <w:sz w:val="20"/>
                          <w:i/>
                          <w:iCs/>
                        </w:rPr>
                        <w:t>,
2014-10-24,
paskelbta TAR 2014-11-05, i. k. 2014-15815        </w:t>
                      </w:r>
                    </w:p>
                    <w:p/>
                  </w:sdtContent>
                </w:sdt>
                <w:sdt>
                  <w:sdtPr>
                    <w:alias w:val="6.8 p."/>
                    <w:tag w:val="part_47689707a52a4af6a5919069094cfad9"/>
                    <w:lock w:val="sdtLocked"/>
                    <w:richText/>
                  </w:sdtPr>
                  <w:sdtContent>
                    <w:p>
                      <w:pPr>
                        <w:ind w:firstLine="709"/>
                        <w:jc w:val="both"/>
                      </w:pPr>
                      <w:sdt>
                        <w:sdtPr>
                          <w:alias w:val="Numeris"/>
                          <w:tag w:val="nr_47689707a52a4af6a5919069094cfad9"/>
                          <w:lock w:val="sdtLocked"/>
                          <w:richText/>
                        </w:sdtPr>
                        <w:sdtContent>
                          <w:r>
                            <w:rPr>
                              <w:szCs w:val="24"/>
                            </w:rPr>
                            <w:t>6.8</w:t>
                          </w:r>
                        </w:sdtContent>
                      </w:sdt>
                      <w:r>
                        <w:rPr>
                          <w:szCs w:val="24"/>
                        </w:rPr>
                        <w:t>.</w:t>
                      </w:r>
                      <w:r>
                        <w:rPr>
                          <w:color w:val="000000"/>
                          <w:szCs w:val="24"/>
                          <w:lang w:eastAsia="lt-LT"/>
                        </w:rPr>
                        <w:t xml:space="preserve"> </w:t>
                      </w:r>
                      <w:r>
                        <w:rPr>
                          <w:b/>
                          <w:bCs/>
                          <w:color w:val="000000"/>
                          <w:szCs w:val="24"/>
                          <w:lang w:eastAsia="lt-LT"/>
                        </w:rPr>
                        <w:t>leidimas</w:t>
                      </w:r>
                      <w:r>
                        <w:rPr>
                          <w:color w:val="000000"/>
                          <w:szCs w:val="24"/>
                          <w:lang w:eastAsia="lt-LT"/>
                        </w:rPr>
                        <w:t xml:space="preserve"> – taršos integruotos prevencijos ir kontrolės leidimas, rengiamas ir išduodamas</w:t>
                      </w:r>
                      <w:r>
                        <w:rPr>
                          <w:rFonts w:eastAsia="LiberationSerif-Bold"/>
                          <w:szCs w:val="24"/>
                          <w:lang w:eastAsia="lt-LT"/>
                        </w:rPr>
                        <w:t xml:space="preserve"> vadovaujantis </w:t>
                      </w:r>
                      <w:r>
                        <w:rPr>
                          <w:color w:val="000000"/>
                          <w:szCs w:val="24"/>
                          <w:lang w:eastAsia="lt-LT"/>
                        </w:rPr>
                        <w:t xml:space="preserve">Taršos integruotos prevencijos ir kontrolės leidimų išdavimo, pakeitimo ir galiojimo panaikinimo taisyklėmis, patvirtintomis Lietuvos Respublikos aplinkos ministro 2013 m. liepos 15 d. įsakymu Nr. D1-528 „Dėl Taršos integruotos prevencijos ir kontrolės leidimų išdavimo, pakeitimo ir galiojimo panaikinimo taisyklių patvirtinimo“, arba taršos leidimas, rengiamas ir išduodamas </w:t>
                      </w:r>
                      <w:r>
                        <w:rPr>
                          <w:rFonts w:eastAsia="LiberationSerif-Bold"/>
                          <w:szCs w:val="24"/>
                          <w:lang w:eastAsia="lt-LT"/>
                        </w:rPr>
                        <w:t xml:space="preserve">vadovaujantis </w:t>
                      </w:r>
                      <w:r>
                        <w:rPr>
                          <w:color w:val="000000"/>
                          <w:szCs w:val="24"/>
                          <w:lang w:eastAsia="lt-LT"/>
                        </w:rPr>
                        <w:t>Taršos leidimų išdavimo, pakeitimo ir galiojimo panaikinimo taisyklėmis, patvirtintomis Lietuvos Respublikos aplinkos ministro 2014 m. kovo 6 d. įsakymu Nr. D1-259 „Dėl Taršos leidimų išdavimo, pakeitimo ir galiojimo panaikinimo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9 p."/>
                    <w:tag w:val="part_855b7a0249744d62ab51aa7a58efb7fe"/>
                    <w:lock w:val="sdtLocked"/>
                    <w:richText/>
                  </w:sdtPr>
                  <w:sdtContent>
                    <w:p>
                      <w:pPr>
                        <w:ind w:firstLine="709"/>
                        <w:jc w:val="both"/>
                      </w:pPr>
                      <w:sdt>
                        <w:sdtPr>
                          <w:alias w:val="Numeris"/>
                          <w:tag w:val="nr_855b7a0249744d62ab51aa7a58efb7fe"/>
                          <w:lock w:val="sdtLocked"/>
                          <w:richText/>
                        </w:sdtPr>
                        <w:sdtContent>
                          <w:r>
                            <w:rPr>
                              <w:color w:val="000000"/>
                              <w:szCs w:val="24"/>
                              <w:lang w:eastAsia="lt-LT"/>
                            </w:rPr>
                            <w:t>6.9</w:t>
                          </w:r>
                        </w:sdtContent>
                      </w:sdt>
                      <w:r>
                        <w:rPr>
                          <w:color w:val="000000"/>
                          <w:szCs w:val="24"/>
                          <w:lang w:eastAsia="lt-LT"/>
                        </w:rPr>
                        <w:t xml:space="preserve">. </w:t>
                      </w:r>
                      <w:r>
                        <w:rPr>
                          <w:b/>
                        </w:rPr>
                        <w:t>deginimo arba bendro deginimo įrenginyje susidariusios atliekos</w:t>
                      </w:r>
                      <w:r>
                        <w:t xml:space="preserve"> – tai bet kokios skystos arba kietos medžiagos (įskaitant nuosėdas, šlaką, lakiuosius pelenus, katilų dulkes, dujų valymo reakcijų kietuosius produktus, nuotekų valymo dumblą, išnaudotus katalizatorius ir panaudotą aktyviąją anglį), kurioms taikomas atliekų apibrėžimas, susidariusios deginimo arba bendro deginimo proceso metu, valant išmetamąsias dujas ar nuotekas, arba kitų deginimo arba bendro deginimo įrenginyje vykstančių procesų metu;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sdtContent>
                </w:sdt>
                <w:sdt>
                  <w:sdtPr>
                    <w:alias w:val="6.10 p."/>
                    <w:tag w:val="part_e434e63b1ff94b67848309dc6cd00b1b"/>
                    <w:lock w:val="sdtLocked"/>
                    <w:richText/>
                  </w:sdtPr>
                  <w:sdtContent>
                    <w:p>
                      <w:pPr>
                        <w:widowControl w:val="0"/>
                        <w:ind w:firstLine="709"/>
                        <w:jc w:val="both"/>
                      </w:pPr>
                      <w:sdt>
                        <w:sdtPr>
                          <w:alias w:val="Numeris"/>
                          <w:tag w:val="nr_e434e63b1ff94b67848309dc6cd00b1b"/>
                          <w:lock w:val="sdtLocked"/>
                          <w:richText/>
                        </w:sdtPr>
                        <w:sdtContent>
                          <w:r>
                            <w:rPr>
                              <w:color w:val="000000"/>
                              <w:szCs w:val="24"/>
                              <w:lang w:eastAsia="lt-LT"/>
                            </w:rPr>
                            <w:t>6.10</w:t>
                          </w:r>
                        </w:sdtContent>
                      </w:sdt>
                      <w:r>
                        <w:rPr>
                          <w:color w:val="000000"/>
                          <w:szCs w:val="24"/>
                          <w:lang w:eastAsia="lt-LT"/>
                        </w:rPr>
                        <w:t xml:space="preserve">. </w:t>
                      </w:r>
                      <w:r>
                        <w:rPr>
                          <w:b/>
                          <w:color w:val="000000"/>
                          <w:szCs w:val="24"/>
                          <w:lang w:eastAsia="lt-LT"/>
                        </w:rPr>
                        <w:t>nominalus galingumas</w:t>
                      </w:r>
                      <w:r>
                        <w:rPr>
                          <w:color w:val="000000"/>
                          <w:szCs w:val="24"/>
                          <w:lang w:eastAsia="lt-LT"/>
                        </w:rPr>
                        <w:t xml:space="preserve"> – konstruktoriaus nurodyta ir operatoriaus patvirtinta visų deginimo įrenginio arba bendro deginimo įrenginio</w:t>
                      </w:r>
                      <w:r>
                        <w:rPr>
                          <w:b/>
                          <w:bCs/>
                          <w:color w:val="000000"/>
                          <w:szCs w:val="24"/>
                          <w:lang w:eastAsia="lt-LT"/>
                        </w:rPr>
                        <w:t xml:space="preserve"> </w:t>
                      </w:r>
                      <w:r>
                        <w:rPr>
                          <w:color w:val="000000"/>
                          <w:szCs w:val="24"/>
                          <w:lang w:eastAsia="lt-LT"/>
                        </w:rPr>
                        <w:t>krosnių galingumų suma, nustatoma atsižvelgiant į atliekų kaloringumą, kuris išreiškiamas per valandą sudegintų atliekų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6.11 p."/>
                    <w:tag w:val="part_dc27f9f724f1492890ef5a64cd73533d"/>
                    <w:lock w:val="sdtLocked"/>
                    <w:richText/>
                  </w:sdtPr>
                  <w:sdtContent>
                    <w:p>
                      <w:pPr>
                        <w:pStyle w:val="PlainText"/>
                        <w:ind w:firstLine="567"/>
                        <w:jc w:val="both"/>
                        <w:rPr>
                          <w:rFonts w:ascii="Times New Roman" w:hAnsi="Times New Roman"/>
                          <w:b/>
                          <w:bCs/>
                          <w:sz w:val="22"/>
                        </w:rPr>
                      </w:pPr>
                      <w:r>
                        <w:rPr>
                          <w:rFonts w:ascii="Times New Roman" w:hAnsi="Times New Roman"/>
                          <w:sz w:val="22"/>
                        </w:rPr>
                        <w:t>6.11</w:t>
                      </w:r>
                      <w:r>
                        <w:rPr>
                          <w:rFonts w:ascii="Times New Roman" w:hAnsi="Times New Roman"/>
                          <w:sz w:val="22"/>
                        </w:rPr>
                        <w:t>.</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12 p."/>
                    <w:tag w:val="part_baf97e479fa54744a1d67b39f302559c"/>
                    <w:lock w:val="sdtLocked"/>
                    <w:richText/>
                  </w:sdtPr>
                  <w:sdtContent>
                    <w:p>
                      <w:pPr>
                        <w:ind w:firstLine="709"/>
                        <w:jc w:val="both"/>
                      </w:pPr>
                      <w:sdt>
                        <w:sdtPr>
                          <w:alias w:val="Numeris"/>
                          <w:tag w:val="nr_baf97e479fa54744a1d67b39f302559c"/>
                          <w:lock w:val="sdtLocked"/>
                          <w:richText/>
                        </w:sdtPr>
                        <w:sdtContent>
                          <w:r>
                            <w:t>6.12</w:t>
                          </w:r>
                        </w:sdtContent>
                      </w:sdt>
                      <w:r>
                        <w:t xml:space="preserve">. </w:t>
                      </w:r>
                      <w:r>
                        <w:rPr>
                          <w:b/>
                        </w:rPr>
                        <w:t>veiklos vykdytojas (operatorius)</w:t>
                      </w:r>
                      <w:r>
                        <w:t xml:space="preserve"> – bet kuris fizinis ar juridinis asmuo, naudojantis arba valdantis įrenginį ir pagal Lietuvos Respublikos teisės aktus turintis ūkinius įgaliojimus spręsti įrenginio techninius klausimus;</w:t>
                      </w:r>
                    </w:p>
                  </w:sdtContent>
                </w:sdt>
                <w:sdt>
                  <w:sdtPr>
                    <w:alias w:val="6.13 p."/>
                    <w:tag w:val="part_e8fda92fcc7d486fa2516558945027c1"/>
                    <w:lock w:val="sdtLocked"/>
                    <w:richText/>
                  </w:sdtPr>
                  <w:sdtContent>
                    <w:p>
                      <w:pPr>
                        <w:pStyle w:val="PlainText"/>
                        <w:ind w:firstLine="567"/>
                        <w:jc w:val="both"/>
                        <w:rPr>
                          <w:rFonts w:ascii="Times New Roman" w:hAnsi="Times New Roman"/>
                          <w:b/>
                          <w:bCs/>
                          <w:sz w:val="22"/>
                        </w:rPr>
                      </w:pPr>
                      <w:r>
                        <w:rPr>
                          <w:rFonts w:ascii="Times New Roman" w:hAnsi="Times New Roman"/>
                          <w:sz w:val="22"/>
                        </w:rPr>
                        <w:t>6.13</w:t>
                      </w:r>
                      <w:r>
                        <w:rPr>
                          <w:rFonts w:ascii="Times New Roman" w:hAnsi="Times New Roman"/>
                          <w:sz w:val="22"/>
                        </w:rPr>
                        <w:t>.</w:t>
                      </w:r>
                      <w:r>
                        <w:rPr>
                          <w:rFonts w:ascii="Times New Roman" w:eastAsia="MS Mincho" w:hAnsi="Times New Roman"/>
                          <w:sz w:val="20"/>
                          <w:i/>
                          <w:iCs/>
                        </w:rPr>
                        <w:t xml:space="preserve"> Neteko galios nuo 2025-11-08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bb211bba111f092fda1fd0c194cc5">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2025-11-07,
paskelbta TAR 2025-11-07, i. k. 2025-18725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A2852A26B36">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2008-09-23,
Žin., 2008, Nr.
111-4253 (2008-09-27), i. k. 108301MISAK00D1-487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14 p."/>
                    <w:tag w:val="part_46fd19b99c9547babcd5f23ea139b586"/>
                    <w:lock w:val="sdtLocked"/>
                    <w:richText/>
                  </w:sdtPr>
                  <w:sdtContent>
                    <w:p>
                      <w:pPr>
                        <w:widowControl w:val="0"/>
                        <w:ind w:firstLine="709"/>
                        <w:jc w:val="both"/>
                      </w:pPr>
                      <w:sdt>
                        <w:sdtPr>
                          <w:alias w:val="Numeris"/>
                          <w:tag w:val="nr_46fd19b99c9547babcd5f23ea139b586"/>
                          <w:lock w:val="sdtLocked"/>
                          <w:richText/>
                        </w:sdtPr>
                        <w:sdtContent>
                          <w:r>
                            <w:rPr>
                              <w:color w:val="000000"/>
                              <w:szCs w:val="24"/>
                              <w:lang w:eastAsia="lt-LT"/>
                            </w:rPr>
                            <w:t>6.14</w:t>
                          </w:r>
                        </w:sdtContent>
                      </w:sdt>
                      <w:r>
                        <w:rPr>
                          <w:color w:val="000000"/>
                          <w:szCs w:val="24"/>
                          <w:lang w:eastAsia="lt-LT"/>
                        </w:rPr>
                        <w:t xml:space="preserve">. naujas atliekų deginimo įrenginys – </w:t>
                      </w:r>
                      <w:r>
                        <w:rPr>
                          <w:bCs/>
                          <w:color w:val="000000"/>
                          <w:szCs w:val="24"/>
                          <w:lang w:eastAsia="lt-LT"/>
                        </w:rPr>
                        <w:t>atliekų deginimo įrenginys, kuris pagal Reikalavimų 6.6 papunktyje pateiktą apibrėžtį nelaikomas esamu atliekų deginimo įrenginiu;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15 pp."/>
                    <w:tag w:val="part_d920ff9a1c0c44d8b231ccab936eada5"/>
                    <w:lock w:val="sdtLocked"/>
                    <w:richText/>
                  </w:sdtPr>
                  <w:sdtContent>
                    <w:p>
                      <w:pPr>
                        <w:ind w:firstLine="709"/>
                        <w:jc w:val="both"/>
                      </w:pPr>
                      <w:sdt>
                        <w:sdtPr>
                          <w:alias w:val="Numeris"/>
                          <w:tag w:val="nr_d920ff9a1c0c44d8b231ccab936eada5"/>
                          <w:lock w:val="sdtLocked"/>
                          <w:richText/>
                        </w:sdtPr>
                        <w:sdtContent>
                          <w:r>
                            <w:rPr>
                              <w:szCs w:val="24"/>
                            </w:rPr>
                            <w:t>6.15</w:t>
                          </w:r>
                        </w:sdtContent>
                      </w:sdt>
                      <w:r>
                        <w:rPr>
                          <w:szCs w:val="24"/>
                        </w:rPr>
                        <w:t>. radioaktyviųjų atliekų deginimo įrenginys suprantamas taip, kaip apibrėžta Branduolinės saugos taisyklėse BST-3.1.1-2021 „Radioaktyviųjų atliekų deginimo įrenginiai“, patvirtintose Valstybinės atominės energetikos saugos inspekcijos viršininko 2021 m. liepos 2 d. įsakymu Nr. 22.3-104 „Dėl Branduolinės saugos taisyklių BST-3.1.1-2021 „Radioaktyviųjų atliekų deginimo įrenginiai“ patvirtinimo“;</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16 pp."/>
                    <w:tag w:val="part_c15556114f3d4312916c80f519aca7b3"/>
                    <w:lock w:val="sdtLocked"/>
                    <w:richText/>
                  </w:sdtPr>
                  <w:sdtContent>
                    <w:p>
                      <w:pPr>
                        <w:ind w:firstLine="709"/>
                        <w:jc w:val="both"/>
                      </w:pPr>
                      <w:sdt>
                        <w:sdtPr>
                          <w:alias w:val="Numeris"/>
                          <w:tag w:val="nr_c15556114f3d4312916c80f519aca7b3"/>
                          <w:lock w:val="sdtLocked"/>
                          <w:richText/>
                        </w:sdtPr>
                        <w:sdtContent>
                          <w:r>
                            <w:rPr>
                              <w:szCs w:val="24"/>
                              <w:lang w:eastAsia="en-GB"/>
                            </w:rPr>
                            <w:t>6.16</w:t>
                          </w:r>
                        </w:sdtContent>
                      </w:sdt>
                      <w:r>
                        <w:rPr>
                          <w:szCs w:val="24"/>
                          <w:lang w:eastAsia="en-GB"/>
                        </w:rPr>
                        <w:t xml:space="preserve">. </w:t>
                      </w:r>
                      <w:r>
                        <w:rPr>
                          <w:color w:val="000000"/>
                        </w:rPr>
                        <w:t>neįprastos veiklos sąlygos suprantamos, kaip apibrėžiamos Taršos integruotos prevencijos ir kontrolės leidimų išdavimo, pakeitimo ir galiojimo panaikinimo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sdtContent>
                </w:sdt>
              </w:sdtContent>
            </w:sdt>
            <w:sdt>
              <w:sdtPr>
                <w:alias w:val="6-1 p."/>
                <w:tag w:val="part_81c45a853e844f49949e8cc2eee65e48"/>
                <w:lock w:val="sdtLocked"/>
                <w:richText/>
              </w:sdtPr>
              <w:sdtContent>
                <w:p>
                  <w:pPr>
                    <w:ind w:firstLine="709"/>
                    <w:jc w:val="both"/>
                  </w:pPr>
                  <w:sdt>
                    <w:sdtPr>
                      <w:alias w:val="Numeris"/>
                      <w:tag w:val="nr_81c45a853e844f49949e8cc2eee65e48"/>
                      <w:lock w:val="sdtLocked"/>
                      <w:richText/>
                    </w:sdtPr>
                    <w:sdtContent>
                      <w:r>
                        <w:rPr>
                          <w:szCs w:val="24"/>
                        </w:rPr>
                        <w:t>6</w:t>
                      </w:r>
                      <w:r>
                        <w:rPr>
                          <w:szCs w:val="24"/>
                          <w:vertAlign w:val="superscript"/>
                        </w:rPr>
                        <w:t>1</w:t>
                      </w:r>
                    </w:sdtContent>
                  </w:sdt>
                  <w:r>
                    <w:rPr>
                      <w:szCs w:val="24"/>
                    </w:rPr>
                    <w:t>. Radioaktyviųjų atliekų deginimo įrenginiams taikomi Reikalavimų XI skyriuje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Content>
        </w:sdt>
        <w:sdt>
          <w:sdtPr>
            <w:alias w:val="skyrius"/>
            <w:tag w:val="part_b6aebbfd48d443eeb6919445f26124bf"/>
            <w:lock w:val="sdtLocked"/>
            <w:richText/>
          </w:sdtPr>
          <w:sdtContent>
            <w:p>
              <w:pPr>
                <w:jc w:val="center"/>
                <w:rPr>
                  <w:b/>
                </w:rPr>
              </w:pPr>
              <w:sdt>
                <w:sdtPr>
                  <w:alias w:val="Numeris"/>
                  <w:tag w:val="nr_b6aebbfd48d443eeb6919445f26124bf"/>
                  <w:lock w:val="sdtLocked"/>
                  <w:richText/>
                </w:sdtPr>
                <w:sdtContent>
                  <w:r>
                    <w:rPr>
                      <w:b/>
                    </w:rPr>
                    <w:t>II</w:t>
                  </w:r>
                </w:sdtContent>
              </w:sdt>
              <w:r>
                <w:rPr>
                  <w:b/>
                </w:rPr>
                <w:t xml:space="preserve"> SKYRIUS</w:t>
              </w:r>
            </w:p>
            <w:p>
              <w:pPr>
                <w:jc w:val="center"/>
                <w:rPr>
                  <w:b/>
                </w:rPr>
              </w:pPr>
              <w:sdt>
                <w:sdtPr>
                  <w:alias w:val="Pavadinimas"/>
                  <w:tag w:val="title_b6aebbfd48d443eeb6919445f26124bf"/>
                  <w:lock w:val="sdtLocked"/>
                  <w:richText/>
                </w:sdtPr>
                <w:sdtContent>
                  <w:r>
                    <w:rPr>
                      <w:b/>
                    </w:rPr>
                    <w:t xml:space="preserve">PARAIŠKA IR LEIDIMAS DEGINTI ATLIEKAS DEGINIMO ĮRENGINIUOSE AR BENDRO DEGINIMO ĮRENGINIUOSE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
              <w:sdtPr>
                <w:alias w:val="7 p."/>
                <w:tag w:val="part_f94f3f2b7a8943959d8df90713cd51a7"/>
                <w:lock w:val="sdtLocked"/>
                <w:richText/>
              </w:sdtPr>
              <w:sdtContent>
                <w:p>
                  <w:pPr>
                    <w:ind w:firstLine="709"/>
                    <w:jc w:val="both"/>
                  </w:pPr>
                  <w:sdt>
                    <w:sdtPr>
                      <w:alias w:val="Numeris"/>
                      <w:tag w:val="nr_f94f3f2b7a8943959d8df90713cd51a7"/>
                      <w:lock w:val="sdtLocked"/>
                      <w:richText/>
                    </w:sdtPr>
                    <w:sdtContent>
                      <w:r>
                        <w:t>7</w:t>
                      </w:r>
                    </w:sdtContent>
                  </w:sdt>
                  <w:r>
                    <w:t>. Deginimo ar bendro deginimo įrenginio operatorius negali vykdyti atliekų deginimo veiklos, neturėdamas teisės aktų nustatyta tvarka išduoto leidimo.</w:t>
                  </w:r>
                </w:p>
              </w:sdtContent>
            </w:sdt>
            <w:sdt>
              <w:sdtPr>
                <w:alias w:val="7-1 p."/>
                <w:tag w:val="part_7af6eb84bb1c4187a191098f0ef52add"/>
                <w:lock w:val="sdtLocked"/>
                <w:richText/>
              </w:sdtPr>
              <w:sdtContent>
                <w:p>
                  <w:pPr>
                    <w:ind w:firstLine="709"/>
                    <w:jc w:val="both"/>
                  </w:pPr>
                  <w:sdt>
                    <w:sdtPr>
                      <w:alias w:val="Numeris"/>
                      <w:tag w:val="nr_7af6eb84bb1c4187a191098f0ef52add"/>
                      <w:lock w:val="sdtLocked"/>
                      <w:richText/>
                    </w:sdtPr>
                    <w:sdtContent>
                      <w:r>
                        <w:t>7</w:t>
                      </w:r>
                      <w:r>
                        <w:rPr>
                          <w:vertAlign w:val="superscript"/>
                        </w:rPr>
                        <w:t>1</w:t>
                      </w:r>
                    </w:sdtContent>
                  </w:sdt>
                  <w:r>
                    <w:t xml:space="preserve">. </w:t>
                  </w:r>
                  <w:r>
                    <w:rPr>
                      <w:szCs w:val="24"/>
                      <w:lang w:val="lt"/>
                    </w:rPr>
                    <w:t>Paraiškos leidimui atliekų deginimo arba bendro atliekų deginimo įrenginio veiklai vykdyti gauti ar pakeisti rengimas ir pateikimas; gautos paraiškos viešinimas, nagrinėjimas ir derinimas; leidimo išdavimas, leidimo sąlygų peržiūrėjimas, pakeitimas ir galiojimo panaikinimas; informacijos viešinimas ir visuomenės informavimas bei dalyvavimas leidimo išdavimo procese vykdomas vadovaujantis Taršos integruotos prevencijos ir kontrolės leidimų išdavimo, pakeitimo ir galiojimo panaikinimo taisyklėse arba Taršos leidimų išdavimo, pakeitimo ir galiojimo panaikinimo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sdtContent>
            </w:sdt>
            <w:sdt>
              <w:sdtPr>
                <w:alias w:val="8 p."/>
                <w:tag w:val="part_211e4e0309a4402c993bb728b4138698"/>
                <w:lock w:val="sdtLocked"/>
                <w:richText/>
              </w:sdtPr>
              <w:sdtContent>
                <w:p>
                  <w:pPr>
                    <w:ind w:firstLine="709"/>
                    <w:jc w:val="both"/>
                    <w:rPr>
                      <w:szCs w:val="24"/>
                    </w:rPr>
                  </w:pPr>
                  <w:sdt>
                    <w:sdtPr>
                      <w:alias w:val="Numeris"/>
                      <w:tag w:val="nr_211e4e0309a4402c993bb728b4138698"/>
                      <w:lock w:val="sdtLocked"/>
                      <w:richText/>
                    </w:sdtPr>
                    <w:sdtContent>
                      <w:r>
                        <w:rPr>
                          <w:szCs w:val="24"/>
                        </w:rPr>
                        <w:t>8</w:t>
                      </w:r>
                    </w:sdtContent>
                  </w:sdt>
                  <w:r>
                    <w:rPr>
                      <w:szCs w:val="24"/>
                    </w:rPr>
                    <w:t>. Leidimo eksploatuoti atliekų deginimo ar bendro deginimo įrenginį paraiškoje, be kitų teisės aktų nustatytų reikalavimų, turi būti aprašytos priemonės, kuriomis užtikrinama, kad:</w:t>
                  </w:r>
                </w:p>
                <w:sdt>
                  <w:sdtPr>
                    <w:alias w:val="8.1 pp."/>
                    <w:tag w:val="part_ab369632ce264084b20501bae0cd11c1"/>
                    <w:lock w:val="sdtLocked"/>
                    <w:richText/>
                  </w:sdtPr>
                  <w:sdtContent>
                    <w:p>
                      <w:pPr>
                        <w:ind w:firstLine="709"/>
                        <w:jc w:val="both"/>
                        <w:rPr>
                          <w:szCs w:val="24"/>
                        </w:rPr>
                      </w:pPr>
                      <w:sdt>
                        <w:sdtPr>
                          <w:alias w:val="Numeris"/>
                          <w:tag w:val="nr_ab369632ce264084b20501bae0cd11c1"/>
                          <w:lock w:val="sdtLocked"/>
                          <w:richText/>
                        </w:sdtPr>
                        <w:sdtContent>
                          <w:r>
                            <w:rPr>
                              <w:szCs w:val="24"/>
                            </w:rPr>
                            <w:t>8.1</w:t>
                          </w:r>
                        </w:sdtContent>
                      </w:sdt>
                      <w:r>
                        <w:rPr>
                          <w:szCs w:val="24"/>
                        </w:rPr>
                        <w:t>. įrenginys suprojektuotas, įrengtas, prižiūrimas ir bus eksploatuojamas atsižvelgiant į Reikalavimų laikymąsi deginant atitinkamų kategorijų atliekas;</w:t>
                      </w:r>
                    </w:p>
                  </w:sdtContent>
                </w:sdt>
                <w:sdt>
                  <w:sdtPr>
                    <w:alias w:val="8.2 pp."/>
                    <w:tag w:val="part_0f7571f529d6499e8d697153a295d5ec"/>
                    <w:lock w:val="sdtLocked"/>
                    <w:richText/>
                  </w:sdtPr>
                  <w:sdtContent>
                    <w:p>
                      <w:pPr>
                        <w:ind w:firstLine="709"/>
                        <w:jc w:val="both"/>
                        <w:rPr>
                          <w:szCs w:val="24"/>
                        </w:rPr>
                      </w:pPr>
                      <w:sdt>
                        <w:sdtPr>
                          <w:alias w:val="Numeris"/>
                          <w:tag w:val="nr_0f7571f529d6499e8d697153a295d5ec"/>
                          <w:lock w:val="sdtLocked"/>
                          <w:richText/>
                        </w:sdtPr>
                        <w:sdtContent>
                          <w:r>
                            <w:rPr>
                              <w:szCs w:val="24"/>
                            </w:rPr>
                            <w:t>8.2</w:t>
                          </w:r>
                        </w:sdtContent>
                      </w:sdt>
                      <w:r>
                        <w:rPr>
                          <w:szCs w:val="24"/>
                        </w:rPr>
                        <w:t>. deginimo ar bendro deginimo procese gauta šiluma bus panaudota, kiek tai praktiškai įmanoma, gaminant šilumą ir energiją (kombinuotas ciklas), panaudojant garą technologiniuose procesuose ar tiekiant šilumą šilumos tinklams;</w:t>
                      </w:r>
                    </w:p>
                  </w:sdtContent>
                </w:sdt>
                <w:sdt>
                  <w:sdtPr>
                    <w:alias w:val="8.3 pp."/>
                    <w:tag w:val="part_d75690856f7c4ad8b2da30d4c21fdf11"/>
                    <w:lock w:val="sdtLocked"/>
                    <w:richText/>
                  </w:sdtPr>
                  <w:sdtContent>
                    <w:p>
                      <w:pPr>
                        <w:ind w:firstLine="709"/>
                        <w:jc w:val="both"/>
                        <w:rPr>
                          <w:szCs w:val="24"/>
                        </w:rPr>
                      </w:pPr>
                      <w:sdt>
                        <w:sdtPr>
                          <w:alias w:val="Numeris"/>
                          <w:tag w:val="nr_d75690856f7c4ad8b2da30d4c21fdf11"/>
                          <w:lock w:val="sdtLocked"/>
                          <w:richText/>
                        </w:sdtPr>
                        <w:sdtContent>
                          <w:r>
                            <w:rPr>
                              <w:szCs w:val="24"/>
                            </w:rPr>
                            <w:t>8.3</w:t>
                          </w:r>
                        </w:sdtContent>
                      </w:sdt>
                      <w:r>
                        <w:rPr>
                          <w:szCs w:val="24"/>
                        </w:rPr>
                        <w:t>. bus, kiek įmanoma, sumažintas deginimo arba bendro deginimo įrenginyje susidariusių atliekų kiekis ir kenksmingumas, o susidariusios atliekos, jei įmanoma, perdirbtos;</w:t>
                      </w:r>
                    </w:p>
                  </w:sdtContent>
                </w:sdt>
                <w:sdt>
                  <w:sdtPr>
                    <w:alias w:val="8.4 pp."/>
                    <w:tag w:val="part_8fd70a4da75d45ac9b2a953b8279416d"/>
                    <w:lock w:val="sdtLocked"/>
                    <w:richText/>
                  </w:sdtPr>
                  <w:sdtContent>
                    <w:p>
                      <w:pPr>
                        <w:ind w:firstLine="709"/>
                        <w:jc w:val="both"/>
                      </w:pPr>
                      <w:sdt>
                        <w:sdtPr>
                          <w:alias w:val="Numeris"/>
                          <w:tag w:val="nr_8fd70a4da75d45ac9b2a953b8279416d"/>
                          <w:lock w:val="sdtLocked"/>
                          <w:richText/>
                        </w:sdtPr>
                        <w:sdtContent>
                          <w:r>
                            <w:rPr>
                              <w:szCs w:val="24"/>
                            </w:rPr>
                            <w:t>8.4</w:t>
                          </w:r>
                        </w:sdtContent>
                      </w:sdt>
                      <w:r>
                        <w:rPr>
                          <w:szCs w:val="24"/>
                        </w:rPr>
                        <w:t>. deginimo arba bendro deginimo įrenginyje susidariusios atliekos, kurių neįmanoma išvengti, sumažinti arba perdirbti, bus šalinamos laikantis teisės aktuose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8-1 p."/>
                <w:tag w:val="part_d64428ad549d4b97813205ed10e8dab3"/>
                <w:lock w:val="sdtLocked"/>
                <w:richText/>
              </w:sdtPr>
              <w:sdtContent>
                <w:p>
                  <w:pPr>
                    <w:widowControl w:val="0"/>
                    <w:ind w:firstLine="709"/>
                    <w:jc w:val="both"/>
                    <w:rPr>
                      <w:color w:val="000000"/>
                      <w:szCs w:val="24"/>
                      <w:lang w:eastAsia="lt-LT"/>
                    </w:rPr>
                  </w:pPr>
                  <w:sdt>
                    <w:sdtPr>
                      <w:alias w:val="Numeris"/>
                      <w:tag w:val="nr_d64428ad549d4b97813205ed10e8dab3"/>
                      <w:lock w:val="sdtLocked"/>
                      <w:richText/>
                    </w:sdtPr>
                    <w:sdtContent>
                      <w:r>
                        <w:rPr>
                          <w:color w:val="000000"/>
                          <w:szCs w:val="24"/>
                          <w:lang w:eastAsia="lt-LT"/>
                        </w:rPr>
                        <w:t>8</w:t>
                      </w:r>
                      <w:r>
                        <w:rPr>
                          <w:color w:val="000000"/>
                          <w:szCs w:val="24"/>
                          <w:vertAlign w:val="superscript"/>
                          <w:lang w:eastAsia="lt-LT"/>
                        </w:rPr>
                        <w:t>1</w:t>
                      </w:r>
                    </w:sdtContent>
                  </w:sdt>
                  <w:r>
                    <w:rPr>
                      <w:color w:val="000000"/>
                      <w:szCs w:val="24"/>
                      <w:lang w:eastAsia="lt-LT"/>
                    </w:rPr>
                    <w:t>. Paraiškoje leidimui gauti pavojingąsias atliekas deginantiems deginimo ir bendro deginimo įrenginiams papildomai prie 8 punkte nustatytų reikalavimų turi būti nurodyta:</w:t>
                  </w:r>
                </w:p>
                <w:sdt>
                  <w:sdtPr>
                    <w:alias w:val="8-1.1 p."/>
                    <w:tag w:val="part_d6932c669e5841f8b7fd51f8d939e149"/>
                    <w:lock w:val="sdtLocked"/>
                    <w:richText/>
                  </w:sdtPr>
                  <w:sdtContent>
                    <w:p>
                      <w:pPr>
                        <w:widowControl w:val="0"/>
                        <w:ind w:firstLine="709"/>
                        <w:jc w:val="both"/>
                        <w:rPr>
                          <w:color w:val="000000"/>
                          <w:szCs w:val="24"/>
                          <w:lang w:eastAsia="lt-LT"/>
                        </w:rPr>
                      </w:pPr>
                      <w:sdt>
                        <w:sdtPr>
                          <w:alias w:val="Numeris"/>
                          <w:tag w:val="nr_d6932c669e5841f8b7fd51f8d939e149"/>
                          <w:lock w:val="sdtLocked"/>
                          <w:richText/>
                        </w:sdtPr>
                        <w:sdtContent>
                          <w:r>
                            <w:rPr>
                              <w:color w:val="000000"/>
                              <w:szCs w:val="24"/>
                              <w:lang w:eastAsia="lt-LT"/>
                            </w:rPr>
                            <w:t>8</w:t>
                          </w:r>
                          <w:r>
                            <w:rPr>
                              <w:color w:val="000000"/>
                              <w:szCs w:val="24"/>
                              <w:vertAlign w:val="superscript"/>
                              <w:lang w:eastAsia="lt-LT"/>
                            </w:rPr>
                            <w:t>1</w:t>
                          </w:r>
                          <w:r>
                            <w:rPr>
                              <w:color w:val="000000"/>
                              <w:szCs w:val="24"/>
                              <w:lang w:eastAsia="lt-LT"/>
                            </w:rPr>
                            <w:t>.1</w:t>
                          </w:r>
                        </w:sdtContent>
                      </w:sdt>
                      <w:r>
                        <w:rPr>
                          <w:color w:val="000000"/>
                          <w:szCs w:val="24"/>
                          <w:lang w:eastAsia="lt-LT"/>
                        </w:rPr>
                        <w:t>. skirtingų pavojingųjų atliekų, kurios gali būti deginamos, kiekiai;</w:t>
                      </w:r>
                    </w:p>
                  </w:sdtContent>
                </w:sdt>
                <w:sdt>
                  <w:sdtPr>
                    <w:alias w:val="8-1.2 p."/>
                    <w:tag w:val="part_f0459113dae74de08b5de4b79a54e39c"/>
                    <w:lock w:val="sdtLocked"/>
                    <w:richText/>
                  </w:sdtPr>
                  <w:sdtContent>
                    <w:p>
                      <w:pPr>
                        <w:widowControl w:val="0"/>
                        <w:ind w:firstLine="709"/>
                        <w:jc w:val="both"/>
                      </w:pPr>
                      <w:sdt>
                        <w:sdtPr>
                          <w:alias w:val="Numeris"/>
                          <w:tag w:val="nr_f0459113dae74de08b5de4b79a54e39c"/>
                          <w:lock w:val="sdtLocked"/>
                          <w:richText/>
                        </w:sdtPr>
                        <w:sdtContent>
                          <w:r>
                            <w:rPr>
                              <w:color w:val="000000"/>
                              <w:szCs w:val="24"/>
                              <w:lang w:eastAsia="lt-LT"/>
                            </w:rPr>
                            <w:t>8</w:t>
                          </w:r>
                          <w:r>
                            <w:rPr>
                              <w:color w:val="000000"/>
                              <w:szCs w:val="24"/>
                              <w:vertAlign w:val="superscript"/>
                              <w:lang w:eastAsia="lt-LT"/>
                            </w:rPr>
                            <w:t>1</w:t>
                          </w:r>
                          <w:r>
                            <w:rPr>
                              <w:color w:val="000000"/>
                              <w:szCs w:val="24"/>
                              <w:lang w:eastAsia="lt-LT"/>
                            </w:rPr>
                            <w:t>.2</w:t>
                          </w:r>
                        </w:sdtContent>
                      </w:sdt>
                      <w:r>
                        <w:rPr>
                          <w:color w:val="000000"/>
                          <w:szCs w:val="24"/>
                          <w:lang w:eastAsia="lt-LT"/>
                        </w:rPr>
                        <w:t>. didžiausi ir mažiausi leidžiami deginti pavojingųjų atliekų srautai, išreikšti masės vienetais, jų didžiausia ir mažiausia šiluminė vertė ir didžiausias leidžiamas šių atliekų užterštumas PCB, PCP, chloru, fluoru, siera, sunkiaisiais metalais ir kitais teršalais.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8-2 p."/>
                <w:tag w:val="part_8f23aa28c35c4f3aad81a8794c5dda94"/>
                <w:lock w:val="sdtLocked"/>
                <w:richText/>
              </w:sdtPr>
              <w:sdtContent>
                <w:p>
                  <w:pPr>
                    <w:tabs>
                      <w:tab w:val="left" w:pos="5437"/>
                    </w:tabs>
                    <w:ind w:firstLine="709"/>
                    <w:jc w:val="both"/>
                    <w:rPr>
                      <w:szCs w:val="24"/>
                    </w:rPr>
                  </w:pPr>
                  <w:sdt>
                    <w:sdtPr>
                      <w:alias w:val="Numeris"/>
                      <w:tag w:val="nr_8f23aa28c35c4f3aad81a8794c5dda94"/>
                      <w:lock w:val="sdtLocked"/>
                      <w:richText/>
                    </w:sdtPr>
                    <w:sdtContent>
                      <w:r>
                        <w:rPr>
                          <w:szCs w:val="24"/>
                        </w:rPr>
                        <w:t>8</w:t>
                      </w:r>
                      <w:r>
                        <w:rPr>
                          <w:szCs w:val="24"/>
                          <w:vertAlign w:val="superscript"/>
                        </w:rPr>
                        <w:t>2</w:t>
                      </w:r>
                    </w:sdtContent>
                  </w:sdt>
                  <w:r>
                    <w:rPr>
                      <w:szCs w:val="24"/>
                    </w:rPr>
                    <w:t>. Leidimo eksploatuoti atliekų deginimo ar bendro deginimo įrenginį paraiškoje papildomai prie 8 punkte nustatytų reikalavimų turi būti nurodyta:</w:t>
                  </w:r>
                </w:p>
                <w:sdt>
                  <w:sdtPr>
                    <w:alias w:val="8-2.1 pp."/>
                    <w:tag w:val="part_4810c80abc544df28cdf663e065e5cdf"/>
                    <w:lock w:val="sdtLocked"/>
                    <w:richText/>
                  </w:sdtPr>
                  <w:sdtContent>
                    <w:p>
                      <w:pPr>
                        <w:tabs>
                          <w:tab w:val="left" w:pos="5437"/>
                        </w:tabs>
                        <w:ind w:firstLine="709"/>
                        <w:jc w:val="both"/>
                        <w:rPr>
                          <w:szCs w:val="24"/>
                        </w:rPr>
                      </w:pPr>
                      <w:sdt>
                        <w:sdtPr>
                          <w:alias w:val="Numeris"/>
                          <w:tag w:val="nr_4810c80abc544df28cdf663e065e5cdf"/>
                          <w:lock w:val="sdtLocked"/>
                          <w:richText/>
                        </w:sdtPr>
                        <w:sdtContent>
                          <w:r>
                            <w:rPr>
                              <w:szCs w:val="24"/>
                            </w:rPr>
                            <w:t>8</w:t>
                          </w:r>
                          <w:r>
                            <w:rPr>
                              <w:szCs w:val="24"/>
                              <w:vertAlign w:val="superscript"/>
                            </w:rPr>
                            <w:t>2</w:t>
                          </w:r>
                          <w:r>
                            <w:rPr>
                              <w:szCs w:val="24"/>
                            </w:rPr>
                            <w:t>.1</w:t>
                          </w:r>
                        </w:sdtContent>
                      </w:sdt>
                      <w:r>
                        <w:rPr>
                          <w:szCs w:val="24"/>
                        </w:rPr>
                        <w:t>. leidžiamų deginti atliekų sąrašas, parengtas pagal Atliekų tvarkymo taisyklėse pateiktą atliekų sąrašą, ir bendras leidžiamas deginti atliekų kiekis;</w:t>
                      </w:r>
                    </w:p>
                  </w:sdtContent>
                </w:sdt>
                <w:sdt>
                  <w:sdtPr>
                    <w:alias w:val="8-2.2 pp."/>
                    <w:tag w:val="part_951a2b6f688d4a0d8ab43ee95e703f49"/>
                    <w:lock w:val="sdtLocked"/>
                    <w:richText/>
                  </w:sdtPr>
                  <w:sdtContent>
                    <w:p>
                      <w:pPr>
                        <w:tabs>
                          <w:tab w:val="left" w:pos="5437"/>
                        </w:tabs>
                        <w:ind w:firstLine="709"/>
                        <w:jc w:val="both"/>
                        <w:rPr>
                          <w:szCs w:val="24"/>
                        </w:rPr>
                      </w:pPr>
                      <w:sdt>
                        <w:sdtPr>
                          <w:alias w:val="Numeris"/>
                          <w:tag w:val="nr_951a2b6f688d4a0d8ab43ee95e703f49"/>
                          <w:lock w:val="sdtLocked"/>
                          <w:richText/>
                        </w:sdtPr>
                        <w:sdtContent>
                          <w:r>
                            <w:rPr>
                              <w:szCs w:val="24"/>
                            </w:rPr>
                            <w:t>8</w:t>
                          </w:r>
                          <w:r>
                            <w:rPr>
                              <w:szCs w:val="24"/>
                              <w:vertAlign w:val="superscript"/>
                            </w:rPr>
                            <w:t>2</w:t>
                          </w:r>
                          <w:r>
                            <w:rPr>
                              <w:szCs w:val="24"/>
                            </w:rPr>
                            <w:t>.2</w:t>
                          </w:r>
                        </w:sdtContent>
                      </w:sdt>
                      <w:r>
                        <w:rPr>
                          <w:szCs w:val="24"/>
                        </w:rPr>
                        <w:t>. deginimo arba bendro deginimo įrenginio atliekų deginimo nominalus galingumas, išreikštas MWth;</w:t>
                      </w:r>
                    </w:p>
                  </w:sdtContent>
                </w:sdt>
                <w:sdt>
                  <w:sdtPr>
                    <w:alias w:val="8-2.3 pp."/>
                    <w:tag w:val="part_f58a67c90c6547c9bba42dddd93078f8"/>
                    <w:lock w:val="sdtLocked"/>
                    <w:richText/>
                  </w:sdtPr>
                  <w:sdtContent>
                    <w:p>
                      <w:pPr>
                        <w:tabs>
                          <w:tab w:val="left" w:pos="5437"/>
                        </w:tabs>
                        <w:ind w:firstLine="709"/>
                        <w:jc w:val="both"/>
                        <w:rPr>
                          <w:szCs w:val="24"/>
                        </w:rPr>
                      </w:pPr>
                      <w:sdt>
                        <w:sdtPr>
                          <w:alias w:val="Numeris"/>
                          <w:tag w:val="nr_f58a67c90c6547c9bba42dddd93078f8"/>
                          <w:lock w:val="sdtLocked"/>
                          <w:richText/>
                        </w:sdtPr>
                        <w:sdtContent>
                          <w:r>
                            <w:rPr>
                              <w:szCs w:val="24"/>
                            </w:rPr>
                            <w:t>8</w:t>
                          </w:r>
                          <w:r>
                            <w:rPr>
                              <w:szCs w:val="24"/>
                              <w:vertAlign w:val="superscript"/>
                            </w:rPr>
                            <w:t>2</w:t>
                          </w:r>
                          <w:r>
                            <w:rPr>
                              <w:szCs w:val="24"/>
                            </w:rPr>
                            <w:t>.3</w:t>
                          </w:r>
                        </w:sdtContent>
                      </w:sdt>
                      <w:r>
                        <w:rPr>
                          <w:szCs w:val="24"/>
                        </w:rPr>
                        <w:t>. į orą ir vandenį išmetamų teršalų ribinės vertės;</w:t>
                      </w:r>
                    </w:p>
                  </w:sdtContent>
                </w:sdt>
                <w:sdt>
                  <w:sdtPr>
                    <w:alias w:val="8-2.4 pp."/>
                    <w:tag w:val="part_a81e8d3f330a4173a11af5352b084037"/>
                    <w:lock w:val="sdtLocked"/>
                    <w:richText/>
                  </w:sdtPr>
                  <w:sdtContent>
                    <w:p>
                      <w:pPr>
                        <w:tabs>
                          <w:tab w:val="left" w:pos="5437"/>
                        </w:tabs>
                        <w:ind w:firstLine="709"/>
                        <w:jc w:val="both"/>
                        <w:rPr>
                          <w:szCs w:val="24"/>
                        </w:rPr>
                      </w:pPr>
                      <w:sdt>
                        <w:sdtPr>
                          <w:alias w:val="Numeris"/>
                          <w:tag w:val="nr_a81e8d3f330a4173a11af5352b084037"/>
                          <w:lock w:val="sdtLocked"/>
                          <w:richText/>
                        </w:sdtPr>
                        <w:sdtContent>
                          <w:r>
                            <w:rPr>
                              <w:szCs w:val="24"/>
                            </w:rPr>
                            <w:t>8</w:t>
                          </w:r>
                          <w:r>
                            <w:rPr>
                              <w:szCs w:val="24"/>
                              <w:vertAlign w:val="superscript"/>
                            </w:rPr>
                            <w:t>2</w:t>
                          </w:r>
                          <w:r>
                            <w:rPr>
                              <w:szCs w:val="24"/>
                            </w:rPr>
                            <w:t>.4</w:t>
                          </w:r>
                        </w:sdtContent>
                      </w:sdt>
                      <w:r>
                        <w:rPr>
                          <w:szCs w:val="24"/>
                        </w:rPr>
                        <w:t>. ėminių ėmimo ir matavimo tvarka ir periodiškumas, užtikrinantys teršalų išmetimo stebėseną;</w:t>
                      </w:r>
                    </w:p>
                  </w:sdtContent>
                </w:sdt>
                <w:sdt>
                  <w:sdtPr>
                    <w:alias w:val="8-2.5 pp."/>
                    <w:tag w:val="part_70ec16c9a5a5471fb6fcd787e3b528b7"/>
                    <w:lock w:val="sdtLocked"/>
                    <w:richText/>
                  </w:sdtPr>
                  <w:sdtContent>
                    <w:p>
                      <w:pPr>
                        <w:tabs>
                          <w:tab w:val="left" w:pos="5437"/>
                        </w:tabs>
                        <w:ind w:firstLine="709"/>
                        <w:jc w:val="both"/>
                        <w:rPr>
                          <w:szCs w:val="24"/>
                        </w:rPr>
                      </w:pPr>
                      <w:sdt>
                        <w:sdtPr>
                          <w:alias w:val="Numeris"/>
                          <w:tag w:val="nr_70ec16c9a5a5471fb6fcd787e3b528b7"/>
                          <w:lock w:val="sdtLocked"/>
                          <w:richText/>
                        </w:sdtPr>
                        <w:sdtContent>
                          <w:r>
                            <w:rPr>
                              <w:szCs w:val="24"/>
                            </w:rPr>
                            <w:t>8</w:t>
                          </w:r>
                          <w:r>
                            <w:rPr>
                              <w:szCs w:val="24"/>
                              <w:vertAlign w:val="superscript"/>
                            </w:rPr>
                            <w:t>2</w:t>
                          </w:r>
                          <w:r>
                            <w:rPr>
                              <w:szCs w:val="24"/>
                            </w:rPr>
                            <w:t>.5</w:t>
                          </w:r>
                        </w:sdtContent>
                      </w:sdt>
                      <w:r>
                        <w:rPr>
                          <w:szCs w:val="24"/>
                        </w:rPr>
                        <w:t>. didžiausias leistinas valymo arba matavimo prietaisų techniškai neišvengiamo sustabdymo, sutrikimo arba gedimo laikotarpis, per kurį į orą išmetamų teršalų ir nuotekų kiekis gali viršyti nustatytas išmetamų teršalų ribines vertes;</w:t>
                      </w:r>
                    </w:p>
                  </w:sdtContent>
                </w:sdt>
                <w:sdt>
                  <w:sdtPr>
                    <w:alias w:val="8-2.6 pp."/>
                    <w:tag w:val="part_9f717606d7d14f34a7b6a7950484e129"/>
                    <w:lock w:val="sdtLocked"/>
                    <w:richText/>
                  </w:sdtPr>
                  <w:sdtContent>
                    <w:p>
                      <w:pPr>
                        <w:tabs>
                          <w:tab w:val="left" w:pos="5437"/>
                        </w:tabs>
                        <w:ind w:firstLine="709"/>
                        <w:jc w:val="both"/>
                      </w:pPr>
                      <w:sdt>
                        <w:sdtPr>
                          <w:alias w:val="Numeris"/>
                          <w:tag w:val="nr_9f717606d7d14f34a7b6a7950484e129"/>
                          <w:lock w:val="sdtLocked"/>
                          <w:richText/>
                        </w:sdtPr>
                        <w:sdtContent>
                          <w:r>
                            <w:rPr>
                              <w:szCs w:val="24"/>
                            </w:rPr>
                            <w:t>8</w:t>
                          </w:r>
                          <w:r>
                            <w:rPr>
                              <w:szCs w:val="24"/>
                              <w:vertAlign w:val="superscript"/>
                            </w:rPr>
                            <w:t>2</w:t>
                          </w:r>
                          <w:r>
                            <w:rPr>
                              <w:szCs w:val="24"/>
                            </w:rPr>
                            <w:t>.6</w:t>
                          </w:r>
                        </w:sdtContent>
                      </w:sdt>
                      <w:r>
                        <w:rPr>
                          <w:szCs w:val="24"/>
                        </w:rPr>
                        <w:t>. veiklos vykdytojo taikoma technologija, veiklos metodai, taršos prevencijos ir monitoringo (stebėsenos) priemonės atitinka geriausių prieinamų gamybos būdų išvadose nurodytus geriausius prieinamus gamybos būdus.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9 p."/>
                <w:tag w:val="part_96356f62e1c240ea88cd370e6b7e6150"/>
                <w:lock w:val="sdtLocked"/>
                <w:richText/>
              </w:sdtPr>
              <w:sdtContent>
                <w:p>
                  <w:pPr>
                    <w:ind w:firstLine="709"/>
                    <w:jc w:val="both"/>
                  </w:pPr>
                  <w:sdt>
                    <w:sdtPr>
                      <w:alias w:val="Numeris"/>
                      <w:tag w:val="nr_96356f62e1c240ea88cd370e6b7e6150"/>
                      <w:lock w:val="sdtLocked"/>
                      <w:richText/>
                    </w:sdtPr>
                    <w:sdtContent>
                      <w:r>
                        <w:t>9</w:t>
                      </w:r>
                    </w:sdtContent>
                  </w:sdt>
                  <w:r>
                    <w:t>. Leidimas gali būti išduotas tik tuo atveju, kai paraiškoje nurodyta, kad į aplinkos orą išmetamų teršalų matavimo būdai atitinka šių Reikalavimų 3 priedo reikalavimus, o į vandenį išleidžiamų teršalų – 3 priedo 1 ir 2 dalies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10 p."/>
                <w:tag w:val="part_c6b7012fa7064cc084f391837f0a3471"/>
                <w:lock w:val="sdtLocked"/>
                <w:richText/>
              </w:sdtPr>
              <w:sdtContent>
                <w:p>
                  <w:pPr>
                    <w:widowControl w:val="0"/>
                    <w:ind w:firstLine="709"/>
                    <w:jc w:val="both"/>
                    <w:rPr>
                      <w:color w:val="000000"/>
                      <w:szCs w:val="24"/>
                      <w:lang w:eastAsia="lt-LT"/>
                    </w:rPr>
                  </w:pPr>
                  <w:sdt>
                    <w:sdtPr>
                      <w:alias w:val="Numeris"/>
                      <w:tag w:val="nr_c6b7012fa7064cc084f391837f0a3471"/>
                      <w:lock w:val="sdtLocked"/>
                      <w:richText/>
                    </w:sdtPr>
                    <w:sdtContent>
                      <w:r>
                        <w:rPr>
                          <w:color w:val="000000"/>
                          <w:szCs w:val="24"/>
                          <w:lang w:eastAsia="lt-LT"/>
                        </w:rPr>
                        <w:t>10</w:t>
                      </w:r>
                    </w:sdtContent>
                  </w:sdt>
                  <w:r>
                    <w:rPr>
                      <w:color w:val="000000"/>
                      <w:szCs w:val="24"/>
                      <w:lang w:eastAsia="lt-LT"/>
                    </w:rPr>
                    <w:t>. Leidime, be kitų teisės aktų nustatytų reikalavimų, taikytinų išduodant leidimus deginimo ir bendro deginimo įrenginiams, turi būti nurodyta:</w:t>
                  </w:r>
                </w:p>
                <w:sdt>
                  <w:sdtPr>
                    <w:alias w:val="10.1 p."/>
                    <w:tag w:val="part_6e6fac6ed043411599b89a3588a41b16"/>
                    <w:lock w:val="sdtLocked"/>
                    <w:richText/>
                  </w:sdtPr>
                  <w:sdtContent>
                    <w:p>
                      <w:pPr>
                        <w:widowControl w:val="0"/>
                        <w:ind w:firstLine="709"/>
                        <w:jc w:val="both"/>
                        <w:rPr>
                          <w:color w:val="000000"/>
                          <w:szCs w:val="24"/>
                          <w:lang w:eastAsia="lt-LT"/>
                        </w:rPr>
                      </w:pPr>
                      <w:sdt>
                        <w:sdtPr>
                          <w:alias w:val="Numeris"/>
                          <w:tag w:val="nr_6e6fac6ed043411599b89a3588a41b16"/>
                          <w:lock w:val="sdtLocked"/>
                          <w:richText/>
                        </w:sdtPr>
                        <w:sdtContent>
                          <w:r>
                            <w:rPr>
                              <w:color w:val="000000"/>
                              <w:szCs w:val="24"/>
                              <w:lang w:eastAsia="lt-LT"/>
                            </w:rPr>
                            <w:t>10.1</w:t>
                          </w:r>
                        </w:sdtContent>
                      </w:sdt>
                      <w:r>
                        <w:rPr>
                          <w:color w:val="000000"/>
                          <w:szCs w:val="24"/>
                          <w:lang w:eastAsia="lt-LT"/>
                        </w:rPr>
                        <w:t>. leidžiamų deginti atliekų sąrašas, parengtas pagal Atliekų tvarkymo taisyklėse nurodytą atliekų sąrašą, ir bendras leidžiamų deginti atliekų kiekis;</w:t>
                      </w:r>
                    </w:p>
                  </w:sdtContent>
                </w:sdt>
                <w:sdt>
                  <w:sdtPr>
                    <w:alias w:val="10.2 p."/>
                    <w:tag w:val="part_c261d8cbcbb14ae2b1b724f008090bf0"/>
                    <w:lock w:val="sdtLocked"/>
                    <w:richText/>
                  </w:sdtPr>
                  <w:sdtContent>
                    <w:p>
                      <w:pPr>
                        <w:widowControl w:val="0"/>
                        <w:ind w:firstLine="709"/>
                        <w:jc w:val="both"/>
                        <w:rPr>
                          <w:color w:val="000000"/>
                          <w:szCs w:val="24"/>
                          <w:lang w:eastAsia="lt-LT"/>
                        </w:rPr>
                      </w:pPr>
                      <w:sdt>
                        <w:sdtPr>
                          <w:alias w:val="Numeris"/>
                          <w:tag w:val="nr_c261d8cbcbb14ae2b1b724f008090bf0"/>
                          <w:lock w:val="sdtLocked"/>
                          <w:richText/>
                        </w:sdtPr>
                        <w:sdtContent>
                          <w:r>
                            <w:rPr>
                              <w:color w:val="000000"/>
                              <w:szCs w:val="24"/>
                              <w:lang w:eastAsia="lt-LT"/>
                            </w:rPr>
                            <w:t>10.2</w:t>
                          </w:r>
                        </w:sdtContent>
                      </w:sdt>
                      <w:r>
                        <w:rPr>
                          <w:color w:val="000000"/>
                          <w:szCs w:val="24"/>
                          <w:lang w:eastAsia="lt-LT"/>
                        </w:rPr>
                        <w:t>. deginimo arba bendro deginimo įrenginio atliekų deginimo nominalus galingumas, išreikštas MWth;</w:t>
                      </w:r>
                    </w:p>
                  </w:sdtContent>
                </w:sdt>
                <w:sdt>
                  <w:sdtPr>
                    <w:alias w:val="10.3 p."/>
                    <w:tag w:val="part_948a56e86fd94c7583bed858280f8d93"/>
                    <w:lock w:val="sdtLocked"/>
                    <w:richText/>
                  </w:sdtPr>
                  <w:sdtContent>
                    <w:p>
                      <w:pPr>
                        <w:widowControl w:val="0"/>
                        <w:ind w:firstLine="709"/>
                        <w:jc w:val="both"/>
                        <w:rPr>
                          <w:color w:val="000000"/>
                          <w:szCs w:val="24"/>
                          <w:lang w:eastAsia="lt-LT"/>
                        </w:rPr>
                      </w:pPr>
                      <w:sdt>
                        <w:sdtPr>
                          <w:alias w:val="Numeris"/>
                          <w:tag w:val="nr_948a56e86fd94c7583bed858280f8d93"/>
                          <w:lock w:val="sdtLocked"/>
                          <w:richText/>
                        </w:sdtPr>
                        <w:sdtContent>
                          <w:r>
                            <w:rPr>
                              <w:color w:val="000000"/>
                              <w:szCs w:val="24"/>
                              <w:lang w:eastAsia="lt-LT"/>
                            </w:rPr>
                            <w:t>10.3</w:t>
                          </w:r>
                        </w:sdtContent>
                      </w:sdt>
                      <w:r>
                        <w:rPr>
                          <w:color w:val="000000"/>
                          <w:szCs w:val="24"/>
                          <w:lang w:eastAsia="lt-LT"/>
                        </w:rPr>
                        <w:t>. į orą ir vandenį išmetamų teršalų ribinės vertės;</w:t>
                      </w:r>
                    </w:p>
                  </w:sdtContent>
                </w:sdt>
                <w:sdt>
                  <w:sdtPr>
                    <w:alias w:val="10.4 p."/>
                    <w:tag w:val="part_87e929fc4575457d935c0b5c7a15ce04"/>
                    <w:lock w:val="sdtLocked"/>
                    <w:richText/>
                  </w:sdtPr>
                  <w:sdtContent>
                    <w:p>
                      <w:pPr>
                        <w:ind w:firstLine="709"/>
                        <w:jc w:val="both"/>
                        <w:rPr>
                          <w:color w:val="000000"/>
                          <w:szCs w:val="24"/>
                          <w:lang w:eastAsia="lt-LT"/>
                        </w:rPr>
                      </w:pPr>
                      <w:sdt>
                        <w:sdtPr>
                          <w:alias w:val="Numeris"/>
                          <w:tag w:val="nr_87e929fc4575457d935c0b5c7a15ce04"/>
                          <w:lock w:val="sdtLocked"/>
                          <w:richText/>
                        </w:sdtPr>
                        <w:sdtContent>
                          <w:r>
                            <w:rPr>
                              <w:color w:val="000000"/>
                            </w:rPr>
                            <w:t>10.4</w:t>
                          </w:r>
                        </w:sdtContent>
                      </w:sdt>
                      <w:r>
                        <w:rPr>
                          <w:color w:val="000000"/>
                        </w:rPr>
                        <w:t>. ėminių ėmimo ir matavimo tvarka ir periodiškumas, užtikrinantys teršalų išmetimo stebėseną;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10.5 p."/>
                    <w:tag w:val="part_3911cbf4854c4a6baeefa1ac0cc9a6db"/>
                    <w:lock w:val="sdtLocked"/>
                    <w:richText/>
                  </w:sdtPr>
                  <w:sdtContent>
                    <w:p>
                      <w:pPr>
                        <w:widowControl w:val="0"/>
                        <w:ind w:firstLine="709"/>
                        <w:jc w:val="both"/>
                        <w:rPr>
                          <w:color w:val="000000"/>
                          <w:szCs w:val="24"/>
                          <w:lang w:eastAsia="lt-LT"/>
                        </w:rPr>
                      </w:pPr>
                      <w:sdt>
                        <w:sdtPr>
                          <w:alias w:val="Numeris"/>
                          <w:tag w:val="nr_3911cbf4854c4a6baeefa1ac0cc9a6db"/>
                          <w:lock w:val="sdtLocked"/>
                          <w:richText/>
                        </w:sdtPr>
                        <w:sdtContent>
                          <w:r>
                            <w:rPr>
                              <w:color w:val="000000"/>
                              <w:szCs w:val="24"/>
                              <w:lang w:eastAsia="lt-LT"/>
                            </w:rPr>
                            <w:t>10.5</w:t>
                          </w:r>
                        </w:sdtContent>
                      </w:sdt>
                      <w:r>
                        <w:rPr>
                          <w:color w:val="000000"/>
                          <w:szCs w:val="24"/>
                          <w:lang w:eastAsia="lt-LT"/>
                        </w:rPr>
                        <w:t>. didžiausias leistinas valymo arba matavimo prietaisų techniškai neišvengiamo sustabdymo, sutrikimų arba gedimų laikotarpis, per kurį į orą išmetamų teršalų ir nuotekų kiekis gali viršyti nustatytas išmetamų teršalų ribines vertes;</w:t>
                      </w:r>
                    </w:p>
                  </w:sdtContent>
                </w:sdt>
                <w:sdt>
                  <w:sdtPr>
                    <w:alias w:val="10.6 p."/>
                    <w:tag w:val="part_6b3f90e720f5438e923580e46fc8a42d"/>
                    <w:lock w:val="sdtLocked"/>
                    <w:richText/>
                  </w:sdtPr>
                  <w:sdtContent>
                    <w:p>
                      <w:pPr>
                        <w:widowControl w:val="0"/>
                        <w:ind w:firstLine="709"/>
                        <w:jc w:val="both"/>
                      </w:pPr>
                      <w:sdt>
                        <w:sdtPr>
                          <w:alias w:val="Numeris"/>
                          <w:tag w:val="nr_6b3f90e720f5438e923580e46fc8a42d"/>
                          <w:lock w:val="sdtLocked"/>
                          <w:richText/>
                        </w:sdtPr>
                        <w:sdtContent>
                          <w:r>
                            <w:rPr>
                              <w:color w:val="000000"/>
                              <w:szCs w:val="24"/>
                              <w:lang w:eastAsia="lt-LT"/>
                            </w:rPr>
                            <w:t>10.6</w:t>
                          </w:r>
                        </w:sdtContent>
                      </w:sdt>
                      <w:r>
                        <w:rPr>
                          <w:color w:val="000000"/>
                          <w:szCs w:val="24"/>
                          <w:lang w:eastAsia="lt-LT"/>
                        </w:rPr>
                        <w:t>. pareiga operatoriams teikti metinę ataskaitą apie įrenginio veiklą, deginimo metodą, į orą ir vandenį išmetamų (išleidžiamų) teršalų stebėseną</w:t>
                      </w:r>
                      <w:r>
                        <w:rPr>
                          <w:b/>
                          <w:bCs/>
                          <w:color w:val="000000"/>
                          <w:szCs w:val="24"/>
                          <w:lang w:eastAsia="lt-LT"/>
                        </w:rPr>
                        <w:t xml:space="preserve"> </w:t>
                      </w:r>
                      <w:r>
                        <w:rPr>
                          <w:color w:val="000000"/>
                          <w:szCs w:val="24"/>
                          <w:lang w:eastAsia="lt-LT"/>
                        </w:rPr>
                        <w:t>(duomenis palyginti su Reikalavimuose nustatytomis ribinėmis vertėmis).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10-1 p."/>
                <w:tag w:val="part_918ab04d177348b6bde9c237634a957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918ab04d177348b6bde9c237634a957a"/>
                      <w:lock w:val="sdtLocked"/>
                      <w:richText/>
                    </w:sdtPr>
                    <w:sdtContent>
                      <w:r>
                        <w:rPr>
                          <w:szCs w:val="24"/>
                          <w:lang w:eastAsia="lt-LT"/>
                        </w:rPr>
                        <w:t>10</w:t>
                      </w:r>
                      <w:r>
                        <w:rPr>
                          <w:szCs w:val="24"/>
                          <w:vertAlign w:val="superscript"/>
                          <w:lang w:eastAsia="lt-LT"/>
                        </w:rPr>
                        <w:t>1</w:t>
                      </w:r>
                    </w:sdtContent>
                  </w:sdt>
                  <w:r>
                    <w:rPr>
                      <w:szCs w:val="24"/>
                      <w:lang w:eastAsia="lt-LT"/>
                    </w:rPr>
                    <w:t>.</w:t>
                  </w:r>
                  <w:r>
                    <w:rPr>
                      <w:rFonts w:ascii="Courier New" w:hAnsi="Courier New" w:cs="Courier New"/>
                      <w:sz w:val="20"/>
                      <w:lang w:eastAsia="lt-LT"/>
                    </w:rPr>
                    <w:t xml:space="preserve"> </w:t>
                  </w:r>
                  <w:r>
                    <w:rPr>
                      <w:szCs w:val="24"/>
                      <w:lang w:eastAsia="lt-LT"/>
                    </w:rPr>
                    <w:t xml:space="preserve">Aplinkos apsaugos agentūra užtikrina,  kad visuomenei būtų prieinama deginimo arba  bendro deginimo įrenginių, kurių nominalus galingumas dvi arba daugiau tonų per valandą, metinė ataskaita, nurodyta Reikalavimų 10.6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
              <w:sdtPr>
                <w:alias w:val="10-2 p."/>
                <w:tag w:val="part_62acc4c6398d42c9a3dbd8fe7a0a0636"/>
                <w:lock w:val="sdtLocked"/>
                <w:richText/>
              </w:sdtPr>
              <w:sdtContent>
                <w:p>
                  <w:pPr>
                    <w:ind w:firstLine="709"/>
                    <w:jc w:val="both"/>
                  </w:pPr>
                  <w:sdt>
                    <w:sdtPr>
                      <w:alias w:val="Numeris"/>
                      <w:tag w:val="nr_62acc4c6398d42c9a3dbd8fe7a0a0636"/>
                      <w:lock w:val="sdtLocked"/>
                      <w:richText/>
                    </w:sdtPr>
                    <w:sdtContent>
                      <w:r>
                        <w:rPr>
                          <w:szCs w:val="24"/>
                          <w:lang w:eastAsia="lt-LT"/>
                        </w:rPr>
                        <w:t>10</w:t>
                      </w:r>
                      <w:r>
                        <w:rPr>
                          <w:szCs w:val="24"/>
                          <w:vertAlign w:val="superscript"/>
                          <w:lang w:eastAsia="lt-LT"/>
                        </w:rPr>
                        <w:t>2</w:t>
                      </w:r>
                    </w:sdtContent>
                  </w:sdt>
                  <w:r>
                    <w:rPr>
                      <w:szCs w:val="24"/>
                      <w:lang w:eastAsia="lt-LT"/>
                    </w:rPr>
                    <w:t>.</w:t>
                  </w:r>
                  <w:r>
                    <w:rPr>
                      <w:szCs w:val="24"/>
                      <w:vertAlign w:val="superscript"/>
                      <w:lang w:eastAsia="lt-LT"/>
                    </w:rPr>
                    <w:t xml:space="preserve"> </w:t>
                  </w:r>
                  <w:r>
                    <w:rPr>
                      <w:szCs w:val="24"/>
                      <w:lang w:eastAsia="lt-LT"/>
                    </w:rPr>
                    <w:t>Įrenginiams, kuriems taikomi 2 priedo 3.1.1, 3.3 papunkčiai, leidime turi būti įrašomos sąlygos užtikrinančios, kad iš įrenginių į orą išmetamų teršalų kiekis neviršytų 5 priede nustatytų išmetamųjų teršalų ribinių verčių</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64d6064b811e4b6b89037654e22b1">
                    <w:r w:rsidRPr="00532B9F">
                      <w:rPr>
                        <w:rFonts w:ascii="Times New Roman" w:eastAsia="MS Mincho" w:hAnsi="Times New Roman"/>
                        <w:sz w:val="20"/>
                        <w:i/>
                        <w:iCs/>
                        <w:color w:val="0000FF" w:themeColor="hyperlink"/>
                        <w:u w:val="single"/>
                      </w:rPr>
                      <w:t>D1-853</w:t>
                    </w:r>
                  </w:fldSimple>
                  <w:r>
                    <w:rPr>
                      <w:rFonts w:ascii="Times New Roman" w:eastAsia="MS Mincho" w:hAnsi="Times New Roman"/>
                      <w:sz w:val="20"/>
                      <w:i/>
                      <w:iCs/>
                    </w:rPr>
                    <w:t>,
2014-10-24,
paskelbta TAR 2014-11-05, i. k. 2014-15815        </w:t>
                  </w:r>
                </w:p>
                <w:p/>
              </w:sdtContent>
            </w:sdt>
            <w:sdt>
              <w:sdtPr>
                <w:alias w:val="11 p."/>
                <w:tag w:val="part_a01e0fc02be24e368c2fbf6524a121fd"/>
                <w:lock w:val="sdtLocked"/>
                <w:richText/>
              </w:sdtPr>
              <w:sdtContent>
                <w:p>
                  <w:pPr>
                    <w:widowControl w:val="0"/>
                    <w:ind w:firstLine="709"/>
                    <w:jc w:val="both"/>
                    <w:rPr>
                      <w:color w:val="000000"/>
                      <w:szCs w:val="24"/>
                      <w:lang w:eastAsia="lt-LT"/>
                    </w:rPr>
                  </w:pPr>
                  <w:sdt>
                    <w:sdtPr>
                      <w:alias w:val="Numeris"/>
                      <w:tag w:val="nr_a01e0fc02be24e368c2fbf6524a121fd"/>
                      <w:lock w:val="sdtLocked"/>
                      <w:richText/>
                    </w:sdtPr>
                    <w:sdtContent>
                      <w:r>
                        <w:rPr>
                          <w:color w:val="000000"/>
                          <w:szCs w:val="24"/>
                          <w:lang w:eastAsia="lt-LT"/>
                        </w:rPr>
                        <w:t>11</w:t>
                      </w:r>
                    </w:sdtContent>
                  </w:sdt>
                  <w:r>
                    <w:rPr>
                      <w:color w:val="000000"/>
                      <w:szCs w:val="24"/>
                      <w:lang w:eastAsia="lt-LT"/>
                    </w:rPr>
                    <w:t>. Išduotame leidime pavojingąsias atliekas deginantiems deginimo ir bendro deginimo įrenginiams, be 10 punkte nustatytų reikalavimų, turi būti nurodyta:</w:t>
                  </w:r>
                </w:p>
                <w:sdt>
                  <w:sdtPr>
                    <w:alias w:val="11.1 p."/>
                    <w:tag w:val="part_d3549f96cb3f4e74b2392c9393634fda"/>
                    <w:lock w:val="sdtLocked"/>
                    <w:richText/>
                  </w:sdtPr>
                  <w:sdtContent>
                    <w:p>
                      <w:pPr>
                        <w:widowControl w:val="0"/>
                        <w:ind w:firstLine="709"/>
                        <w:jc w:val="both"/>
                        <w:rPr>
                          <w:color w:val="000000"/>
                          <w:szCs w:val="24"/>
                          <w:lang w:eastAsia="lt-LT"/>
                        </w:rPr>
                      </w:pPr>
                      <w:sdt>
                        <w:sdtPr>
                          <w:alias w:val="Numeris"/>
                          <w:tag w:val="nr_d3549f96cb3f4e74b2392c9393634fda"/>
                          <w:lock w:val="sdtLocked"/>
                          <w:richText/>
                        </w:sdtPr>
                        <w:sdtContent>
                          <w:r>
                            <w:rPr>
                              <w:color w:val="000000"/>
                              <w:szCs w:val="24"/>
                              <w:lang w:eastAsia="lt-LT"/>
                            </w:rPr>
                            <w:t>11.1</w:t>
                          </w:r>
                        </w:sdtContent>
                      </w:sdt>
                      <w:r>
                        <w:rPr>
                          <w:color w:val="000000"/>
                          <w:szCs w:val="24"/>
                          <w:lang w:eastAsia="lt-LT"/>
                        </w:rPr>
                        <w:t>. skirtingų pavojingųjų atliekų, kurios gali būti deginamos, kiekiai;</w:t>
                      </w:r>
                    </w:p>
                  </w:sdtContent>
                </w:sdt>
                <w:sdt>
                  <w:sdtPr>
                    <w:alias w:val="11.2 p."/>
                    <w:tag w:val="part_f47a666f7a5047c0a38aad13dde8979e"/>
                    <w:lock w:val="sdtLocked"/>
                    <w:richText/>
                  </w:sdtPr>
                  <w:sdtContent>
                    <w:p>
                      <w:pPr>
                        <w:widowControl w:val="0"/>
                        <w:ind w:firstLine="709"/>
                        <w:jc w:val="both"/>
                      </w:pPr>
                      <w:sdt>
                        <w:sdtPr>
                          <w:alias w:val="Numeris"/>
                          <w:tag w:val="nr_f47a666f7a5047c0a38aad13dde8979e"/>
                          <w:lock w:val="sdtLocked"/>
                          <w:richText/>
                        </w:sdtPr>
                        <w:sdtContent>
                          <w:r>
                            <w:rPr>
                              <w:color w:val="000000"/>
                              <w:szCs w:val="24"/>
                              <w:lang w:eastAsia="lt-LT"/>
                            </w:rPr>
                            <w:t>11.2</w:t>
                          </w:r>
                        </w:sdtContent>
                      </w:sdt>
                      <w:r>
                        <w:rPr>
                          <w:color w:val="000000"/>
                          <w:szCs w:val="24"/>
                          <w:lang w:eastAsia="lt-LT"/>
                        </w:rPr>
                        <w:t>. didžiausi ir mažiausi leidžiami deginti pavojingųjų atliekų srautai, išreikšti masės vienetais, jų didžiausia ir mažiausia šiluminė vertė ir didžiausias leidžiamas šių atliekų užterštumas PCB, PCP, chloru, fluoru, siera, sunkiaisiais metalais ir kitais teršalais.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12 p."/>
                <w:tag w:val="part_4ea37dfdd88443f6b1c06d7b05db9cfa"/>
                <w:lock w:val="sdtLocked"/>
                <w:richText/>
              </w:sdtPr>
              <w:sdtContent>
                <w:p>
                  <w:pPr>
                    <w:widowControl w:val="0"/>
                    <w:ind w:firstLine="709"/>
                    <w:jc w:val="both"/>
                  </w:pPr>
                  <w:sdt>
                    <w:sdtPr>
                      <w:alias w:val="Numeris"/>
                      <w:tag w:val="nr_4ea37dfdd88443f6b1c06d7b05db9cfa"/>
                      <w:lock w:val="sdtLocked"/>
                      <w:richText/>
                    </w:sdtPr>
                    <w:sdtContent>
                      <w:r>
                        <w:rPr>
                          <w:color w:val="000000"/>
                          <w:szCs w:val="24"/>
                          <w:lang w:eastAsia="lt-LT"/>
                        </w:rPr>
                        <w:t>12</w:t>
                      </w:r>
                    </w:sdtContent>
                  </w:sdt>
                  <w:r>
                    <w:rPr>
                      <w:color w:val="000000"/>
                      <w:szCs w:val="24"/>
                      <w:lang w:eastAsia="lt-LT"/>
                    </w:rPr>
                    <w:t>. Jei deginimo ar bendro deginimo įrenginio, deginančio nepavojingąsias atliekas, operatorius planuoja keisti veiklą ir pradėti deginti arba kartu deginti pavojingąsias</w:t>
                  </w:r>
                  <w:r>
                    <w:rPr>
                      <w:b/>
                      <w:bCs/>
                      <w:color w:val="000000"/>
                      <w:szCs w:val="24"/>
                      <w:lang w:eastAsia="lt-LT"/>
                    </w:rPr>
                    <w:t xml:space="preserve"> </w:t>
                  </w:r>
                  <w:r>
                    <w:rPr>
                      <w:color w:val="000000"/>
                      <w:szCs w:val="24"/>
                      <w:lang w:eastAsia="lt-LT"/>
                    </w:rPr>
                    <w:t>atliekas, toks veiklos pakeitimas traktuojamas kaip esminis ūkinės veiklos pakeitimas. Šiuo atveju deginimo ar bendro deginimo įrenginio leidimas turi būti keičiamas.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12-1 p."/>
                <w:tag w:val="part_e8d3d836d1434ed8b2dee9387a534b5e"/>
                <w:lock w:val="sdtLocked"/>
                <w:richText/>
              </w:sdtPr>
              <w:sdtContent>
                <w:p>
                  <w:pPr>
                    <w:ind w:firstLine="709"/>
                    <w:jc w:val="both"/>
                  </w:pPr>
                  <w:sdt>
                    <w:sdtPr>
                      <w:alias w:val="Numeris"/>
                      <w:tag w:val="nr_e8d3d836d1434ed8b2dee9387a534b5e"/>
                      <w:lock w:val="sdtLocked"/>
                      <w:richText/>
                    </w:sdtPr>
                    <w:sdtContent>
                      <w:r>
                        <w:rPr>
                          <w:color w:val="000000"/>
                          <w:szCs w:val="24"/>
                          <w:lang w:eastAsia="lt-LT"/>
                        </w:rPr>
                        <w:t>12</w:t>
                      </w:r>
                      <w:r>
                        <w:rPr>
                          <w:color w:val="000000"/>
                          <w:szCs w:val="24"/>
                          <w:vertAlign w:val="superscript"/>
                          <w:lang w:eastAsia="lt-LT"/>
                        </w:rPr>
                        <w:t>1</w:t>
                      </w:r>
                    </w:sdtContent>
                  </w:sdt>
                  <w:r>
                    <w:rPr>
                      <w:color w:val="000000"/>
                      <w:szCs w:val="24"/>
                      <w:lang w:eastAsia="lt-LT"/>
                    </w:rPr>
                    <w:t>. Aplinkos apsaugos agentūra ne rečiau kaip kas 12 mėnesių, peržiūri atliekų deginimo arba bendro atliekų deginimo įrenginių leidimo sąlygas ir patikrina, ar veiklos vykdytojo vykdoma veikla atitinka šias sąlygas, kitų teisės aktų reikalavimus ir nustačiusi, kad yra pagrindas pakeisti leidimą, informuoja veiklos vykdytoją apie pareigą pakeisti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3aa00790411e8ae2bfd1913d66d57">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2018-06-18,
paskelbta TAR 2018-06-26, i. k. 2018-10483            </w:t>
                  </w:r>
                </w:p>
                <w:p/>
              </w:sdtContent>
            </w:sdt>
            <w:sdt>
              <w:sdtPr>
                <w:alias w:val="12-2 p."/>
                <w:tag w:val="part_f903e5e6f13c471881cdaab7bd1a1e81"/>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2026-01-15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
              <w:sdtPr>
                <w:alias w:val="12-3 p."/>
                <w:tag w:val="part_7c50590585934fa4acd9834a65c8a701"/>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2026-01-15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09630290f11e9b66f85227a03f7a3">
                    <w:r w:rsidRPr="00532B9F">
                      <w:rPr>
                        <w:rFonts w:ascii="Times New Roman" w:eastAsia="MS Mincho" w:hAnsi="Times New Roman"/>
                        <w:sz w:val="20"/>
                        <w:i/>
                        <w:iCs/>
                        <w:color w:val="0000FF" w:themeColor="hyperlink"/>
                        <w:u w:val="single"/>
                      </w:rPr>
                      <w:t>D1-66</w:t>
                    </w:r>
                  </w:fldSimple>
                  <w:r>
                    <w:rPr>
                      <w:rFonts w:ascii="Times New Roman" w:eastAsia="MS Mincho" w:hAnsi="Times New Roman"/>
                      <w:sz w:val="20"/>
                      <w:i/>
                      <w:iCs/>
                    </w:rPr>
                    <w:t>,
2019-02-04,
paskelbta TAR 2019-02-05, i. k. 2019-01719            </w:t>
                  </w:r>
                </w:p>
                <w:p/>
              </w:sdtContent>
            </w:sdt>
            <w:sdt>
              <w:sdtPr>
                <w:alias w:val="12-4 p."/>
                <w:tag w:val="part_8872fb5cbb0e4192bcd4d54d5481a30e"/>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4</w:t>
                  </w:r>
                  <w:r>
                    <w:rPr>
                      <w:rFonts w:ascii="Times New Roman" w:hAnsi="Times New Roman"/>
                      <w:sz w:val="22"/>
                    </w:rPr>
                    <w:t>.</w:t>
                  </w:r>
                  <w:r>
                    <w:rPr>
                      <w:rFonts w:ascii="Times New Roman" w:eastAsia="MS Mincho" w:hAnsi="Times New Roman"/>
                      <w:sz w:val="20"/>
                      <w:i/>
                      <w:iCs/>
                    </w:rPr>
                    <w:t xml:space="preserve"> Neteko galios nuo 2026-01-15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09630290f11e9b66f85227a03f7a3">
                    <w:r w:rsidRPr="00532B9F">
                      <w:rPr>
                        <w:rFonts w:ascii="Times New Roman" w:eastAsia="MS Mincho" w:hAnsi="Times New Roman"/>
                        <w:sz w:val="20"/>
                        <w:i/>
                        <w:iCs/>
                        <w:color w:val="0000FF" w:themeColor="hyperlink"/>
                        <w:u w:val="single"/>
                      </w:rPr>
                      <w:t>D1-66</w:t>
                    </w:r>
                  </w:fldSimple>
                  <w:r>
                    <w:rPr>
                      <w:rFonts w:ascii="Times New Roman" w:eastAsia="MS Mincho" w:hAnsi="Times New Roman"/>
                      <w:sz w:val="20"/>
                      <w:i/>
                      <w:iCs/>
                    </w:rPr>
                    <w:t>,
2019-02-04,
paskelbta TAR 2019-02-05, i. k. 2019-01719            </w:t>
                  </w:r>
                </w:p>
                <w:p/>
              </w:sdtContent>
            </w:sdt>
            <w:sdt>
              <w:sdtPr>
                <w:alias w:val="12-5 p."/>
                <w:tag w:val="part_6b2aa39019cc4191859717581051a27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5</w:t>
                  </w:r>
                  <w:r>
                    <w:rPr>
                      <w:rFonts w:ascii="Times New Roman" w:hAnsi="Times New Roman"/>
                      <w:sz w:val="22"/>
                    </w:rPr>
                    <w:t>.</w:t>
                  </w:r>
                  <w:r>
                    <w:rPr>
                      <w:rFonts w:ascii="Times New Roman" w:eastAsia="MS Mincho" w:hAnsi="Times New Roman"/>
                      <w:sz w:val="20"/>
                      <w:i/>
                      <w:iCs/>
                    </w:rPr>
                    <w:t xml:space="preserve"> Neteko galios nuo 2026-01-15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09630290f11e9b66f85227a03f7a3">
                    <w:r w:rsidRPr="00532B9F">
                      <w:rPr>
                        <w:rFonts w:ascii="Times New Roman" w:eastAsia="MS Mincho" w:hAnsi="Times New Roman"/>
                        <w:sz w:val="20"/>
                        <w:i/>
                        <w:iCs/>
                        <w:color w:val="0000FF" w:themeColor="hyperlink"/>
                        <w:u w:val="single"/>
                      </w:rPr>
                      <w:t>D1-66</w:t>
                    </w:r>
                  </w:fldSimple>
                  <w:r>
                    <w:rPr>
                      <w:rFonts w:ascii="Times New Roman" w:eastAsia="MS Mincho" w:hAnsi="Times New Roman"/>
                      <w:sz w:val="20"/>
                      <w:i/>
                      <w:iCs/>
                    </w:rPr>
                    <w:t>,
2019-02-04,
paskelbta TAR 2019-02-05, i. k. 2019-01719            </w:t>
                  </w:r>
                </w:p>
                <w:p/>
              </w:sdtContent>
            </w:sdt>
            <w:sdt>
              <w:sdtPr>
                <w:alias w:val="12-6 p."/>
                <w:tag w:val="part_1fd123c29f5e4010beadc8b66e8dc4e6"/>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6</w:t>
                  </w:r>
                  <w:r>
                    <w:rPr>
                      <w:rFonts w:ascii="Times New Roman" w:hAnsi="Times New Roman"/>
                      <w:sz w:val="22"/>
                    </w:rPr>
                    <w:t>.</w:t>
                  </w:r>
                  <w:r>
                    <w:rPr>
                      <w:rFonts w:ascii="Times New Roman" w:eastAsia="MS Mincho" w:hAnsi="Times New Roman"/>
                      <w:sz w:val="20"/>
                      <w:i/>
                      <w:iCs/>
                    </w:rPr>
                    <w:t xml:space="preserve"> Neteko galios nuo 2026-01-15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sdtContent>
            </w:sdt>
            <w:sdt>
              <w:sdtPr>
                <w:alias w:val="12-7 p."/>
                <w:tag w:val="part_cd56c23818684d8f871a28b9d57f2261"/>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7</w:t>
                  </w:r>
                  <w:r>
                    <w:rPr>
                      <w:rFonts w:ascii="Times New Roman" w:hAnsi="Times New Roman"/>
                      <w:sz w:val="22"/>
                    </w:rPr>
                    <w:t>.</w:t>
                  </w:r>
                  <w:r>
                    <w:rPr>
                      <w:rFonts w:ascii="Times New Roman" w:eastAsia="MS Mincho" w:hAnsi="Times New Roman"/>
                      <w:sz w:val="20"/>
                      <w:i/>
                      <w:iCs/>
                    </w:rPr>
                    <w:t xml:space="preserve"> Neteko galios nuo 2026-01-15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09630290f11e9b66f85227a03f7a3">
                    <w:r w:rsidRPr="00532B9F">
                      <w:rPr>
                        <w:rFonts w:ascii="Times New Roman" w:eastAsia="MS Mincho" w:hAnsi="Times New Roman"/>
                        <w:sz w:val="20"/>
                        <w:i/>
                        <w:iCs/>
                        <w:color w:val="0000FF" w:themeColor="hyperlink"/>
                        <w:u w:val="single"/>
                      </w:rPr>
                      <w:t>D1-66</w:t>
                    </w:r>
                  </w:fldSimple>
                  <w:r>
                    <w:rPr>
                      <w:rFonts w:ascii="Times New Roman" w:eastAsia="MS Mincho" w:hAnsi="Times New Roman"/>
                      <w:sz w:val="20"/>
                      <w:i/>
                      <w:iCs/>
                    </w:rPr>
                    <w:t>,
2019-02-04,
paskelbta TAR 2019-02-05, i. k. 2019-01719            </w:t>
                  </w:r>
                </w:p>
                <w:p/>
              </w:sdtContent>
            </w:sdt>
            <w:sdt>
              <w:sdtPr>
                <w:alias w:val="12-8 p."/>
                <w:tag w:val="part_23725924a1ff44fa8f529b799d1b8b40"/>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8</w:t>
                  </w:r>
                  <w:r>
                    <w:rPr>
                      <w:rFonts w:ascii="Times New Roman" w:hAnsi="Times New Roman"/>
                      <w:sz w:val="22"/>
                    </w:rPr>
                    <w:t>.</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
              <w:sdtPr>
                <w:alias w:val="12-9 p."/>
                <w:tag w:val="part_b2835c79bffb4e49b6af9c4d4f865e63"/>
                <w:lock w:val="sdtLocked"/>
                <w:richText/>
              </w:sdtPr>
              <w:sdtContent>
                <w:p>
                  <w:pPr>
                    <w:widowControl w:val="0"/>
                    <w:suppressAutoHyphens/>
                    <w:ind w:firstLine="709"/>
                    <w:jc w:val="both"/>
                  </w:pPr>
                  <w:sdt>
                    <w:sdtPr>
                      <w:alias w:val="Numeris"/>
                      <w:tag w:val="nr_b2835c79bffb4e49b6af9c4d4f865e63"/>
                      <w:lock w:val="sdtLocked"/>
                      <w:richText/>
                    </w:sdtPr>
                    <w:sdtContent>
                      <w:r>
                        <w:rPr>
                          <w:color w:val="000000"/>
                        </w:rPr>
                        <w:t>12</w:t>
                      </w:r>
                      <w:r>
                        <w:rPr>
                          <w:color w:val="000000"/>
                          <w:vertAlign w:val="superscript"/>
                        </w:rPr>
                        <w:t>9</w:t>
                      </w:r>
                    </w:sdtContent>
                  </w:sdt>
                  <w:r>
                    <w:rPr>
                      <w:color w:val="000000"/>
                    </w:rPr>
                    <w:t>. Veiklos vykdytojas padaro prieinamus visuomenei jo vykdomo aplinkos monitoringo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sdtContent>
            </w:sdt>
            <w:sdt>
              <w:sdtPr>
                <w:alias w:val="12-10 p."/>
                <w:tag w:val="part_1b3dcfe826de4a23a8bfd4afd81a7f05"/>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10</w:t>
                  </w:r>
                  <w:r>
                    <w:rPr>
                      <w:rFonts w:ascii="Times New Roman" w:hAnsi="Times New Roman"/>
                      <w:sz w:val="22"/>
                    </w:rPr>
                    <w:t>.</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sdtContent>
            </w:sdt>
            <w:sdt>
              <w:sdtPr>
                <w:alias w:val="12-11 p."/>
                <w:tag w:val="part_b370c03237ad4bbcb9ff336a9be08ad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370c03237ad4bbcb9ff336a9be08ad2"/>
                      <w:lock w:val="sdtLocked"/>
                      <w:richText/>
                    </w:sdtPr>
                    <w:sdtContent>
                      <w:r>
                        <w:rPr>
                          <w:szCs w:val="24"/>
                          <w:lang w:eastAsia="lt-LT"/>
                        </w:rPr>
                        <w:t>12</w:t>
                      </w:r>
                      <w:r>
                        <w:rPr>
                          <w:szCs w:val="24"/>
                          <w:vertAlign w:val="superscript"/>
                          <w:lang w:eastAsia="lt-LT"/>
                        </w:rPr>
                        <w:t>11</w:t>
                      </w:r>
                    </w:sdtContent>
                  </w:sdt>
                  <w:r>
                    <w:rPr>
                      <w:szCs w:val="24"/>
                      <w:lang w:eastAsia="lt-LT"/>
                    </w:rPr>
                    <w:t>. Aplinkos apsaugos agentūra savo interneto svetainėje skelbia sąrašą deginimo ar bendro deginimo įrenginių, kurių nominalus pajėgumas mažesnis kaip dvi tonos per valandą.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
              <w:sdtPr>
                <w:alias w:val="12-12 p."/>
                <w:tag w:val="part_13fd95458f53426c89cd38ea66d031c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12</w:t>
                  </w:r>
                  <w:r>
                    <w:rPr>
                      <w:rFonts w:ascii="Times New Roman" w:hAnsi="Times New Roman"/>
                      <w:sz w:val="22"/>
                    </w:rPr>
                    <w:t>.</w:t>
                  </w:r>
                  <w:r>
                    <w:rPr>
                      <w:rFonts w:ascii="Times New Roman" w:eastAsia="MS Mincho" w:hAnsi="Times New Roman"/>
                      <w:sz w:val="20"/>
                      <w:i/>
                      <w:iCs/>
                    </w:rPr>
                    <w:t xml:space="preserve"> Neteko galios nuo 2026-01-15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09630290f11e9b66f85227a03f7a3">
                    <w:r w:rsidRPr="00532B9F">
                      <w:rPr>
                        <w:rFonts w:ascii="Times New Roman" w:eastAsia="MS Mincho" w:hAnsi="Times New Roman"/>
                        <w:sz w:val="20"/>
                        <w:i/>
                        <w:iCs/>
                        <w:color w:val="0000FF" w:themeColor="hyperlink"/>
                        <w:u w:val="single"/>
                      </w:rPr>
                      <w:t>D1-66</w:t>
                    </w:r>
                  </w:fldSimple>
                  <w:r>
                    <w:rPr>
                      <w:rFonts w:ascii="Times New Roman" w:eastAsia="MS Mincho" w:hAnsi="Times New Roman"/>
                      <w:sz w:val="20"/>
                      <w:i/>
                      <w:iCs/>
                    </w:rPr>
                    <w:t>,
2019-02-04,
paskelbta TAR 2019-02-05, i. k. 2019-01719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Content>
        </w:sdt>
        <w:sdt>
          <w:sdtPr>
            <w:alias w:val="skyrius"/>
            <w:tag w:val="part_bf770f9780ba4db4916bec16f928c1fe"/>
            <w:lock w:val="sdtLocked"/>
            <w:richText/>
          </w:sdtPr>
          <w:sdtContent>
            <w:p>
              <w:pPr>
                <w:jc w:val="center"/>
                <w:rPr>
                  <w:b/>
                </w:rPr>
              </w:pPr>
              <w:sdt>
                <w:sdtPr>
                  <w:alias w:val="Numeris"/>
                  <w:tag w:val="nr_bf770f9780ba4db4916bec16f928c1fe"/>
                  <w:lock w:val="sdtLocked"/>
                  <w:richText/>
                </w:sdtPr>
                <w:sdtContent>
                  <w:r>
                    <w:rPr>
                      <w:b/>
                    </w:rPr>
                    <w:t>III</w:t>
                  </w:r>
                </w:sdtContent>
              </w:sdt>
              <w:r>
                <w:rPr>
                  <w:b/>
                </w:rPr>
                <w:t xml:space="preserve"> SKYRIUS</w:t>
              </w:r>
            </w:p>
            <w:p>
              <w:pPr>
                <w:jc w:val="center"/>
                <w:rPr>
                  <w:b/>
                </w:rPr>
              </w:pPr>
              <w:sdt>
                <w:sdtPr>
                  <w:alias w:val="Pavadinimas"/>
                  <w:tag w:val="title_bf770f9780ba4db4916bec16f928c1fe"/>
                  <w:lock w:val="sdtLocked"/>
                  <w:richText/>
                </w:sdtPr>
                <w:sdtContent>
                  <w:r>
                    <w:rPr>
                      <w:b/>
                    </w:rPr>
                    <w:t xml:space="preserve">ATLIEKŲ PRISTATYMAS IR PRIĖMIMAS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sdt>
              <w:sdtPr>
                <w:alias w:val="13 p."/>
                <w:tag w:val="part_f271dd4dbe24483080c58ab7be7858d7"/>
                <w:lock w:val="sdtLocked"/>
                <w:richText/>
              </w:sdtPr>
              <w:sdtContent>
                <w:p>
                  <w:pPr>
                    <w:ind w:firstLine="709"/>
                    <w:jc w:val="both"/>
                  </w:pPr>
                  <w:sdt>
                    <w:sdtPr>
                      <w:alias w:val="Numeris"/>
                      <w:tag w:val="nr_f271dd4dbe24483080c58ab7be7858d7"/>
                      <w:lock w:val="sdtLocked"/>
                      <w:richText/>
                    </w:sdtPr>
                    <w:sdtContent>
                      <w:r>
                        <w:t>13</w:t>
                      </w:r>
                    </w:sdtContent>
                  </w:sdt>
                  <w:r>
                    <w:t>. Deginimo arba bendro deginimo įrenginio operatorius privalo imtis visų būtinų atsargos priemonių, susijusių su atliekų pristatymu bei priėmimu, kad kiek įmanoma išvengtų arba apribotų neigiamą poveikį aplinkai, visų pirma oro, dirvožemio, paviršinio bei požeminio vandens taršą, taip pat triukšmą, kvapus ir tiesioginį pavojų žmonių sveikatai.</w:t>
                  </w:r>
                </w:p>
              </w:sdtContent>
            </w:sdt>
            <w:sdt>
              <w:sdtPr>
                <w:alias w:val="14 p."/>
                <w:tag w:val="part_4d6ee27d05bc4000bc01c0fb74e397a3"/>
                <w:lock w:val="sdtLocked"/>
                <w:richText/>
              </w:sdtPr>
              <w:sdtContent>
                <w:p>
                  <w:pPr>
                    <w:ind w:firstLine="709"/>
                    <w:jc w:val="both"/>
                  </w:pPr>
                  <w:sdt>
                    <w:sdtPr>
                      <w:alias w:val="Numeris"/>
                      <w:tag w:val="nr_4d6ee27d05bc4000bc01c0fb74e397a3"/>
                      <w:lock w:val="sdtLocked"/>
                      <w:richText/>
                    </w:sdtPr>
                    <w:sdtContent>
                      <w:r>
                        <w:t>14</w:t>
                      </w:r>
                    </w:sdtContent>
                  </w:sdt>
                  <w:r>
                    <w:t>. Atliekų tvarkymo taisyklių nustatyta tvarka deginimo ar bendro deginimo įrenginio atliekų naudojimo ar šalinimo techniniame reglamente turi būti apibrėžtos ir vykdomos bent jau šios procedūros:</w:t>
                  </w:r>
                </w:p>
                <w:sdt>
                  <w:sdtPr>
                    <w:alias w:val="14.1 p."/>
                    <w:tag w:val="part_8077218aa1914c6599e70dd6c011b358"/>
                    <w:lock w:val="sdtLocked"/>
                    <w:richText/>
                  </w:sdtPr>
                  <w:sdtContent>
                    <w:p>
                      <w:pPr>
                        <w:ind w:firstLine="709"/>
                        <w:jc w:val="both"/>
                      </w:pPr>
                      <w:sdt>
                        <w:sdtPr>
                          <w:alias w:val="Numeris"/>
                          <w:tag w:val="nr_8077218aa1914c6599e70dd6c011b358"/>
                          <w:lock w:val="sdtLocked"/>
                          <w:richText/>
                        </w:sdtPr>
                        <w:sdtContent>
                          <w:r>
                            <w:t>14.1</w:t>
                          </w:r>
                        </w:sdtContent>
                      </w:sdt>
                      <w:r>
                        <w:t>. prieš priimdamas atliekas operatorius privalo nustatyti jų svorį. Jeigu tai techniškai įmanoma, svoris turi būti nustatomas atskirai kiekvienos rūšies atliekoms pagal Atliekų tvarkymo taisyklėse pateiktą atliekų sąrašą;</w:t>
                      </w:r>
                    </w:p>
                  </w:sdtContent>
                </w:sdt>
                <w:sdt>
                  <w:sdtPr>
                    <w:alias w:val="14.2 p."/>
                    <w:tag w:val="part_25727c299e924a8d861d28ed0bb94141"/>
                    <w:lock w:val="sdtLocked"/>
                    <w:richText/>
                  </w:sdtPr>
                  <w:sdtContent>
                    <w:p>
                      <w:pPr>
                        <w:ind w:firstLine="709"/>
                        <w:jc w:val="both"/>
                      </w:pPr>
                      <w:sdt>
                        <w:sdtPr>
                          <w:alias w:val="Numeris"/>
                          <w:tag w:val="nr_25727c299e924a8d861d28ed0bb94141"/>
                          <w:lock w:val="sdtLocked"/>
                          <w:richText/>
                        </w:sdtPr>
                        <w:sdtContent>
                          <w:r>
                            <w:t>14.2</w:t>
                          </w:r>
                        </w:sdtContent>
                      </w:sdt>
                      <w:r>
                        <w:t xml:space="preserve">. prieš priimdamas </w:t>
                      </w:r>
                      <w:r>
                        <w:rPr>
                          <w:color w:val="000000"/>
                          <w:szCs w:val="24"/>
                          <w:lang w:eastAsia="lt-LT"/>
                        </w:rPr>
                        <w:t>pavojingąsias</w:t>
                      </w:r>
                      <w:r>
                        <w:t xml:space="preserve"> atliekas, operatorius privalo apie jas surinkti visą įmanomą informaciją, taip pat patvirtinančią, kad priimamos pavojingos atliekos atitinka operatoriui išduoto leidimo reikalavimus, nustatytus šių Reikalavimų 11 punkte. Surenkama informacija turi apimti:</w:t>
                      </w:r>
                    </w:p>
                    <w:sdt>
                      <w:sdtPr>
                        <w:alias w:val="14.2.1 p."/>
                        <w:tag w:val="part_fa859ad6b0a848d096d1dfcd3ac13e87"/>
                        <w:lock w:val="sdtLocked"/>
                        <w:richText/>
                      </w:sdtPr>
                      <w:sdtContent>
                        <w:p>
                          <w:pPr>
                            <w:ind w:firstLine="709"/>
                            <w:jc w:val="both"/>
                          </w:pPr>
                          <w:sdt>
                            <w:sdtPr>
                              <w:alias w:val="Numeris"/>
                              <w:tag w:val="nr_fa859ad6b0a848d096d1dfcd3ac13e87"/>
                              <w:lock w:val="sdtLocked"/>
                              <w:richText/>
                            </w:sdtPr>
                            <w:sdtContent>
                              <w:r>
                                <w:rPr>
                                  <w:color w:val="000000"/>
                                </w:rPr>
                                <w:t>14.2.1</w:t>
                              </w:r>
                            </w:sdtContent>
                          </w:sdt>
                          <w:r>
                            <w:rPr>
                              <w:color w:val="000000"/>
                            </w:rPr>
                            <w:t xml:space="preserve">. duomenis apie procesą, kurio metu susidaro pavojingosios atliekos, pagal Reikalavimų 14.3.1 </w:t>
                          </w:r>
                          <w:r>
                            <w:rPr>
                              <w:bCs/>
                              <w:color w:val="000000"/>
                            </w:rPr>
                            <w:t>papunktyje nurodytus</w:t>
                          </w:r>
                          <w:r>
                            <w:rPr>
                              <w:color w:val="000000"/>
                            </w:rPr>
                            <w:t xml:space="preserve">  </w:t>
                          </w:r>
                          <w:r>
                            <w:rPr>
                              <w:bCs/>
                              <w:color w:val="000000"/>
                            </w:rPr>
                            <w:t>dokumentus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14.2.2 p."/>
                        <w:tag w:val="part_13679dfe46944758824e19d1861ae239"/>
                        <w:lock w:val="sdtLocked"/>
                        <w:richText/>
                      </w:sdtPr>
                      <w:sdtContent>
                        <w:p>
                          <w:pPr>
                            <w:ind w:firstLine="709"/>
                            <w:jc w:val="both"/>
                          </w:pPr>
                          <w:sdt>
                            <w:sdtPr>
                              <w:alias w:val="Numeris"/>
                              <w:tag w:val="nr_13679dfe46944758824e19d1861ae239"/>
                              <w:lock w:val="sdtLocked"/>
                              <w:richText/>
                            </w:sdtPr>
                            <w:sdtContent>
                              <w:r>
                                <w:t>14.2.2</w:t>
                              </w:r>
                            </w:sdtContent>
                          </w:sdt>
                          <w:r>
                            <w:t xml:space="preserve">. </w:t>
                          </w:r>
                          <w:r>
                            <w:rPr>
                              <w:color w:val="000000"/>
                              <w:szCs w:val="24"/>
                              <w:lang w:eastAsia="lt-LT"/>
                            </w:rPr>
                            <w:t>duomenis apie fizines ir, jeigu įmanoma, chemines atliekų savybes bei kitą informaciją, kuri būtina vertinant, ar teikiamos atliekos tinkamos numatytam deginimo procesui</w:t>
                          </w:r>
                          <w:r>
                            <w:t>;</w:t>
                          </w:r>
                        </w:p>
                      </w:sdtContent>
                    </w:sdt>
                    <w:sdt>
                      <w:sdtPr>
                        <w:alias w:val="14.2.3 p."/>
                        <w:tag w:val="part_6e91c9e1e37744ba8116bad07d5cdb14"/>
                        <w:lock w:val="sdtLocked"/>
                        <w:richText/>
                      </w:sdtPr>
                      <w:sdtContent>
                        <w:p>
                          <w:pPr>
                            <w:ind w:firstLine="709"/>
                            <w:jc w:val="both"/>
                          </w:pPr>
                          <w:sdt>
                            <w:sdtPr>
                              <w:alias w:val="Numeris"/>
                              <w:tag w:val="nr_6e91c9e1e37744ba8116bad07d5cdb14"/>
                              <w:lock w:val="sdtLocked"/>
                              <w:richText/>
                            </w:sdtPr>
                            <w:sdtContent>
                              <w:r>
                                <w:t>14.2.3</w:t>
                              </w:r>
                            </w:sdtContent>
                          </w:sdt>
                          <w:r>
                            <w:t>. duomenis apie atliekų pavojingąsias savybes, medžiagas, su kuriomis jos negali būti maišomos, ir atsargumo priemones, kurių būtina imtis tvarkant atliekas;</w:t>
                          </w:r>
                        </w:p>
                      </w:sdtContent>
                    </w:sdt>
                  </w:sdtContent>
                </w:sdt>
                <w:sdt>
                  <w:sdtPr>
                    <w:alias w:val="14.3 p."/>
                    <w:tag w:val="part_02d0d4205be046a69211af2fdd39b8c5"/>
                    <w:lock w:val="sdtLocked"/>
                    <w:richText/>
                  </w:sdtPr>
                  <w:sdtContent>
                    <w:p>
                      <w:pPr>
                        <w:ind w:firstLine="709"/>
                        <w:jc w:val="both"/>
                      </w:pPr>
                      <w:sdt>
                        <w:sdtPr>
                          <w:alias w:val="Numeris"/>
                          <w:tag w:val="nr_02d0d4205be046a69211af2fdd39b8c5"/>
                          <w:lock w:val="sdtLocked"/>
                          <w:richText/>
                        </w:sdtPr>
                        <w:sdtContent>
                          <w:r>
                            <w:t>14.3</w:t>
                          </w:r>
                        </w:sdtContent>
                      </w:sdt>
                      <w:r>
                        <w:t xml:space="preserve">. prieš priimdamas </w:t>
                      </w:r>
                      <w:r>
                        <w:rPr>
                          <w:color w:val="000000"/>
                          <w:szCs w:val="24"/>
                          <w:lang w:eastAsia="lt-LT"/>
                        </w:rPr>
                        <w:t>pavojingąsias</w:t>
                      </w:r>
                      <w:r>
                        <w:t xml:space="preserve"> atliekas, operatorius privalo atlikti šias priėmimo procedūras:</w:t>
                      </w:r>
                    </w:p>
                    <w:sdt>
                      <w:sdtPr>
                        <w:alias w:val="14.3.1 p."/>
                        <w:tag w:val="part_22c150181c7c4125ab06f415835592b5"/>
                        <w:lock w:val="sdtLocked"/>
                        <w:richText/>
                      </w:sdtPr>
                      <w:sdtContent>
                        <w:p>
                          <w:pPr>
                            <w:ind w:firstLine="709"/>
                            <w:jc w:val="both"/>
                          </w:pPr>
                          <w:sdt>
                            <w:sdtPr>
                              <w:alias w:val="Numeris"/>
                              <w:tag w:val="nr_22c150181c7c4125ab06f415835592b5"/>
                              <w:lock w:val="sdtLocked"/>
                              <w:richText/>
                            </w:sdtPr>
                            <w:sdtContent>
                              <w:r>
                                <w:rPr>
                                  <w:color w:val="000000"/>
                                </w:rPr>
                                <w:t>14.3.1</w:t>
                              </w:r>
                            </w:sdtContent>
                          </w:sdt>
                          <w:r>
                            <w:rPr>
                              <w:color w:val="000000"/>
                            </w:rPr>
                            <w:t>. patikrinti atliekų vežimo lydraštį, kaip nustatyta Atliekų tvarkymo taisyklėse, tarptautinio atliekų vežimo atveju – pranešimo ir vežimo kontrolės dokumentus, kaip nustatyta 2006 m. birželio 14 d. Europos Parlamento ir Tarybos reglamente (EB) Nr. 1013/2006 dėl atliekų vežimo su visais pakeitimais, kitus dokumentus, kurių reikalaujama pagal pavojingų krovinių vežimą reglamentuojančius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14.3.2 p."/>
                        <w:tag w:val="part_5fbcfb0c8e9c4fcda14fe932c324f832"/>
                        <w:lock w:val="sdtLocked"/>
                        <w:richText/>
                      </w:sdtPr>
                      <w:sdtContent>
                        <w:p>
                          <w:pPr>
                            <w:ind w:firstLine="709"/>
                            <w:jc w:val="both"/>
                          </w:pPr>
                          <w:sdt>
                            <w:sdtPr>
                              <w:alias w:val="Numeris"/>
                              <w:tag w:val="nr_5fbcfb0c8e9c4fcda14fe932c324f832"/>
                              <w:lock w:val="sdtLocked"/>
                              <w:richText/>
                            </w:sdtPr>
                            <w:sdtContent>
                              <w:r>
                                <w:rPr>
                                  <w:color w:val="000000"/>
                                </w:rPr>
                                <w:t>14.3.2</w:t>
                              </w:r>
                            </w:sdtContent>
                          </w:sdt>
                          <w:r>
                            <w:rPr>
                              <w:color w:val="000000"/>
                            </w:rPr>
                            <w:t xml:space="preserve">. norint patikrinti informacijos, nurodytos Reikalavimų 14.2 </w:t>
                          </w:r>
                          <w:r>
                            <w:rPr>
                              <w:bCs/>
                              <w:color w:val="000000"/>
                            </w:rPr>
                            <w:t>papunktyje</w:t>
                          </w:r>
                          <w:r>
                            <w:rPr>
                              <w:color w:val="000000"/>
                            </w:rPr>
                            <w:t xml:space="preserve">, teisingumą ir sudaryti sąlygas aplinkos apsaugos valstybinę kontrolę vykdantiems pareigūnams identifikuoti </w:t>
                          </w:r>
                          <w:r>
                            <w:rPr>
                              <w:bCs/>
                              <w:color w:val="000000"/>
                            </w:rPr>
                            <w:t xml:space="preserve">deginamas atliekas, </w:t>
                          </w:r>
                          <w:r>
                            <w:rPr>
                              <w:color w:val="000000"/>
                            </w:rPr>
                            <w:t xml:space="preserve">paimti, </w:t>
                          </w:r>
                          <w:r>
                            <w:rPr>
                              <w:bCs/>
                              <w:color w:val="000000"/>
                            </w:rPr>
                            <w:t xml:space="preserve">jeigu įmanoma, </w:t>
                          </w:r>
                          <w:r>
                            <w:rPr>
                              <w:color w:val="000000"/>
                            </w:rPr>
                            <w:t xml:space="preserve">ėminius (nebent tai būtų nepriimtina, pavyzdžiui, jei būtų infekuotos medicininės atliekos) prieš iškraunant atliekas. Šie ėminiai turi būti saugomi ne trumpiau kaip 30 dienų </w:t>
                          </w:r>
                          <w:r>
                            <w:rPr>
                              <w:bCs/>
                              <w:color w:val="000000"/>
                            </w:rPr>
                            <w:t>sudeginus atitinkamas atliekas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15 p."/>
                <w:tag w:val="part_068054411bb24674bba1d1f00c58df1b"/>
                <w:lock w:val="sdtLocked"/>
                <w:richText/>
              </w:sdtPr>
              <w:sdtContent>
                <w:p>
                  <w:pPr>
                    <w:tabs>
                      <w:tab w:val="left" w:pos="0"/>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068054411bb24674bba1d1f00c58df1b"/>
                      <w:lock w:val="sdtLocked"/>
                      <w:richText/>
                    </w:sdtPr>
                    <w:sdtContent>
                      <w:r>
                        <w:rPr>
                          <w:szCs w:val="24"/>
                          <w:lang w:eastAsia="lt-LT"/>
                        </w:rPr>
                        <w:t>15</w:t>
                      </w:r>
                    </w:sdtContent>
                  </w:sdt>
                  <w:r>
                    <w:rPr>
                      <w:szCs w:val="24"/>
                      <w:lang w:eastAsia="lt-LT"/>
                    </w:rPr>
                    <w:t>. Visi ar kai kurie 14 punkto reikalavimai gali būti netaikomi įrenginiams, kuriuos eksploatuoja pramonės įmonės ir kuriuose deginamos ar bendrai deginamos tik tose pačiose įmonėse susidarančios atliekos. Sprendimą dėl 14 punkto reikalavimų netaikymo priima Aplinkos apsaugos agentūra, derindama įmonės atliekų naudojimo ar šalinimo techninį reglamentą ir išduodama leidimą, kuriame turi būti nustatytos sąlygos, užtikrinančios kitų šiame dokumente nustatytų reikalavimų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Content>
        </w:sdt>
        <w:sdt>
          <w:sdtPr>
            <w:alias w:val="skyrius"/>
            <w:tag w:val="part_9814512e48154e6186305681b93d3438"/>
            <w:lock w:val="sdtLocked"/>
            <w:richText/>
          </w:sdtPr>
          <w:sdtContent>
            <w:p>
              <w:pPr>
                <w:jc w:val="center"/>
                <w:rPr>
                  <w:b/>
                </w:rPr>
              </w:pPr>
              <w:sdt>
                <w:sdtPr>
                  <w:alias w:val="Numeris"/>
                  <w:tag w:val="nr_9814512e48154e6186305681b93d3438"/>
                  <w:lock w:val="sdtLocked"/>
                  <w:richText/>
                </w:sdtPr>
                <w:sdtContent>
                  <w:r>
                    <w:rPr>
                      <w:b/>
                    </w:rPr>
                    <w:t>IV</w:t>
                  </w:r>
                </w:sdtContent>
              </w:sdt>
              <w:r>
                <w:rPr>
                  <w:b/>
                </w:rPr>
                <w:t xml:space="preserve"> SKYRIUS</w:t>
              </w:r>
            </w:p>
            <w:p>
              <w:pPr>
                <w:jc w:val="center"/>
                <w:rPr>
                  <w:b/>
                </w:rPr>
              </w:pPr>
              <w:sdt>
                <w:sdtPr>
                  <w:alias w:val="Pavadinimas"/>
                  <w:tag w:val="title_9814512e48154e6186305681b93d3438"/>
                  <w:lock w:val="sdtLocked"/>
                  <w:richText/>
                </w:sdtPr>
                <w:sdtContent>
                  <w:r>
                    <w:rPr>
                      <w:b/>
                    </w:rPr>
                    <w:t xml:space="preserve">DEGINIMO ĮRENGINIŲ IR BENDRO DEGINIMO ĮRENGINIŲ EKSPLOATAVIMO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
              <w:sdtPr>
                <w:alias w:val="16 p."/>
                <w:tag w:val="part_8332e9eb371a4ca7a5f04657cc5a4d89"/>
                <w:lock w:val="sdtLocked"/>
                <w:richText/>
              </w:sdtPr>
              <w:sdtContent>
                <w:p>
                  <w:pPr>
                    <w:widowControl w:val="0"/>
                    <w:ind w:firstLine="709"/>
                    <w:jc w:val="both"/>
                  </w:pPr>
                  <w:sdt>
                    <w:sdtPr>
                      <w:alias w:val="Numeris"/>
                      <w:tag w:val="nr_8332e9eb371a4ca7a5f04657cc5a4d89"/>
                      <w:lock w:val="sdtLocked"/>
                      <w:richText/>
                    </w:sdtPr>
                    <w:sdtContent>
                      <w:r>
                        <w:t>16</w:t>
                      </w:r>
                    </w:sdtContent>
                  </w:sdt>
                  <w:r>
                    <w:t xml:space="preserve">. Deginimo įrenginys privalo būti eksploatuojamas taip, kad būtų pasiektas toks deginimo lygis, kad bendras organinės anglies kiekis pelenuose ir šlake būtų mažesnis kaip 3 </w:t>
                  </w:r>
                  <w:r>
                    <w:rPr>
                      <w:i/>
                      <w:iCs/>
                    </w:rPr>
                    <w:t xml:space="preserve">% </w:t>
                  </w:r>
                  <w:r>
                    <w:t xml:space="preserve">medžiagos sausosios dalies, arba uždegimo metu prarandama mažiau nei 5 </w:t>
                  </w:r>
                  <w:r>
                    <w:rPr>
                      <w:i/>
                      <w:iCs/>
                    </w:rPr>
                    <w:t xml:space="preserve">% </w:t>
                  </w:r>
                  <w:r>
                    <w:t xml:space="preserve">medžiagos sauso svorio. Prireikus taikomi atitinkami išankstinio atliekų apdorojimo būdai.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sdtContent>
            </w:sdt>
            <w:sdt>
              <w:sdtPr>
                <w:alias w:val="17 p."/>
                <w:tag w:val="part_12ad497d86b2495aaca6dd604be6780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12ad497d86b2495aaca6dd604be67803"/>
                      <w:lock w:val="sdtLocked"/>
                      <w:richText/>
                    </w:sdtPr>
                    <w:sdtContent>
                      <w:r>
                        <w:rPr>
                          <w:szCs w:val="24"/>
                          <w:lang w:eastAsia="lt-LT"/>
                        </w:rPr>
                        <w:t>17</w:t>
                      </w:r>
                    </w:sdtContent>
                  </w:sdt>
                  <w:r>
                    <w:rPr>
                      <w:szCs w:val="24"/>
                      <w:lang w:eastAsia="lt-LT"/>
                    </w:rPr>
                    <w:t>. Deginimo įrenginys turi būti projektuojamas, statomas, įrengiamas ir eksploatuojamas taip, kad proceso metu, netgi esant pačioms nepalankiausioms sąlygoms, po paskutiniojo oro įpurškimo išsiskyrusių dujų temperatūra prie degimo kameros vidinės sienelės arba kitame tipiniame taške</w:t>
                  </w:r>
                  <w:r>
                    <w:rPr>
                      <w:rFonts w:eastAsia="Calibri"/>
                      <w:szCs w:val="24"/>
                    </w:rPr>
                    <w:t xml:space="preserve"> suderintame su Aplinkos apsaugos agentūra, kontroliuojamai ir tolygiai mažiausiai dviem sekundėms būtų padidinta iki 850°C. Deginant pavojingas atliekas, kuriose yra daugiau kaip 1 % halogenintų organinių medžiagų, išreikštų chloru, mažiausiai dviem sekundėms temperatūra turi būti padidinta iki 1100°C.</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
              <w:sdtPr>
                <w:alias w:val="18 p."/>
                <w:tag w:val="part_8f6a2d9e0bb140718839a4adc8fa239f"/>
                <w:lock w:val="sdtLocked"/>
                <w:richText/>
              </w:sdtPr>
              <w:sdtContent>
                <w:p>
                  <w:pPr>
                    <w:ind w:firstLine="709"/>
                    <w:jc w:val="both"/>
                  </w:pPr>
                  <w:sdt>
                    <w:sdtPr>
                      <w:alias w:val="Numeris"/>
                      <w:tag w:val="nr_8f6a2d9e0bb140718839a4adc8fa239f"/>
                      <w:lock w:val="sdtLocked"/>
                      <w:richText/>
                    </w:sdtPr>
                    <w:sdtContent>
                      <w:r>
                        <w:t>18</w:t>
                      </w:r>
                    </w:sdtContent>
                  </w:sdt>
                  <w:r>
                    <w:t xml:space="preserve">. Kiekvienoje deginimo įrenginio krosnyje turi būti įtaisytas bent vienas papildomas degiklis. Šis degiklis turi automatiškai įsijungti, kai po paskutinio oro įpurškimo degimo dujų temperatūra nukrinta žemiau 850 </w:t>
                  </w:r>
                  <w:r>
                    <w:rPr>
                      <w:vertAlign w:val="superscript"/>
                    </w:rPr>
                    <w:t>o</w:t>
                  </w:r>
                  <w:r>
                    <w:t xml:space="preserve">C, arba atitinkamu 17 punkte numatytu atveju – žemiau 1100 oC. Šis degiklis turi būti naudojamas pradedant arba užbaigiant deginimo operacijas, kad būtų garantuota, jog visada šių operacijų metu ir tol, kol nesudegusių atliekų yra deginimo kameroje, bus palaikoma 850 </w:t>
                  </w:r>
                  <w:r>
                    <w:rPr>
                      <w:vertAlign w:val="superscript"/>
                    </w:rPr>
                    <w:t>o</w:t>
                  </w:r>
                  <w:r>
                    <w:t xml:space="preserve">C, o atitinkamais atvejais – 1100 </w:t>
                  </w:r>
                  <w:r>
                    <w:rPr>
                      <w:vertAlign w:val="superscript"/>
                    </w:rPr>
                    <w:t>o</w:t>
                  </w:r>
                  <w:r>
                    <w:t>C temperatūra.</w:t>
                  </w:r>
                </w:p>
              </w:sdtContent>
            </w:sdt>
            <w:sdt>
              <w:sdtPr>
                <w:alias w:val="19 p."/>
                <w:tag w:val="part_bf7315a293884fafa447347c72fc084e"/>
                <w:lock w:val="sdtLocked"/>
                <w:richText/>
              </w:sdtPr>
              <w:sdtContent>
                <w:p>
                  <w:pPr>
                    <w:ind w:firstLine="709"/>
                    <w:jc w:val="both"/>
                  </w:pPr>
                  <w:sdt>
                    <w:sdtPr>
                      <w:alias w:val="Numeris"/>
                      <w:tag w:val="nr_bf7315a293884fafa447347c72fc084e"/>
                      <w:lock w:val="sdtLocked"/>
                      <w:richText/>
                    </w:sdtPr>
                    <w:sdtContent>
                      <w:r>
                        <w:t>19</w:t>
                      </w:r>
                    </w:sdtContent>
                  </w:sdt>
                  <w:r>
                    <w:t xml:space="preserve">. Pradedant arba užbaigiant deginimo operacijas arba deginimo dujų temperatūrai nukritus žemiau 850 </w:t>
                  </w:r>
                  <w:r>
                    <w:rPr>
                      <w:vertAlign w:val="superscript"/>
                    </w:rPr>
                    <w:t>o</w:t>
                  </w:r>
                  <w:r>
                    <w:t xml:space="preserve">C, o atitinkamais atvejais – žemiau 1100 </w:t>
                  </w:r>
                  <w:r>
                    <w:rPr>
                      <w:vertAlign w:val="superscript"/>
                    </w:rPr>
                    <w:t>o</w:t>
                  </w:r>
                  <w:r>
                    <w:t>C, papildomam degikliui negali būti naudojamas kuras, kuriam degant gali būti išmetama teršalų daugiau negu deginant gazolį, suskystintas dujas arba gamtines dujas.</w:t>
                  </w:r>
                </w:p>
              </w:sdtContent>
            </w:sdt>
            <w:sdt>
              <w:sdtPr>
                <w:alias w:val="20 p."/>
                <w:tag w:val="part_829c9b803d804b89bbaa6ef3cb514853"/>
                <w:lock w:val="sdtLocked"/>
                <w:richText/>
              </w:sdtPr>
              <w:sdtContent>
                <w:p>
                  <w:pPr>
                    <w:ind w:firstLine="709"/>
                    <w:jc w:val="both"/>
                  </w:pPr>
                  <w:sdt>
                    <w:sdtPr>
                      <w:alias w:val="Numeris"/>
                      <w:tag w:val="nr_829c9b803d804b89bbaa6ef3cb514853"/>
                      <w:lock w:val="sdtLocked"/>
                      <w:richText/>
                    </w:sdtPr>
                    <w:sdtContent>
                      <w:r>
                        <w:t>20</w:t>
                      </w:r>
                    </w:sdtContent>
                  </w:sdt>
                  <w:r>
                    <w:t xml:space="preserve">. Bendro deginimo įrenginys turi būti projektuojamas, statomas, įrengiamas ir eksploatuojamas taip, kad bendro deginimo metu, netgi esant pačioms nepalankiausioms sąlygoms, išsiskyrusių dujų temperatūra kontroliuojamai ir tolygiai mažiausiai dviem sekundėms būtų padidinta iki 850 </w:t>
                  </w:r>
                  <w:r>
                    <w:rPr>
                      <w:vertAlign w:val="superscript"/>
                    </w:rPr>
                    <w:t>o</w:t>
                  </w:r>
                  <w:r>
                    <w:t xml:space="preserve">C. Bendrai deginant </w:t>
                  </w:r>
                  <w:r>
                    <w:rPr>
                      <w:color w:val="000000"/>
                      <w:szCs w:val="24"/>
                      <w:lang w:eastAsia="lt-LT"/>
                    </w:rPr>
                    <w:t>pavojingąsias</w:t>
                  </w:r>
                  <w:r>
                    <w:t xml:space="preserve"> atliekas, kuriose yra daugiau kaip 1 % halogenintų organinių medžiagų, išreikštų chloru, temperatūra turi būti padidinta iki 1100 </w:t>
                  </w:r>
                  <w:r>
                    <w:rPr>
                      <w:vertAlign w:val="superscript"/>
                    </w:rPr>
                    <w:t>o</w:t>
                  </w:r>
                  <w:r>
                    <w:t>C.</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21 p."/>
                <w:tag w:val="part_ee7147a3b84a49b9b14377c11c027ab8"/>
                <w:lock w:val="sdtLocked"/>
                <w:richText/>
              </w:sdtPr>
              <w:sdtContent>
                <w:p>
                  <w:pPr>
                    <w:ind w:firstLine="709"/>
                    <w:jc w:val="both"/>
                  </w:pPr>
                  <w:sdt>
                    <w:sdtPr>
                      <w:alias w:val="Numeris"/>
                      <w:tag w:val="nr_ee7147a3b84a49b9b14377c11c027ab8"/>
                      <w:lock w:val="sdtLocked"/>
                      <w:richText/>
                    </w:sdtPr>
                    <w:sdtContent>
                      <w:r>
                        <w:t>21</w:t>
                      </w:r>
                    </w:sdtContent>
                  </w:sdt>
                  <w:r>
                    <w:t>. Deginimo ir bendro deginimo įrenginyje turi būti eksploatuojamos automatinės sistemos, užtikrinančios, kad atliekų padavimas į degimo kamerą nebus vykdomas tokiais atvejais:</w:t>
                  </w:r>
                </w:p>
                <w:sdt>
                  <w:sdtPr>
                    <w:alias w:val="21.1 p."/>
                    <w:tag w:val="part_22866ee925324689a2929b336a5c4bef"/>
                    <w:lock w:val="sdtLocked"/>
                    <w:richText/>
                  </w:sdtPr>
                  <w:sdtContent>
                    <w:p>
                      <w:pPr>
                        <w:ind w:firstLine="709"/>
                        <w:jc w:val="both"/>
                      </w:pPr>
                      <w:sdt>
                        <w:sdtPr>
                          <w:alias w:val="Numeris"/>
                          <w:tag w:val="nr_22866ee925324689a2929b336a5c4bef"/>
                          <w:lock w:val="sdtLocked"/>
                          <w:richText/>
                        </w:sdtPr>
                        <w:sdtContent>
                          <w:r>
                            <w:t>21.1</w:t>
                          </w:r>
                        </w:sdtContent>
                      </w:sdt>
                      <w:r>
                        <w:t xml:space="preserve">. deginimo pradžioje, kol temperatūra nesiekia 850 </w:t>
                      </w:r>
                      <w:r>
                        <w:rPr>
                          <w:vertAlign w:val="superscript"/>
                        </w:rPr>
                        <w:t>o</w:t>
                      </w:r>
                      <w:r>
                        <w:t xml:space="preserve">C ar atitinkamai 1100 </w:t>
                      </w:r>
                      <w:r>
                        <w:rPr>
                          <w:vertAlign w:val="superscript"/>
                        </w:rPr>
                        <w:t>o</w:t>
                      </w:r>
                      <w:r>
                        <w:t>C, arba temperatūros, kuri nustatoma remiantis šių Reikalavimų 22-24 punktų nuostatomis;</w:t>
                      </w:r>
                    </w:p>
                  </w:sdtContent>
                </w:sdt>
                <w:sdt>
                  <w:sdtPr>
                    <w:alias w:val="21.2 p."/>
                    <w:tag w:val="part_2f144ff6eb5e40de8d78cb0d6888ddbc"/>
                    <w:lock w:val="sdtLocked"/>
                    <w:richText/>
                  </w:sdtPr>
                  <w:sdtContent>
                    <w:p>
                      <w:pPr>
                        <w:ind w:firstLine="709"/>
                        <w:jc w:val="both"/>
                      </w:pPr>
                      <w:sdt>
                        <w:sdtPr>
                          <w:alias w:val="Numeris"/>
                          <w:tag w:val="nr_2f144ff6eb5e40de8d78cb0d6888ddbc"/>
                          <w:lock w:val="sdtLocked"/>
                          <w:richText/>
                        </w:sdtPr>
                        <w:sdtContent>
                          <w:r>
                            <w:t>21.2</w:t>
                          </w:r>
                        </w:sdtContent>
                      </w:sdt>
                      <w:r>
                        <w:t xml:space="preserve">. kai nepalaikoma 850 </w:t>
                      </w:r>
                      <w:r>
                        <w:rPr>
                          <w:vertAlign w:val="superscript"/>
                        </w:rPr>
                        <w:t>o</w:t>
                      </w:r>
                      <w:r>
                        <w:t xml:space="preserve">C ar atitinkamai 1100 </w:t>
                      </w:r>
                      <w:r>
                        <w:rPr>
                          <w:vertAlign w:val="superscript"/>
                        </w:rPr>
                        <w:t>o</w:t>
                      </w:r>
                      <w:r>
                        <w:t>C temperatūra, arba temperatūra, kuri nustatoma remiantis šių Reikalavimų 22-24 punktų nuostatomis;</w:t>
                      </w:r>
                    </w:p>
                  </w:sdtContent>
                </w:sdt>
                <w:sdt>
                  <w:sdtPr>
                    <w:alias w:val="21.3 p."/>
                    <w:tag w:val="part_47dce3e6cb064696bebbc58025cae6d6"/>
                    <w:lock w:val="sdtLocked"/>
                    <w:richText/>
                  </w:sdtPr>
                  <w:sdtContent>
                    <w:p>
                      <w:pPr>
                        <w:ind w:firstLine="709"/>
                        <w:jc w:val="both"/>
                      </w:pPr>
                      <w:sdt>
                        <w:sdtPr>
                          <w:alias w:val="Numeris"/>
                          <w:tag w:val="nr_47dce3e6cb064696bebbc58025cae6d6"/>
                          <w:lock w:val="sdtLocked"/>
                          <w:richText/>
                        </w:sdtPr>
                        <w:sdtContent>
                          <w:r>
                            <w:t>21.3</w:t>
                          </w:r>
                        </w:sdtContent>
                      </w:sdt>
                      <w:r>
                        <w:t>. kai pagal šiuos Reikalavimus privalomi nuolatiniai matavimai rodo, kad dėl valymo įrenginių sutrikimų arba dėl įrangos gedimų viršijama bet kuri išmetamųjų teršalų ribinė vertė.</w:t>
                      </w:r>
                    </w:p>
                  </w:sdtContent>
                </w:sdt>
              </w:sdtContent>
            </w:sdt>
            <w:sdt>
              <w:sdtPr>
                <w:alias w:val="22 p."/>
                <w:tag w:val="part_cd85153387bf4d17a9e3448b4c0659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cd85153387bf4d17a9e3448b4c06598e"/>
                      <w:lock w:val="sdtLocked"/>
                      <w:richText/>
                    </w:sdtPr>
                    <w:sdtContent>
                      <w:r>
                        <w:rPr>
                          <w:rFonts w:eastAsia="Calibri"/>
                          <w:szCs w:val="24"/>
                          <w:lang w:val="en-US"/>
                        </w:rPr>
                        <w:t>22</w:t>
                      </w:r>
                    </w:sdtContent>
                  </w:sdt>
                  <w:r>
                    <w:rPr>
                      <w:rFonts w:eastAsia="Calibri"/>
                      <w:szCs w:val="24"/>
                      <w:lang w:val="en-US"/>
                    </w:rPr>
                    <w:t xml:space="preserve">. </w:t>
                  </w:r>
                  <w:r>
                    <w:rPr>
                      <w:rFonts w:eastAsia="Calibri"/>
                      <w:szCs w:val="24"/>
                    </w:rPr>
                    <w:t>Aplinkos apsaugos agentūra leidimuose deginimo įrenginiams, kuriuose deginamos tam tikros atliekos ar naudojami tam tikri terminiai procesai, gali nustatyti kitokias eksploatacines sąlygas, negu numatyta 16–19 punktuose ir 21.1-21.2 papunkčiuose, tačiau tik tuo atveju, jeigu įrodoma, kad bus laikomasi šiame dokumente nustatytų kitų reikalavimų ir dėl eksploatacinių sąlygų pakeitimo nesusidarys daugiau liekanų arba jose esantys organiniai teršalai neviršys 16 punkte nustatyto kiekio</w:t>
                  </w:r>
                  <w:r>
                    <w:rPr>
                      <w:rFonts w:eastAsia="Calibri"/>
                      <w:szCs w:val="24"/>
                      <w:lang w:val="en-US"/>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
              <w:sdtPr>
                <w:alias w:val="23 p."/>
                <w:tag w:val="part_b04efd4208674d119cb09e21eaeb36e0"/>
                <w:lock w:val="sdtLocked"/>
                <w:richText/>
              </w:sdtPr>
              <w:sdtContent>
                <w:p>
                  <w:pPr>
                    <w:tabs>
                      <w:tab w:val="left" w:pos="0"/>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4efd4208674d119cb09e21eaeb36e0"/>
                      <w:lock w:val="sdtLocked"/>
                      <w:richText/>
                    </w:sdtPr>
                    <w:sdtContent>
                      <w:r>
                        <w:rPr>
                          <w:rFonts w:eastAsia="Calibri"/>
                          <w:szCs w:val="24"/>
                        </w:rPr>
                        <w:t>23</w:t>
                      </w:r>
                    </w:sdtContent>
                  </w:sdt>
                  <w:r>
                    <w:rPr>
                      <w:rFonts w:eastAsia="Calibri"/>
                      <w:szCs w:val="24"/>
                    </w:rPr>
                    <w:t>. Aplinkos apsaugos agentūra bendro deginimo įrenginių, kuriuose deginamos kai kurios atliekos ar vykdomi atitinkami terminiai procesai, leidimuose gali nustatyti kitas eksploatavimo sąlygas, negu numatyta Reikalavimų 20 punkte ir 21.1 ir 21.2 papunkčiuose, tačiau tik jei įrodoma, kad bus laikomasi kitų Reikalavimuose nustatytų reikalavimų ir pakeitus eksploatavimo sąlygas nebus viršijamos bendrosios organinės anglies (toliau – BOA) ir anglies monoksido (toliau – CO) ribinės vertės, nustatytos Reikalavimų 5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24 p."/>
                <w:tag w:val="part_bc4eaff84d4542b39ed4183291398baf"/>
                <w:lock w:val="sdtLocked"/>
                <w:richText/>
              </w:sdtPr>
              <w:sdtContent>
                <w:p>
                  <w:pPr>
                    <w:tabs>
                      <w:tab w:val="left" w:pos="0"/>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c4eaff84d4542b39ed4183291398baf"/>
                      <w:lock w:val="sdtLocked"/>
                      <w:richText/>
                    </w:sdtPr>
                    <w:sdtContent>
                      <w:r>
                        <w:rPr>
                          <w:color w:val="000000"/>
                        </w:rPr>
                        <w:t>24</w:t>
                      </w:r>
                    </w:sdtContent>
                  </w:sdt>
                  <w:r>
                    <w:rPr>
                      <w:color w:val="000000"/>
                    </w:rPr>
                    <w:t xml:space="preserve">. Celiuliozės ir popieriaus gamybos įrenginiams, kuriuose kartu deginamos savo gamybos atliekos jų susidarymo vietoje esančiuose katiluose, </w:t>
                  </w:r>
                  <w:r>
                    <w:rPr>
                      <w:bCs/>
                      <w:color w:val="000000"/>
                    </w:rPr>
                    <w:t xml:space="preserve">Reikalavimų </w:t>
                  </w:r>
                  <w:r>
                    <w:rPr>
                      <w:color w:val="000000"/>
                    </w:rPr>
                    <w:t xml:space="preserve">20 </w:t>
                  </w:r>
                  <w:r>
                    <w:rPr>
                      <w:bCs/>
                      <w:color w:val="000000"/>
                    </w:rPr>
                    <w:t>punkte, taip pat</w:t>
                  </w:r>
                  <w:r>
                    <w:rPr>
                      <w:color w:val="000000"/>
                    </w:rPr>
                    <w:t xml:space="preserve"> 21.1 ir 21.2 </w:t>
                  </w:r>
                  <w:r>
                    <w:rPr>
                      <w:bCs/>
                      <w:color w:val="000000"/>
                    </w:rPr>
                    <w:t>papunkčiuose</w:t>
                  </w:r>
                  <w:r>
                    <w:rPr>
                      <w:color w:val="000000"/>
                    </w:rPr>
                    <w:t xml:space="preserve"> </w:t>
                  </w:r>
                  <w:r>
                    <w:rPr>
                      <w:bCs/>
                      <w:color w:val="000000"/>
                    </w:rPr>
                    <w:t>nenurodytos eksploatavimo sąlygos</w:t>
                  </w:r>
                  <w:r>
                    <w:rPr>
                      <w:color w:val="000000"/>
                    </w:rPr>
                    <w:t xml:space="preserve"> gali būti nustatytos, kai įrodoma, kad nebus viršijamos </w:t>
                  </w:r>
                  <w:r>
                    <w:rPr>
                      <w:bCs/>
                      <w:color w:val="000000"/>
                    </w:rPr>
                    <w:t>BOA</w:t>
                  </w:r>
                  <w:r>
                    <w:rPr>
                      <w:color w:val="000000"/>
                    </w:rPr>
                    <w:t xml:space="preserve"> ribinės vertės, </w:t>
                  </w:r>
                  <w:r>
                    <w:rPr>
                      <w:bCs/>
                      <w:color w:val="000000"/>
                    </w:rPr>
                    <w:t>nustatytos</w:t>
                  </w:r>
                  <w:r>
                    <w:rPr>
                      <w:color w:val="000000"/>
                    </w:rPr>
                    <w:t xml:space="preserve"> </w:t>
                  </w:r>
                  <w:r>
                    <w:rPr>
                      <w:bCs/>
                      <w:color w:val="000000"/>
                    </w:rPr>
                    <w:t xml:space="preserve">Reikalavimų </w:t>
                  </w:r>
                  <w:r>
                    <w:rPr>
                      <w:color w:val="000000"/>
                    </w:rPr>
                    <w:t>5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25 p."/>
                <w:tag w:val="part_8cf420889d1b427fb1bf161a92cda2dc"/>
                <w:lock w:val="sdtLocked"/>
                <w:richText/>
              </w:sdtPr>
              <w:sdtContent>
                <w:p>
                  <w:pPr>
                    <w:ind w:firstLine="709"/>
                    <w:jc w:val="both"/>
                  </w:pPr>
                  <w:sdt>
                    <w:sdtPr>
                      <w:alias w:val="Numeris"/>
                      <w:tag w:val="nr_8cf420889d1b427fb1bf161a92cda2dc"/>
                      <w:lock w:val="sdtLocked"/>
                      <w:richText/>
                    </w:sdtPr>
                    <w:sdtContent>
                      <w:r>
                        <w:t>25</w:t>
                      </w:r>
                    </w:sdtContent>
                  </w:sdt>
                  <w:r>
                    <w:t>. Deginimo ir bendro deginimo įrenginiai turi būti projektuojami, statomi, įrengiami ir eksploatuojami taip, kad išmetamiesiems teršalams patekus į aplinkos orą labai nepadidėtų oro tarša. Išmetamosios dujos turi būti išleidžiamos per kaminus, kurių aukštis apskaičiuojamas atsižvelgiant į žmonių sveikatos ir aplinkos apsaugos reikalavimus, ir atitikti nustatytus aplinkos oro kokybės standartus.</w:t>
                  </w:r>
                </w:p>
              </w:sdtContent>
            </w:sdt>
            <w:sdt>
              <w:sdtPr>
                <w:alias w:val="26 p."/>
                <w:tag w:val="part_6282b3fa7fc643cdb8d914d3a681be90"/>
                <w:lock w:val="sdtLocked"/>
                <w:richText/>
              </w:sdtPr>
              <w:sdtContent>
                <w:p>
                  <w:pPr>
                    <w:ind w:firstLine="709"/>
                    <w:jc w:val="both"/>
                  </w:pPr>
                  <w:sdt>
                    <w:sdtPr>
                      <w:alias w:val="Numeris"/>
                      <w:tag w:val="nr_6282b3fa7fc643cdb8d914d3a681be90"/>
                      <w:lock w:val="sdtLocked"/>
                      <w:richText/>
                    </w:sdtPr>
                    <w:sdtContent>
                      <w:r>
                        <w:t>26</w:t>
                      </w:r>
                    </w:sdtContent>
                  </w:sdt>
                  <w:r>
                    <w:t>. Deginimo ir bendro deginimo metu pagaminta šiluma turi būti panaudojama, jeigu tai įmanoma.</w:t>
                  </w:r>
                </w:p>
              </w:sdtContent>
            </w:sdt>
            <w:sdt>
              <w:sdtPr>
                <w:alias w:val="27 p."/>
                <w:tag w:val="part_c77b451439c448d19afcb244beba1b2e"/>
                <w:lock w:val="sdtLocked"/>
                <w:richText/>
              </w:sdtPr>
              <w:sdtContent>
                <w:p>
                  <w:pPr>
                    <w:ind w:firstLine="709"/>
                    <w:jc w:val="both"/>
                  </w:pPr>
                  <w:sdt>
                    <w:sdtPr>
                      <w:alias w:val="Numeris"/>
                      <w:tag w:val="nr_c77b451439c448d19afcb244beba1b2e"/>
                      <w:lock w:val="sdtLocked"/>
                      <w:richText/>
                    </w:sdtPr>
                    <w:sdtContent>
                      <w:r>
                        <w:t>27</w:t>
                      </w:r>
                    </w:sdtContent>
                  </w:sdt>
                  <w:r>
                    <w:t>. Infekuotos medicininės atliekos turi būti dedamos tiesiai į krosnį, prieš tai jų nemaišant su kitų kategorijų atliekomis ir tiesiogiai jų netvarkant.</w:t>
                  </w:r>
                </w:p>
                <w:p>
                  <w:pPr>
                    <w:ind w:firstLine="709"/>
                    <w:jc w:val="both"/>
                  </w:pPr>
                </w:p>
              </w:sdtContent>
            </w:sdt>
          </w:sdtContent>
        </w:sdt>
        <w:sdt>
          <w:sdtPr>
            <w:alias w:val="skyrius"/>
            <w:tag w:val="part_9725f0d6a8df41f5b939aed84d6aa371"/>
            <w:lock w:val="sdtLocked"/>
            <w:richText/>
          </w:sdtPr>
          <w:sdtContent>
            <w:p>
              <w:pPr>
                <w:jc w:val="center"/>
                <w:rPr>
                  <w:b/>
                </w:rPr>
              </w:pPr>
              <w:sdt>
                <w:sdtPr>
                  <w:alias w:val="Numeris"/>
                  <w:tag w:val="nr_9725f0d6a8df41f5b939aed84d6aa371"/>
                  <w:lock w:val="sdtLocked"/>
                  <w:richText/>
                </w:sdtPr>
                <w:sdtContent>
                  <w:r>
                    <w:rPr>
                      <w:b/>
                    </w:rPr>
                    <w:t>V</w:t>
                  </w:r>
                </w:sdtContent>
              </w:sdt>
              <w:r>
                <w:rPr>
                  <w:b/>
                </w:rPr>
                <w:t xml:space="preserve"> SKYRIUS</w:t>
              </w:r>
            </w:p>
            <w:p>
              <w:pPr>
                <w:jc w:val="center"/>
                <w:rPr>
                  <w:b/>
                </w:rPr>
              </w:pPr>
              <w:sdt>
                <w:sdtPr>
                  <w:alias w:val="Pavadinimas"/>
                  <w:tag w:val="title_9725f0d6a8df41f5b939aed84d6aa371"/>
                  <w:lock w:val="sdtLocked"/>
                  <w:richText/>
                </w:sdtPr>
                <w:sdtContent>
                  <w:r>
                    <w:rPr>
                      <w:b/>
                    </w:rPr>
                    <w:t xml:space="preserve">DEGINIMO ĮRENGINIŲ IR BENDRO DEGINIMO ĮRENGINIŲ Į APLINKOS ORĄ IŠMETAMŲJŲ TERŠALŲ RIBINĖS VERTĖS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
              <w:sdtPr>
                <w:alias w:val="28 p."/>
                <w:tag w:val="part_53cb5386e4434082b6d728bbbee84c69"/>
                <w:lock w:val="sdtLocked"/>
                <w:richText/>
              </w:sdtPr>
              <w:sdtContent>
                <w:p>
                  <w:pPr>
                    <w:widowControl w:val="0"/>
                    <w:ind w:firstLine="709"/>
                    <w:jc w:val="both"/>
                  </w:pPr>
                  <w:sdt>
                    <w:sdtPr>
                      <w:alias w:val="Numeris"/>
                      <w:tag w:val="nr_53cb5386e4434082b6d728bbbee84c69"/>
                      <w:lock w:val="sdtLocked"/>
                      <w:richText/>
                    </w:sdtPr>
                    <w:sdtContent>
                      <w:r>
                        <w:rPr>
                          <w:color w:val="000000"/>
                          <w:szCs w:val="24"/>
                          <w:lang w:eastAsia="lt-LT"/>
                        </w:rPr>
                        <w:t>28</w:t>
                      </w:r>
                    </w:sdtContent>
                  </w:sdt>
                  <w:r>
                    <w:rPr>
                      <w:color w:val="000000"/>
                      <w:szCs w:val="24"/>
                      <w:lang w:eastAsia="lt-LT"/>
                    </w:rPr>
                    <w:t>. Deginimo įrenginys turi būti projektuojamas, statomas, įrengiamas ir eksploatuojamas taip, kad nebūtų viršijamos išmetamųjų teršalų ribinės vertės, nurodytos Reikalavimų 2 ir 5 prieduose arba kurios nustatomos vadovaujantis 2 priedo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29 p."/>
                <w:tag w:val="part_b4363068d6344761b7aca22254225cd9"/>
                <w:lock w:val="sdtLocked"/>
                <w:richText/>
              </w:sdtPr>
              <w:sdtContent>
                <w:p>
                  <w:pPr>
                    <w:widowControl w:val="0"/>
                    <w:ind w:firstLine="709"/>
                    <w:jc w:val="both"/>
                  </w:pPr>
                  <w:sdt>
                    <w:sdtPr>
                      <w:alias w:val="Numeris"/>
                      <w:tag w:val="nr_b4363068d6344761b7aca22254225cd9"/>
                      <w:lock w:val="sdtLocked"/>
                      <w:richText/>
                    </w:sdtPr>
                    <w:sdtContent>
                      <w:r>
                        <w:rPr>
                          <w:color w:val="000000"/>
                          <w:szCs w:val="24"/>
                          <w:lang w:eastAsia="lt-LT"/>
                        </w:rPr>
                        <w:t>29</w:t>
                      </w:r>
                    </w:sdtContent>
                  </w:sdt>
                  <w:r>
                    <w:rPr>
                      <w:color w:val="000000"/>
                      <w:szCs w:val="24"/>
                      <w:lang w:eastAsia="lt-LT"/>
                    </w:rPr>
                    <w:t>. Bendro deginimo įrenginys,</w:t>
                  </w:r>
                  <w:r>
                    <w:rPr>
                      <w:b/>
                      <w:bCs/>
                      <w:color w:val="000000"/>
                      <w:szCs w:val="24"/>
                      <w:lang w:eastAsia="lt-LT"/>
                    </w:rPr>
                    <w:t xml:space="preserve"> </w:t>
                  </w:r>
                  <w:r>
                    <w:rPr>
                      <w:color w:val="000000"/>
                      <w:szCs w:val="24"/>
                      <w:lang w:eastAsia="lt-LT"/>
                    </w:rPr>
                    <w:t>kuriame daugiau kaip 40 % šilumos išsiskiria deginant pavojingąsias atliekas, turi būti projektuojamas, statomas, įrengiamas ir eksploatuojamas taip, kad nebūtų viršijamos išmetamųjų teršalų ribinės vertės, nurodytos Reikalavimų 5</w:t>
                  </w:r>
                  <w:r>
                    <w:rPr>
                      <w:b/>
                      <w:bCs/>
                      <w:color w:val="000000"/>
                      <w:szCs w:val="24"/>
                      <w:lang w:eastAsia="lt-LT"/>
                    </w:rPr>
                    <w:t xml:space="preserve"> </w:t>
                  </w:r>
                  <w:r>
                    <w:rPr>
                      <w:color w:val="000000"/>
                      <w:szCs w:val="24"/>
                      <w:lang w:eastAsia="lt-LT"/>
                    </w:rPr>
                    <w:t>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30 p."/>
                <w:tag w:val="part_a19a7c5db8634fed9436820ea9d1264b"/>
                <w:lock w:val="sdtLocked"/>
                <w:richText/>
              </w:sdtPr>
              <w:sdtContent>
                <w:p>
                  <w:pPr>
                    <w:ind w:firstLine="709"/>
                    <w:jc w:val="both"/>
                  </w:pPr>
                  <w:sdt>
                    <w:sdtPr>
                      <w:alias w:val="Numeris"/>
                      <w:tag w:val="nr_a19a7c5db8634fed9436820ea9d1264b"/>
                      <w:lock w:val="sdtLocked"/>
                      <w:richText/>
                    </w:sdtPr>
                    <w:sdtContent>
                      <w:r>
                        <w:t>30</w:t>
                      </w:r>
                    </w:sdtContent>
                  </w:sdt>
                  <w:r>
                    <w:t>. Atlikti išmetamųjų teršalų kontroliniai matavimai, siekiant nustatyti, ar neviršijamos šių teršalų ribinės vertės, turi atitikti Reikalavimų IX dalyje nurodytas standartines sąlygas.</w:t>
                  </w:r>
                </w:p>
              </w:sdtContent>
            </w:sdt>
            <w:sdt>
              <w:sdtPr>
                <w:alias w:val="31 p."/>
                <w:tag w:val="part_1b34f08c8e6749bfaf378e4606821ba9"/>
                <w:lock w:val="sdtLocked"/>
                <w:richText/>
              </w:sdtPr>
              <w:sdtContent>
                <w:p>
                  <w:pPr>
                    <w:ind w:firstLine="709"/>
                    <w:jc w:val="both"/>
                  </w:pPr>
                  <w:sdt>
                    <w:sdtPr>
                      <w:alias w:val="Numeris"/>
                      <w:tag w:val="nr_1b34f08c8e6749bfaf378e4606821ba9"/>
                      <w:lock w:val="sdtLocked"/>
                      <w:richText/>
                    </w:sdtPr>
                    <w:sdtContent>
                      <w:r>
                        <w:t>31</w:t>
                      </w:r>
                    </w:sdtContent>
                  </w:sdt>
                  <w:r>
                    <w:t>. Deginant neapdorotas ir nerūšiuotas komunalines atliekas bendro deginimo įrenginiuose, išmetamųjų teršalų ribinės vertės nustatomos remiantis šių Reikalavimų 5 priedo nuostatomis, o 2 priedas netaikomas.</w:t>
                  </w:r>
                </w:p>
                <w:p>
                  <w:pPr>
                    <w:ind w:firstLine="709"/>
                    <w:jc w:val="both"/>
                  </w:pPr>
                </w:p>
              </w:sdtContent>
            </w:sdt>
          </w:sdtContent>
        </w:sdt>
        <w:sdt>
          <w:sdtPr>
            <w:alias w:val="skyrius"/>
            <w:tag w:val="part_a6791c0b758d4f45bcc50ff891bcc34b"/>
            <w:lock w:val="sdtLocked"/>
            <w:richText/>
          </w:sdtPr>
          <w:sdtContent>
            <w:p>
              <w:pPr>
                <w:jc w:val="center"/>
                <w:rPr>
                  <w:b/>
                </w:rPr>
              </w:pPr>
              <w:sdt>
                <w:sdtPr>
                  <w:alias w:val="Numeris"/>
                  <w:tag w:val="nr_a6791c0b758d4f45bcc50ff891bcc34b"/>
                  <w:lock w:val="sdtLocked"/>
                  <w:richText/>
                </w:sdtPr>
                <w:sdtContent>
                  <w:r>
                    <w:rPr>
                      <w:b/>
                    </w:rPr>
                    <w:t>VI</w:t>
                  </w:r>
                </w:sdtContent>
              </w:sdt>
              <w:r>
                <w:rPr>
                  <w:b/>
                </w:rPr>
                <w:t xml:space="preserve"> SKYRIUS</w:t>
              </w:r>
            </w:p>
            <w:p>
              <w:pPr>
                <w:jc w:val="center"/>
                <w:rPr>
                  <w:b/>
                </w:rPr>
              </w:pPr>
              <w:sdt>
                <w:sdtPr>
                  <w:alias w:val="Pavadinimas"/>
                  <w:tag w:val="title_a6791c0b758d4f45bcc50ff891bcc34b"/>
                  <w:lock w:val="sdtLocked"/>
                  <w:richText/>
                </w:sdtPr>
                <w:sdtContent>
                  <w:r>
                    <w:rPr>
                      <w:b/>
                    </w:rPr>
                    <w:t xml:space="preserve">DEGINIMO ĮRENGINIŲ IR BENDRO DEGINIMO ĮRENGINIŲ IŠMETAMŲJŲ DUJŲ VALYMO NUOTEKŲ TVARKYMAS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
              <w:sdtPr>
                <w:alias w:val="32 p."/>
                <w:tag w:val="part_80e0e4c192bf42fdb0da5ccb65ab7d2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80e0e4c192bf42fdb0da5ccb65ab7d2a"/>
                      <w:lock w:val="sdtLocked"/>
                      <w:richText/>
                    </w:sdtPr>
                    <w:sdtContent>
                      <w:r>
                        <w:rPr>
                          <w:rFonts w:eastAsia="Calibri"/>
                          <w:szCs w:val="24"/>
                          <w:lang w:val="en-US"/>
                        </w:rPr>
                        <w:t>32</w:t>
                      </w:r>
                    </w:sdtContent>
                  </w:sdt>
                  <w:r>
                    <w:rPr>
                      <w:rFonts w:eastAsia="Calibri"/>
                      <w:szCs w:val="24"/>
                      <w:lang w:val="en-US"/>
                    </w:rPr>
                    <w:t xml:space="preserve">. </w:t>
                  </w:r>
                  <w:r>
                    <w:rPr>
                      <w:rFonts w:eastAsia="Calibri"/>
                      <w:szCs w:val="24"/>
                    </w:rPr>
                    <w:t>Atliekų deginimo ir bendro deginimo įrenginiuose išmetamųjų dujų valymo metu susidarančios nuotekos gali būti išleidžiamos į paviršinius vandens telkinius tik nustatyta tvarka gavus Aplinkos apsaugos agentūros leidimą</w:t>
                  </w:r>
                  <w:r>
                    <w:rPr>
                      <w:rFonts w:eastAsia="Calibri"/>
                      <w:szCs w:val="24"/>
                      <w:lang w:val="en-US"/>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
              <w:sdtPr>
                <w:alias w:val="33 p."/>
                <w:tag w:val="part_73bcb85da5a448b097b6dbe4f7d33971"/>
                <w:lock w:val="sdtLocked"/>
                <w:richText/>
              </w:sdtPr>
              <w:sdtContent>
                <w:p>
                  <w:pPr>
                    <w:ind w:firstLine="709"/>
                    <w:jc w:val="both"/>
                  </w:pPr>
                  <w:sdt>
                    <w:sdtPr>
                      <w:alias w:val="Numeris"/>
                      <w:tag w:val="nr_73bcb85da5a448b097b6dbe4f7d33971"/>
                      <w:lock w:val="sdtLocked"/>
                      <w:richText/>
                    </w:sdtPr>
                    <w:sdtContent>
                      <w:r>
                        <w:t>33</w:t>
                      </w:r>
                    </w:sdtContent>
                  </w:sdt>
                  <w:r>
                    <w:t>. Išmetamųjų dujų valymo nuotekose turi būti kontroliuojami (nustatomi reikalavimai leidimuose ir/ar nuotekų priėmimo sutartyse, vykdoma laboratorinė kontrolė) teršalai, kuriems 4 priede nustatytos ribinės vertės.</w:t>
                  </w:r>
                </w:p>
              </w:sdtContent>
            </w:sdt>
            <w:sdt>
              <w:sdtPr>
                <w:alias w:val="34 p."/>
                <w:tag w:val="part_613e1f54163341bb9ca9d7599f0e0cea"/>
                <w:lock w:val="sdtLocked"/>
                <w:richText/>
              </w:sdtPr>
              <w:sdtContent>
                <w:p>
                  <w:pPr>
                    <w:ind w:firstLine="709"/>
                    <w:jc w:val="both"/>
                  </w:pPr>
                  <w:sdt>
                    <w:sdtPr>
                      <w:alias w:val="Numeris"/>
                      <w:tag w:val="nr_613e1f54163341bb9ca9d7599f0e0cea"/>
                      <w:lock w:val="sdtLocked"/>
                      <w:richText/>
                    </w:sdtPr>
                    <w:sdtContent>
                      <w:r>
                        <w:t>34</w:t>
                      </w:r>
                    </w:sdtContent>
                  </w:sdt>
                  <w:r>
                    <w:t>. Išvalytų išmetamų dujų valymo nuotekų išleidimui į vandens telkinius gali būti išduotas leidimas, jeigu įvykdomos šios sąlygos:</w:t>
                  </w:r>
                </w:p>
                <w:sdt>
                  <w:sdtPr>
                    <w:alias w:val="34.1 p."/>
                    <w:tag w:val="part_e7702a6179724cdd9e7db9b363149469"/>
                    <w:lock w:val="sdtLocked"/>
                    <w:richText/>
                  </w:sdtPr>
                  <w:sdtContent>
                    <w:p>
                      <w:pPr>
                        <w:ind w:firstLine="709"/>
                        <w:jc w:val="both"/>
                      </w:pPr>
                      <w:sdt>
                        <w:sdtPr>
                          <w:alias w:val="Numeris"/>
                          <w:tag w:val="nr_e7702a6179724cdd9e7db9b363149469"/>
                          <w:lock w:val="sdtLocked"/>
                          <w:richText/>
                        </w:sdtPr>
                        <w:sdtContent>
                          <w:r>
                            <w:t>34.1</w:t>
                          </w:r>
                        </w:sdtContent>
                      </w:sdt>
                      <w:r>
                        <w:t>. laikomasi kitais teisės aktais nustatytų išmetamųjų teršalų ribinių verčių, kurios taikomos nuotekoms, išleidžiamoms į vandens telkinius;</w:t>
                      </w:r>
                    </w:p>
                  </w:sdtContent>
                </w:sdt>
                <w:sdt>
                  <w:sdtPr>
                    <w:alias w:val="34.2 p."/>
                    <w:tag w:val="part_f01d19c6f5774149a9c48228cbb2baec"/>
                    <w:lock w:val="sdtLocked"/>
                    <w:richText/>
                  </w:sdtPr>
                  <w:sdtContent>
                    <w:p>
                      <w:pPr>
                        <w:ind w:firstLine="709"/>
                        <w:jc w:val="both"/>
                      </w:pPr>
                      <w:sdt>
                        <w:sdtPr>
                          <w:alias w:val="Numeris"/>
                          <w:tag w:val="nr_f01d19c6f5774149a9c48228cbb2baec"/>
                          <w:lock w:val="sdtLocked"/>
                          <w:richText/>
                        </w:sdtPr>
                        <w:sdtContent>
                          <w:r>
                            <w:t>34.2</w:t>
                          </w:r>
                        </w:sdtContent>
                      </w:sdt>
                      <w:r>
                        <w:t>. užtikrinama, kad vandens telkinyje nebus viršytos aplinkos kokybės normos;</w:t>
                      </w:r>
                    </w:p>
                  </w:sdtContent>
                </w:sdt>
                <w:sdt>
                  <w:sdtPr>
                    <w:alias w:val="34.3 p."/>
                    <w:tag w:val="part_a87d71f56bb847468b5fbf0cbc1b03a9"/>
                    <w:lock w:val="sdtLocked"/>
                    <w:richText/>
                  </w:sdtPr>
                  <w:sdtContent>
                    <w:p>
                      <w:pPr>
                        <w:ind w:firstLine="709"/>
                        <w:jc w:val="both"/>
                      </w:pPr>
                      <w:sdt>
                        <w:sdtPr>
                          <w:alias w:val="Numeris"/>
                          <w:tag w:val="nr_a87d71f56bb847468b5fbf0cbc1b03a9"/>
                          <w:lock w:val="sdtLocked"/>
                          <w:richText/>
                        </w:sdtPr>
                        <w:sdtContent>
                          <w:r>
                            <w:t>34.3</w:t>
                          </w:r>
                        </w:sdtContent>
                      </w:sdt>
                      <w:r>
                        <w:t>. teršiančių medžiagų koncentracijos neviršija 4 priede nurodytų ribinių verčių.</w:t>
                      </w:r>
                    </w:p>
                  </w:sdtContent>
                </w:sdt>
              </w:sdtContent>
            </w:sdt>
            <w:sdt>
              <w:sdtPr>
                <w:alias w:val="35 p."/>
                <w:tag w:val="part_678049b675f847be933a5353258114cf"/>
                <w:lock w:val="sdtLocked"/>
                <w:richText/>
              </w:sdtPr>
              <w:sdtContent>
                <w:p>
                  <w:pPr>
                    <w:ind w:firstLine="709"/>
                    <w:jc w:val="both"/>
                  </w:pPr>
                  <w:sdt>
                    <w:sdtPr>
                      <w:alias w:val="Numeris"/>
                      <w:tag w:val="nr_678049b675f847be933a5353258114cf"/>
                      <w:lock w:val="sdtLocked"/>
                      <w:richText/>
                    </w:sdtPr>
                    <w:sdtContent>
                      <w:r>
                        <w:rPr>
                          <w:color w:val="000000"/>
                        </w:rPr>
                        <w:t>35</w:t>
                      </w:r>
                    </w:sdtContent>
                  </w:sdt>
                  <w:r>
                    <w:rPr>
                      <w:color w:val="000000"/>
                    </w:rPr>
                    <w:t>. Išmetamųjų teršalų koncentracijai nustatyti ėminiai turi būti imami toje vietoje, kur išmetamųjų dujų valymo nuotekos išleidžiamos iš deginimo ar bendro deginimo įrenginio.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36 p."/>
                <w:tag w:val="part_3c2869cce1af44c3a3c8cd4069c125c9"/>
                <w:lock w:val="sdtLocked"/>
                <w:richText/>
              </w:sdtPr>
              <w:sdtContent>
                <w:p>
                  <w:pPr>
                    <w:ind w:firstLine="709"/>
                    <w:jc w:val="both"/>
                  </w:pPr>
                  <w:sdt>
                    <w:sdtPr>
                      <w:alias w:val="Numeris"/>
                      <w:tag w:val="nr_3c2869cce1af44c3a3c8cd4069c125c9"/>
                      <w:lock w:val="sdtLocked"/>
                      <w:richText/>
                    </w:sdtPr>
                    <w:sdtContent>
                      <w:r>
                        <w:rPr>
                          <w:color w:val="000000"/>
                        </w:rPr>
                        <w:t>36</w:t>
                      </w:r>
                    </w:sdtContent>
                  </w:sdt>
                  <w:r>
                    <w:rPr>
                      <w:color w:val="000000"/>
                    </w:rPr>
                    <w:t>. Jeigu išmetamųjų dujų valymo nuotekos valomos deginimo ar bendro deginimo įrenginyje kartu su kitomis susidarančiomis nuotekomis, operatorius privalo atlikti Reikalavimų IX dalyje numatytus matavimus ir jiems atlikti reikalingus ėminius imti šiose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sdt>
                  <w:sdtPr>
                    <w:alias w:val="36.1 p."/>
                    <w:tag w:val="part_815dfeb8151747a8915a22159b7a04cb"/>
                    <w:lock w:val="sdtLocked"/>
                    <w:richText/>
                  </w:sdtPr>
                  <w:sdtContent>
                    <w:p>
                      <w:pPr>
                        <w:ind w:firstLine="709"/>
                        <w:jc w:val="both"/>
                      </w:pPr>
                      <w:sdt>
                        <w:sdtPr>
                          <w:alias w:val="Numeris"/>
                          <w:tag w:val="nr_815dfeb8151747a8915a22159b7a04cb"/>
                          <w:lock w:val="sdtLocked"/>
                          <w:richText/>
                        </w:sdtPr>
                        <w:sdtContent>
                          <w:r>
                            <w:t>36.1</w:t>
                          </w:r>
                        </w:sdtContent>
                      </w:sdt>
                      <w:r>
                        <w:t>. išmetamųjų dujų valymo nuotekų sraute, prieš jam susimaišant su kitomis nuotekomis;</w:t>
                      </w:r>
                    </w:p>
                  </w:sdtContent>
                </w:sdt>
                <w:sdt>
                  <w:sdtPr>
                    <w:alias w:val="36.2 p."/>
                    <w:tag w:val="part_cce658740966496abb7d2e33185884cd"/>
                    <w:lock w:val="sdtLocked"/>
                    <w:richText/>
                  </w:sdtPr>
                  <w:sdtContent>
                    <w:p>
                      <w:pPr>
                        <w:ind w:firstLine="709"/>
                        <w:jc w:val="both"/>
                      </w:pPr>
                      <w:sdt>
                        <w:sdtPr>
                          <w:alias w:val="Numeris"/>
                          <w:tag w:val="nr_cce658740966496abb7d2e33185884cd"/>
                          <w:lock w:val="sdtLocked"/>
                          <w:richText/>
                        </w:sdtPr>
                        <w:sdtContent>
                          <w:r>
                            <w:t>36.2</w:t>
                          </w:r>
                        </w:sdtContent>
                      </w:sdt>
                      <w:r>
                        <w:t>. kituose nuotekų srautuose, prieš jiems susimaišant su išmetamųjų dujų valymo nuotekų srautu;</w:t>
                      </w:r>
                    </w:p>
                  </w:sdtContent>
                </w:sdt>
                <w:sdt>
                  <w:sdtPr>
                    <w:alias w:val="36.3 p."/>
                    <w:tag w:val="part_1b8a2534c6924e8690091bca905926f5"/>
                    <w:lock w:val="sdtLocked"/>
                    <w:richText/>
                  </w:sdtPr>
                  <w:sdtContent>
                    <w:p>
                      <w:pPr>
                        <w:ind w:firstLine="709"/>
                        <w:jc w:val="both"/>
                      </w:pPr>
                      <w:sdt>
                        <w:sdtPr>
                          <w:alias w:val="Numeris"/>
                          <w:tag w:val="nr_1b8a2534c6924e8690091bca905926f5"/>
                          <w:lock w:val="sdtLocked"/>
                          <w:richText/>
                        </w:sdtPr>
                        <w:sdtContent>
                          <w:r>
                            <w:t>36.3</w:t>
                          </w:r>
                        </w:sdtContent>
                      </w:sdt>
                      <w:r>
                        <w:t>. išvalytų nuotekų išleidimo iš deginimo arba bendro deginimo įrenginių vietoje.</w:t>
                      </w:r>
                    </w:p>
                    <w:p>
                      <w:pPr>
                        <w:ind w:firstLine="709"/>
                        <w:jc w:val="both"/>
                      </w:pPr>
                      <w:r>
                        <w:t>Be to, siekiant patikrinti, ar neviršijamos leidime nustatytos išmetamųjų teršalų ribinės vertės, operatorius turi atlikti atitinkamus masės balanso skaičiavimus ir nustatyti išmetamų teršalų, priskirtinų išmetamųjų dujų valymo nuotekoms, kiekius iš įrenginių išleidžiamose nuotekose. Jokiomis aplinkybėmis negalima skiesti nuotekų, siekiant, kad jų kokybė atitiktų 4 priede nustatytus reikalavimus.</w:t>
                      </w:r>
                    </w:p>
                  </w:sdtContent>
                </w:sdt>
              </w:sdtContent>
            </w:sdt>
            <w:sdt>
              <w:sdtPr>
                <w:alias w:val="37 p."/>
                <w:tag w:val="part_51ed9d2c03584d60a44ee4baffd512c9"/>
                <w:lock w:val="sdtLocked"/>
                <w:richText/>
              </w:sdtPr>
              <w:sdtContent>
                <w:p>
                  <w:pPr>
                    <w:ind w:firstLine="709"/>
                    <w:jc w:val="both"/>
                  </w:pPr>
                  <w:sdt>
                    <w:sdtPr>
                      <w:alias w:val="Numeris"/>
                      <w:tag w:val="nr_51ed9d2c03584d60a44ee4baffd512c9"/>
                      <w:lock w:val="sdtLocked"/>
                      <w:richText/>
                    </w:sdtPr>
                    <w:sdtContent>
                      <w:r>
                        <w:t>37</w:t>
                      </w:r>
                    </w:sdtContent>
                  </w:sdt>
                  <w:r>
                    <w:t xml:space="preserve">. Kai išmetamųjų dujų valymo nuotekos yra valomos ne deginimo ar bendro deginimo įrenginyje, o už jo ribų esančiuose valymo įrenginiuose, skirtuose specialiai išmetamųjų dujų valymo nuotekoms valyti, 4 priede nurodytų išmetamųjų teršalų ribinės vertės turi būti nustatomos nuotekų išleidimo iš nuotekų valymo įrenginių vietoje. Jei ne deginimo ar bendro deginimo įrenginio teritorijoje esantys nuotekų valymo įrenginiai valo ne tik išmetamųjų dujų valymo nuotekas, jiems taikomos Reikalavimų 36 ir </w:t>
                  </w:r>
                  <w:r>
                    <w:rPr>
                      <w:color w:val="000000"/>
                      <w:szCs w:val="24"/>
                      <w:lang w:eastAsia="lt-LT"/>
                    </w:rPr>
                    <w:t>60 punktų</w:t>
                  </w:r>
                  <w:r>
                    <w:t xml:space="preserve"> nuostatos.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37-1 p."/>
                <w:tag w:val="part_dc969d801cf24d2e874a7066623a8498"/>
                <w:lock w:val="sdtLocked"/>
                <w:richText/>
              </w:sdtPr>
              <w:sdtContent>
                <w:p>
                  <w:pPr>
                    <w:widowControl w:val="0"/>
                    <w:ind w:firstLine="709"/>
                    <w:jc w:val="both"/>
                  </w:pPr>
                  <w:sdt>
                    <w:sdtPr>
                      <w:alias w:val="Numeris"/>
                      <w:tag w:val="nr_dc969d801cf24d2e874a7066623a8498"/>
                      <w:lock w:val="sdtLocked"/>
                      <w:richText/>
                    </w:sdtPr>
                    <w:sdtContent>
                      <w:r>
                        <w:t>37</w:t>
                      </w:r>
                      <w:r>
                        <w:rPr>
                          <w:vertAlign w:val="superscript"/>
                        </w:rPr>
                        <w:t>1</w:t>
                      </w:r>
                    </w:sdtContent>
                  </w:sdt>
                  <w:r>
                    <w:t xml:space="preserve">. Skiesti nuotekas, kad būtų neviršytos šių Reikalavimų 4 priede nustatytos išmetamųjų teršalų ribinės vertės, draudžiama.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sdtContent>
            </w:sdt>
            <w:sdt>
              <w:sdtPr>
                <w:alias w:val="38 p."/>
                <w:tag w:val="part_297d24a8851d4b8b8d1942393ec221e0"/>
                <w:lock w:val="sdtLocked"/>
                <w:richText/>
              </w:sdtPr>
              <w:sdtContent>
                <w:p>
                  <w:pPr>
                    <w:ind w:firstLine="709"/>
                    <w:jc w:val="both"/>
                  </w:pPr>
                  <w:sdt>
                    <w:sdtPr>
                      <w:alias w:val="Numeris"/>
                      <w:tag w:val="nr_297d24a8851d4b8b8d1942393ec221e0"/>
                      <w:lock w:val="sdtLocked"/>
                      <w:richText/>
                    </w:sdtPr>
                    <w:sdtContent>
                      <w:r>
                        <w:t>38</w:t>
                      </w:r>
                    </w:sdtContent>
                  </w:sdt>
                  <w:r>
                    <w:t>. Leidime nuotekoms išleisti į vandens telkinį turi būti nustatyta:</w:t>
                  </w:r>
                </w:p>
                <w:sdt>
                  <w:sdtPr>
                    <w:alias w:val="38.1 p."/>
                    <w:tag w:val="part_c1b90f18f3b74eaa800e58af5f154271"/>
                    <w:lock w:val="sdtLocked"/>
                    <w:richText/>
                  </w:sdtPr>
                  <w:sdtContent>
                    <w:p>
                      <w:pPr>
                        <w:ind w:firstLine="709"/>
                        <w:jc w:val="both"/>
                      </w:pPr>
                      <w:sdt>
                        <w:sdtPr>
                          <w:alias w:val="Numeris"/>
                          <w:tag w:val="nr_c1b90f18f3b74eaa800e58af5f154271"/>
                          <w:lock w:val="sdtLocked"/>
                          <w:richText/>
                        </w:sdtPr>
                        <w:sdtContent>
                          <w:r>
                            <w:t>38.1</w:t>
                          </w:r>
                        </w:sdtContent>
                      </w:sdt>
                      <w:r>
                        <w:t>. išmetamųjų teršalų ribinės vertės pagal Reikalavimų 33 ir 34 punktų nuostatas;</w:t>
                      </w:r>
                    </w:p>
                  </w:sdtContent>
                </w:sdt>
                <w:sdt>
                  <w:sdtPr>
                    <w:alias w:val="38.2 p."/>
                    <w:tag w:val="part_97dae153e7b34abba76f5aa67fc1a48c"/>
                    <w:lock w:val="sdtLocked"/>
                    <w:richText/>
                  </w:sdtPr>
                  <w:sdtContent>
                    <w:p>
                      <w:pPr>
                        <w:ind w:firstLine="709"/>
                        <w:jc w:val="both"/>
                      </w:pPr>
                      <w:sdt>
                        <w:sdtPr>
                          <w:alias w:val="Numeris"/>
                          <w:tag w:val="nr_97dae153e7b34abba76f5aa67fc1a48c"/>
                          <w:lock w:val="sdtLocked"/>
                          <w:richText/>
                        </w:sdtPr>
                        <w:sdtContent>
                          <w:r>
                            <w:t>38.2</w:t>
                          </w:r>
                        </w:sdtContent>
                      </w:sdt>
                      <w:r>
                        <w:t>. nuotekų valymo technologijos kontroliniai parametrai, bent jau pH, temperatūra ir srautas (nuotekų kiekis).</w:t>
                      </w:r>
                    </w:p>
                  </w:sdtContent>
                </w:sdt>
              </w:sdtContent>
            </w:sdt>
            <w:sdt>
              <w:sdtPr>
                <w:alias w:val="39 p."/>
                <w:tag w:val="part_3f674d4967aa4126ad382a9540ee2206"/>
                <w:lock w:val="sdtLocked"/>
                <w:richText/>
              </w:sdtPr>
              <w:sdtContent>
                <w:p>
                  <w:pPr>
                    <w:ind w:firstLine="709"/>
                    <w:jc w:val="both"/>
                  </w:pPr>
                  <w:sdt>
                    <w:sdtPr>
                      <w:alias w:val="Numeris"/>
                      <w:tag w:val="nr_3f674d4967aa4126ad382a9540ee2206"/>
                      <w:lock w:val="sdtLocked"/>
                      <w:richText/>
                    </w:sdtPr>
                    <w:sdtContent>
                      <w:r>
                        <w:t>39</w:t>
                      </w:r>
                    </w:sdtContent>
                  </w:sdt>
                  <w:r>
                    <w:t>. Deginimo ir bendro deginimo įrenginių teritorija, įskaitant atliekų laikymui skirtus plotus, projektuojama taip, kad nebūtų nei eksploatacinio, nei avarinio dirvožemio, paviršinio ir požeminio vandens teršimo bet kokiais teršalais, kaip tai reglamentuoja galiojantys Lietuvos Respublikos teisės aktai. Dėl to, be kitų priemonių, turi būti įrengtos talpyklos, skirtos surinkti neleistinai užterštas paviršines nuotekas iš deginimo ar bendro deginimo įrenginių teritorijos arba vandeniui, užterštam po išsiliejimų, gaisrų gesinimo ir pan. Talpyklos turi būti pakankamo dydžio, kad surinktas užterštas vanduo galėtų būti saugomas, kol bus ištirtas, o esant būtinybei – išvalytas, prieš jį išleidžiant.</w:t>
                  </w:r>
                </w:p>
                <w:p>
                  <w:pPr>
                    <w:ind w:firstLine="709"/>
                    <w:jc w:val="both"/>
                  </w:pPr>
                </w:p>
              </w:sdtContent>
            </w:sdt>
          </w:sdtContent>
        </w:sdt>
        <w:sdt>
          <w:sdtPr>
            <w:alias w:val="skyrius"/>
            <w:tag w:val="part_d801166c957a403d9ae67670181e9dcd"/>
            <w:lock w:val="sdtLocked"/>
            <w:richText/>
          </w:sdtPr>
          <w:sdtContent>
            <w:p>
              <w:pPr>
                <w:jc w:val="center"/>
                <w:rPr>
                  <w:b/>
                </w:rPr>
              </w:pPr>
              <w:sdt>
                <w:sdtPr>
                  <w:alias w:val="Numeris"/>
                  <w:tag w:val="nr_d801166c957a403d9ae67670181e9dcd"/>
                  <w:lock w:val="sdtLocked"/>
                  <w:richText/>
                </w:sdtPr>
                <w:sdtContent>
                  <w:r>
                    <w:rPr>
                      <w:b/>
                    </w:rPr>
                    <w:t>VII</w:t>
                  </w:r>
                </w:sdtContent>
              </w:sdt>
              <w:r>
                <w:rPr>
                  <w:b/>
                </w:rPr>
                <w:t xml:space="preserve"> SKYRIUS </w:t>
              </w:r>
            </w:p>
            <w:p>
              <w:pPr>
                <w:jc w:val="center"/>
                <w:rPr>
                  <w:b/>
                </w:rPr>
              </w:pPr>
              <w:sdt>
                <w:sdtPr>
                  <w:alias w:val="Pavadinimas"/>
                  <w:tag w:val="title_d801166c957a403d9ae67670181e9dcd"/>
                  <w:lock w:val="sdtLocked"/>
                  <w:richText/>
                </w:sdtPr>
                <w:sdtContent>
                  <w:r>
                    <w:rPr>
                      <w:b/>
                    </w:rPr>
                    <w:t xml:space="preserve">DEGINIMO ĮRENGINIŲ IR BENDRO DEGINIMO ĮRENGINIŲ PELENŲ IR ŠLAKO TVARKYMAS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
              <w:sdtPr>
                <w:alias w:val="40 p."/>
                <w:tag w:val="part_417a2fe97f554710a8e8bf2ef677ea79"/>
                <w:lock w:val="sdtLocked"/>
                <w:richText/>
              </w:sdtPr>
              <w:sdtContent>
                <w:p>
                  <w:pPr>
                    <w:ind w:firstLine="709"/>
                    <w:jc w:val="both"/>
                  </w:pPr>
                  <w:sdt>
                    <w:sdtPr>
                      <w:alias w:val="Numeris"/>
                      <w:tag w:val="nr_417a2fe97f554710a8e8bf2ef677ea79"/>
                      <w:lock w:val="sdtLocked"/>
                      <w:richText/>
                    </w:sdtPr>
                    <w:sdtContent>
                      <w:r>
                        <w:rPr>
                          <w:color w:val="000000"/>
                          <w:szCs w:val="24"/>
                          <w:lang w:eastAsia="lt-LT"/>
                        </w:rPr>
                        <w:t>40</w:t>
                      </w:r>
                    </w:sdtContent>
                  </w:sdt>
                  <w:r>
                    <w:rPr>
                      <w:color w:val="000000"/>
                      <w:szCs w:val="24"/>
                      <w:lang w:eastAsia="lt-LT"/>
                    </w:rPr>
                    <w:t xml:space="preserve">. </w:t>
                  </w:r>
                  <w:r>
                    <w:t>Deginimo arba bendro deginimo įrenginyje vykstančių degimo procese</w:t>
                  </w:r>
                  <w:r>
                    <w:rPr>
                      <w:b/>
                    </w:rPr>
                    <w:t xml:space="preserve"> </w:t>
                  </w:r>
                  <w:r>
                    <w:t>susidariusių atliekų</w:t>
                  </w:r>
                  <w:r>
                    <w:rPr>
                      <w:b/>
                    </w:rPr>
                    <w:t xml:space="preserve"> </w:t>
                  </w:r>
                  <w:r>
                    <w:t xml:space="preserve">kiekis ir kenksmingumas turi būti sumažintas, o susidarę pelenai ir šlakas perdirbami, jei tai praktiškai įmanoma, tiesiogiai įrenginyje ar už jo ribų, laikantis teisės aktų nustatytų reikalavimų.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sdtContent>
            </w:sdt>
            <w:sdt>
              <w:sdtPr>
                <w:alias w:val="41 p."/>
                <w:tag w:val="part_6493196c7a0d472b800bddae79b36e35"/>
                <w:lock w:val="sdtLocked"/>
                <w:richText/>
              </w:sdtPr>
              <w:sdtContent>
                <w:p>
                  <w:pPr>
                    <w:ind w:firstLine="709"/>
                    <w:jc w:val="both"/>
                  </w:pPr>
                  <w:sdt>
                    <w:sdtPr>
                      <w:alias w:val="Numeris"/>
                      <w:tag w:val="nr_6493196c7a0d472b800bddae79b36e35"/>
                      <w:lock w:val="sdtLocked"/>
                      <w:richText/>
                    </w:sdtPr>
                    <w:sdtContent>
                      <w:r>
                        <w:rPr>
                          <w:color w:val="000000"/>
                          <w:szCs w:val="24"/>
                          <w:lang w:eastAsia="lt-LT"/>
                        </w:rPr>
                        <w:t>41</w:t>
                      </w:r>
                    </w:sdtContent>
                  </w:sdt>
                  <w:r>
                    <w:rPr>
                      <w:color w:val="000000"/>
                      <w:szCs w:val="24"/>
                      <w:lang w:eastAsia="lt-LT"/>
                    </w:rPr>
                    <w:t xml:space="preserve">. </w:t>
                  </w:r>
                  <w:r>
                    <w:t>Deginimo arba bendro deginimo įrenginiuose susidarę pelenai ir šlakas</w:t>
                  </w:r>
                  <w:r>
                    <w:rPr>
                      <w:b/>
                    </w:rPr>
                    <w:t xml:space="preserve"> </w:t>
                  </w:r>
                  <w:r>
                    <w:t xml:space="preserve">turi būti vežami ir laikomi taip, kad nepatektų į aplinką (pavyzdžiui, sandariuose konteineriuose).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sdtContent>
            </w:sdt>
            <w:sdt>
              <w:sdtPr>
                <w:alias w:val="42 p."/>
                <w:tag w:val="part_3c5c53e7faa24987a395ec5e0a04ef84"/>
                <w:lock w:val="sdtLocked"/>
                <w:richText/>
              </w:sdtPr>
              <w:sdtContent>
                <w:p>
                  <w:pPr>
                    <w:ind w:firstLine="709"/>
                    <w:jc w:val="both"/>
                  </w:pPr>
                  <w:sdt>
                    <w:sdtPr>
                      <w:alias w:val="Numeris"/>
                      <w:tag w:val="nr_3c5c53e7faa24987a395ec5e0a04ef84"/>
                      <w:lock w:val="sdtLocked"/>
                      <w:richText/>
                    </w:sdtPr>
                    <w:sdtContent>
                      <w:r>
                        <w:t>42</w:t>
                      </w:r>
                    </w:sdtContent>
                  </w:sdt>
                  <w:r>
                    <w:t xml:space="preserve">. Prieš nusprendžiant, deginimo ar bendro deginimo įrenginiuose susidarę pelenai ir šlakas bus vežami šalinti arba perdirbti, turi būti atliekami atitinkami bandymai skirtingų deginimo liekanų fizinėms bei cheminėms savybėms bei teršimo galimybėms nustatyti. Turi būti ištirta bendra tirpioji pelenų ir šlako frakcija ir sunkiųjų metalų tirpioji frakcija.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sdtContent>
            </w:sdt>
          </w:sdtContent>
        </w:sdt>
        <w:sdt>
          <w:sdtPr>
            <w:alias w:val="skyrius"/>
            <w:tag w:val="part_bd50d65fd53a439c81bfadea18b93d72"/>
            <w:lock w:val="sdtLocked"/>
            <w:richText/>
          </w:sdtPr>
          <w:sdtContent>
            <w:p>
              <w:pPr>
                <w:jc w:val="center"/>
                <w:rPr>
                  <w:b/>
                </w:rPr>
              </w:pPr>
              <w:sdt>
                <w:sdtPr>
                  <w:alias w:val="Numeris"/>
                  <w:tag w:val="nr_bd50d65fd53a439c81bfadea18b93d72"/>
                  <w:lock w:val="sdtLocked"/>
                  <w:richText/>
                </w:sdtPr>
                <w:sdtContent>
                  <w:r>
                    <w:rPr>
                      <w:b/>
                    </w:rPr>
                    <w:t>VIII</w:t>
                  </w:r>
                </w:sdtContent>
              </w:sdt>
              <w:r>
                <w:rPr>
                  <w:b/>
                </w:rPr>
                <w:t xml:space="preserve"> SKYRIUS</w:t>
              </w:r>
            </w:p>
            <w:p>
              <w:pPr>
                <w:jc w:val="center"/>
                <w:rPr>
                  <w:b/>
                </w:rPr>
              </w:pPr>
              <w:sdt>
                <w:sdtPr>
                  <w:alias w:val="Pavadinimas"/>
                  <w:tag w:val="title_bd50d65fd53a439c81bfadea18b93d72"/>
                  <w:lock w:val="sdtLocked"/>
                  <w:richText/>
                </w:sdtPr>
                <w:sdtContent>
                  <w:r>
                    <w:rPr>
                      <w:b/>
                    </w:rPr>
                    <w:t xml:space="preserve">DEGINIMO ĮRENGINIŲ IR BENDRO DEGINIMO ĮRENGINIŲ TARŠOS KONTROLĖ IR MONITORINGAS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
              <w:sdtPr>
                <w:alias w:val="43 p."/>
                <w:tag w:val="part_4e41470e6f7d444f856c0029c511d2a3"/>
                <w:lock w:val="sdtLocked"/>
                <w:richText/>
              </w:sdtPr>
              <w:sdtContent>
                <w:p>
                  <w:pPr>
                    <w:ind w:firstLine="709"/>
                    <w:jc w:val="both"/>
                  </w:pPr>
                  <w:sdt>
                    <w:sdtPr>
                      <w:alias w:val="Numeris"/>
                      <w:tag w:val="nr_4e41470e6f7d444f856c0029c511d2a3"/>
                      <w:lock w:val="sdtLocked"/>
                      <w:richText/>
                    </w:sdtPr>
                    <w:sdtContent>
                      <w:r>
                        <w:t>43</w:t>
                      </w:r>
                    </w:sdtContent>
                  </w:sdt>
                  <w:r>
                    <w:t>. Deginimo ar bendro deginimo įrenginyje turi būti sumontuoti automatiniai matavimo prietaisai ir taikomi matavimo būdai, kad būtų galima užtikrinti atitinkamų deginimo ar bendro deginimo procesams priskirtinų parametrų, sąlygų ir koncentracijų, išreikštų masės vienetais, kontrolę ir aplinkos monitoringo vykdymą.</w:t>
                  </w:r>
                </w:p>
              </w:sdtContent>
            </w:sdt>
            <w:sdt>
              <w:sdtPr>
                <w:alias w:val="44 p."/>
                <w:tag w:val="part_5dbcc0cffb184cd9b72cb0e655d7f6d8"/>
                <w:lock w:val="sdtLocked"/>
                <w:richText/>
              </w:sdtPr>
              <w:sdtContent>
                <w:p>
                  <w:pPr>
                    <w:ind w:firstLine="709"/>
                    <w:jc w:val="both"/>
                  </w:pPr>
                  <w:sdt>
                    <w:sdtPr>
                      <w:alias w:val="Numeris"/>
                      <w:tag w:val="nr_5dbcc0cffb184cd9b72cb0e655d7f6d8"/>
                      <w:lock w:val="sdtLocked"/>
                      <w:richText/>
                    </w:sdtPr>
                    <w:sdtContent>
                      <w:r>
                        <w:t>44</w:t>
                      </w:r>
                    </w:sdtContent>
                  </w:sdt>
                  <w:r>
                    <w:t>. Periodiniai į orą bei vandenį išmetamų teršalų matavimai turi būti atliekami pagal 3 priedo 1 ir 2 punktuose nustatytus reikalavimus.</w:t>
                  </w:r>
                </w:p>
              </w:sdtContent>
            </w:sdt>
            <w:sdt>
              <w:sdtPr>
                <w:alias w:val="44-1 p."/>
                <w:tag w:val="part_2a73f6a88480421092ededbe004b611a"/>
                <w:lock w:val="sdtLocked"/>
                <w:richText/>
              </w:sdtPr>
              <w:sdtContent>
                <w:p>
                  <w:pPr>
                    <w:ind w:firstLine="709"/>
                    <w:jc w:val="both"/>
                  </w:pPr>
                  <w:sdt>
                    <w:sdtPr>
                      <w:alias w:val="Numeris"/>
                      <w:tag w:val="nr_2a73f6a88480421092ededbe004b611a"/>
                      <w:lock w:val="sdtLocked"/>
                      <w:richText/>
                    </w:sdtPr>
                    <w:sdtContent>
                      <w:r>
                        <w:rPr>
                          <w:rFonts w:eastAsia="MS Mincho"/>
                        </w:rPr>
                        <w:t>44</w:t>
                      </w:r>
                      <w:r>
                        <w:rPr>
                          <w:rFonts w:eastAsia="MS Mincho"/>
                          <w:vertAlign w:val="superscript"/>
                        </w:rPr>
                        <w:t>1</w:t>
                      </w:r>
                    </w:sdtContent>
                  </w:sdt>
                  <w:r>
                    <w:rPr>
                      <w:rFonts w:eastAsia="MS Mincho"/>
                    </w:rPr>
                    <w:t>.</w:t>
                  </w:r>
                  <w:r>
                    <w:t xml:space="preserve"> Iš atliekų deginimo ir bendro deginimo įrenginių į aplinkos orą išmetami teršalai taip pat matuojami neįprastos veiklos sąlygomis. </w:t>
                  </w:r>
                  <w:r>
                    <w:rPr>
                      <w:rFonts w:eastAsia="MS Mincho"/>
                    </w:rPr>
                    <w:t>Įrenginio</w:t>
                  </w:r>
                  <w:r>
                    <w:t xml:space="preserve"> paleidimo ir sustabdymo metu, kai atliekos nedeginamos, išmetamas teršalų, įskaitant dioksinų ir furanų bei PCB, kiekis apskaičiuojamas remiantis periodiškai, </w:t>
                  </w:r>
                  <w:r>
                    <w:rPr>
                      <w:rFonts w:eastAsia="MS Mincho"/>
                    </w:rPr>
                    <w:t>ne rečiau kaip vieną kartą</w:t>
                  </w:r>
                  <w:r>
                    <w:t xml:space="preserve"> kas trejus kalendorinius metus, planuojamų paleidimo ar sustabdymo operacijų metu vykdomų matavimų duomenimis. Kiek įmanoma, turi būti išvengta dioksinų ir furanų bei PCB išmetimo arba jis turi būti kuo labiau sumažintas.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sdtContent>
            </w:sdt>
            <w:sdt>
              <w:sdtPr>
                <w:alias w:val="45 p."/>
                <w:tag w:val="part_b50f807be6584842a10159e5271d8ec5"/>
                <w:lock w:val="sdtLocked"/>
                <w:richText/>
              </w:sdtPr>
              <w:sdtContent>
                <w:p>
                  <w:pPr>
                    <w:ind w:firstLine="709"/>
                    <w:jc w:val="both"/>
                  </w:pPr>
                  <w:sdt>
                    <w:sdtPr>
                      <w:alias w:val="Numeris"/>
                      <w:tag w:val="nr_b50f807be6584842a10159e5271d8ec5"/>
                      <w:lock w:val="sdtLocked"/>
                      <w:richText/>
                    </w:sdtPr>
                    <w:sdtContent>
                      <w:r>
                        <w:rPr>
                          <w:color w:val="000000"/>
                        </w:rPr>
                        <w:t>45</w:t>
                      </w:r>
                    </w:sdtContent>
                  </w:sdt>
                  <w:r>
                    <w:rPr>
                      <w:color w:val="000000"/>
                    </w:rPr>
                    <w:t xml:space="preserve">. Aplinkos monitoringo vykdymo reikalavimai įrašomi leidime. </w:t>
                  </w:r>
                  <w:r>
                    <w:rPr>
                      <w:bCs/>
                      <w:color w:val="000000"/>
                    </w:rPr>
                    <w:t>Aplinkos apsaugos valstybinės kontrolės vykdymo tikslais</w:t>
                  </w:r>
                  <w:r>
                    <w:rPr>
                      <w:color w:val="000000"/>
                    </w:rPr>
                    <w:t xml:space="preserve"> ne rečiau kaip kartą per metus </w:t>
                  </w:r>
                  <w:r>
                    <w:rPr>
                      <w:bCs/>
                      <w:color w:val="000000"/>
                    </w:rPr>
                    <w:t>privaloma</w:t>
                  </w:r>
                  <w:r>
                    <w:rPr>
                      <w:color w:val="000000"/>
                    </w:rPr>
                    <w:t xml:space="preserve"> atlikti išmetamųjų teršalų į aplinką </w:t>
                  </w:r>
                  <w:r>
                    <w:rPr>
                      <w:bCs/>
                      <w:color w:val="000000"/>
                    </w:rPr>
                    <w:t>valstybinius laboratorinius tyrimus,</w:t>
                  </w:r>
                  <w:r>
                    <w:rPr>
                      <w:color w:val="000000"/>
                    </w:rPr>
                    <w:t xml:space="preserve"> atitinkančius Reikalavimų IX skyriuje nurodytas standartines sąlygas, siekiant nustatyti, ar neviršijamos teršalų ribinės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3aa00790411e8ae2bfd1913d66d57">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2018-06-18,
paskelbta TAR 2018-06-26, i. k. 2018-10483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46 p."/>
                <w:tag w:val="part_ebf628f1960e44e2b7dae3debcb16fb6"/>
                <w:lock w:val="sdtLocked"/>
                <w:richText/>
              </w:sdtPr>
              <w:sdtContent>
                <w:p>
                  <w:pPr>
                    <w:ind w:firstLine="709"/>
                    <w:jc w:val="both"/>
                  </w:pPr>
                  <w:sdt>
                    <w:sdtPr>
                      <w:alias w:val="Numeris"/>
                      <w:tag w:val="nr_ebf628f1960e44e2b7dae3debcb16fb6"/>
                      <w:lock w:val="sdtLocked"/>
                      <w:richText/>
                    </w:sdtPr>
                    <w:sdtContent>
                      <w:r>
                        <w:t>46</w:t>
                      </w:r>
                    </w:sdtContent>
                  </w:sdt>
                  <w:r>
                    <w:t>. Veiklos vykdytojas (operatorius) privalo nuolat tikrinti į orą bei vandenį išmetamų teršalų automatinių monitoringo prietaisų darbą ir techninę būklę ir ne rečiau kaip kartą per metus prietaisai turi būti kalibruojami (tam įgaliojimus turinčių institucijų), lygiagrečiai atliekant matavimus, taikant pamatinius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47 p."/>
                <w:tag w:val="part_0a98b3b22cd6448a8ad234ffd9f9a07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2018-06-27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3aa00790411e8ae2bfd1913d66d57">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2018-06-18,
paskelbta TAR 2018-06-26, i. k. 2018-10483        </w:t>
                  </w:r>
                </w:p>
                <w:p/>
              </w:sdtContent>
            </w:sdt>
          </w:sdtContent>
        </w:sdt>
        <w:sdt>
          <w:sdtPr>
            <w:alias w:val="skyrius"/>
            <w:tag w:val="part_645b8a6de42d4455b10a9f783c13549d"/>
            <w:lock w:val="sdtLocked"/>
            <w:richText/>
          </w:sdtPr>
          <w:sdtContent>
            <w:p>
              <w:pPr>
                <w:jc w:val="center"/>
                <w:rPr>
                  <w:b/>
                </w:rPr>
              </w:pPr>
              <w:sdt>
                <w:sdtPr>
                  <w:alias w:val="Numeris"/>
                  <w:tag w:val="nr_645b8a6de42d4455b10a9f783c13549d"/>
                  <w:lock w:val="sdtLocked"/>
                  <w:richText/>
                </w:sdtPr>
                <w:sdtContent>
                  <w:r>
                    <w:rPr>
                      <w:b/>
                    </w:rPr>
                    <w:t>IX</w:t>
                  </w:r>
                </w:sdtContent>
              </w:sdt>
              <w:r>
                <w:rPr>
                  <w:b/>
                </w:rPr>
                <w:t xml:space="preserve"> SKYRIUS</w:t>
              </w:r>
            </w:p>
            <w:p>
              <w:pPr>
                <w:jc w:val="center"/>
                <w:rPr>
                  <w:b/>
                </w:rPr>
              </w:pPr>
              <w:sdt>
                <w:sdtPr>
                  <w:alias w:val="Pavadinimas"/>
                  <w:tag w:val="title_645b8a6de42d4455b10a9f783c13549d"/>
                  <w:lock w:val="sdtLocked"/>
                  <w:richText/>
                </w:sdtPr>
                <w:sdtContent>
                  <w:r>
                    <w:rPr>
                      <w:b/>
                    </w:rPr>
                    <w:t xml:space="preserve">DEGINIMO ĮRENGINIŲ IR BENDRO DEGINIMO ĮRENGINIŲ IŠMETAMŲJŲ TERŠALŲ MATAVIMO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
              <w:sdtPr>
                <w:alias w:val="48 p."/>
                <w:tag w:val="part_363fc3dfde4446d2b60ad0ef7d94686c"/>
                <w:lock w:val="sdtLocked"/>
                <w:richText/>
              </w:sdtPr>
              <w:sdtContent>
                <w:p>
                  <w:pPr>
                    <w:ind w:firstLine="709"/>
                    <w:jc w:val="both"/>
                  </w:pPr>
                  <w:sdt>
                    <w:sdtPr>
                      <w:alias w:val="Numeris"/>
                      <w:tag w:val="nr_363fc3dfde4446d2b60ad0ef7d94686c"/>
                      <w:lock w:val="sdtLocked"/>
                      <w:richText/>
                    </w:sdtPr>
                    <w:sdtContent>
                      <w:r>
                        <w:t>48</w:t>
                      </w:r>
                    </w:sdtContent>
                  </w:sdt>
                  <w:r>
                    <w:t>. Laikantis 3 priedo reikalavimų, deginimo ar bendro atliekų deginimo įrenginyje turi būti atliekami:</w:t>
                  </w:r>
                </w:p>
                <w:sdt>
                  <w:sdtPr>
                    <w:alias w:val="48.1 p."/>
                    <w:tag w:val="part_a8e42b8da73b464e913d8f050ea59e60"/>
                    <w:lock w:val="sdtLocked"/>
                    <w:richText/>
                  </w:sdtPr>
                  <w:sdtContent>
                    <w:p>
                      <w:pPr>
                        <w:ind w:firstLine="709"/>
                        <w:jc w:val="both"/>
                      </w:pPr>
                      <w:sdt>
                        <w:sdtPr>
                          <w:alias w:val="Numeris"/>
                          <w:tag w:val="nr_a8e42b8da73b464e913d8f050ea59e60"/>
                          <w:lock w:val="sdtLocked"/>
                          <w:richText/>
                        </w:sdtPr>
                        <w:sdtContent>
                          <w:r>
                            <w:t>48.1</w:t>
                          </w:r>
                        </w:sdtContent>
                      </w:sdt>
                      <w:r>
                        <w:t>. nuolatos šių oro teršalų matavimai: azoto oksidų (toliau – NO</w:t>
                      </w:r>
                      <w:r>
                        <w:rPr>
                          <w:vertAlign w:val="subscript"/>
                        </w:rPr>
                        <w:t>X</w:t>
                      </w:r>
                      <w:r>
                        <w:t>) (jei nustatytos jų ribinės vertės), CO, bendro dulkių kiekio (toliau – dulkės), BOA, vandenilio chlorido (toliau – HCl), vandenilio fluorido (toliau – HF), sieros dioksido (toliau – SO</w:t>
                      </w:r>
                      <w:r>
                        <w:rPr>
                          <w:vertAlign w:val="subscript"/>
                        </w:rPr>
                        <w:t>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48.2 p."/>
                    <w:tag w:val="part_6784e4eeb1f94120a31e79c2523a3f08"/>
                    <w:lock w:val="sdtLocked"/>
                    <w:richText/>
                  </w:sdtPr>
                  <w:sdtContent>
                    <w:p>
                      <w:pPr>
                        <w:ind w:firstLine="709"/>
                        <w:jc w:val="both"/>
                      </w:pPr>
                      <w:sdt>
                        <w:sdtPr>
                          <w:alias w:val="Numeris"/>
                          <w:tag w:val="nr_6784e4eeb1f94120a31e79c2523a3f08"/>
                          <w:lock w:val="sdtLocked"/>
                          <w:richText/>
                        </w:sdtPr>
                        <w:sdtContent>
                          <w:r>
                            <w:rPr>
                              <w:color w:val="000000"/>
                            </w:rPr>
                            <w:t>48.2</w:t>
                          </w:r>
                        </w:sdtContent>
                      </w:sdt>
                      <w:r>
                        <w:rPr>
                          <w:color w:val="000000"/>
                        </w:rPr>
                        <w:t xml:space="preserve">. nuolatos šie </w:t>
                      </w:r>
                      <w:r>
                        <w:rPr>
                          <w:bCs/>
                        </w:rPr>
                        <w:t xml:space="preserve">degimo proceso </w:t>
                      </w:r>
                      <w:r>
                        <w:rPr>
                          <w:color w:val="000000"/>
                        </w:rPr>
                        <w:t>parametrų</w:t>
                      </w:r>
                      <w:r>
                        <w:rPr>
                          <w:bCs/>
                        </w:rPr>
                        <w:t xml:space="preserve"> </w:t>
                      </w:r>
                      <w:r>
                        <w:rPr>
                          <w:color w:val="000000"/>
                        </w:rPr>
                        <w:t>matavimai: temperatūra prie degimo kameros vidinės sienos arba kitame matavimo taške, suderintame su Aplinkos apsaugos agentūra, deguonies koncentracija ir vandens garų kiekis</w:t>
                      </w:r>
                      <w:r>
                        <w:rPr>
                          <w:bCs/>
                          <w:color w:val="000000"/>
                        </w:rPr>
                        <w:t>,</w:t>
                      </w:r>
                      <w:r>
                        <w:rPr>
                          <w:color w:val="000000"/>
                        </w:rPr>
                        <w:t xml:space="preserve"> išmetamųjų dujų slėgis ir temperatūra;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48.3 p."/>
                    <w:tag w:val="part_ff65ed3063e1427788f033d448b97b08"/>
                    <w:lock w:val="sdtLocked"/>
                    <w:richText/>
                  </w:sdtPr>
                  <w:sdtContent>
                    <w:p>
                      <w:pPr>
                        <w:ind w:firstLine="709"/>
                        <w:jc w:val="both"/>
                      </w:pPr>
                      <w:sdt>
                        <w:sdtPr>
                          <w:alias w:val="Numeris"/>
                          <w:tag w:val="nr_ff65ed3063e1427788f033d448b97b08"/>
                          <w:lock w:val="sdtLocked"/>
                          <w:richText/>
                        </w:sdtPr>
                        <w:sdtContent>
                          <w:r>
                            <w:t>48.3</w:t>
                          </w:r>
                        </w:sdtContent>
                      </w:sdt>
                      <w:r>
                        <w:t>. ne mažiau kaip du sunkiųjų metalų, dioksinų ir furanų matavimai per metus. Per pirmuosius 12 deginimo ar bendro deginimo įrenginio eksploatavimo mėnesių šie matavimai turi būti atliekami ne rečiau kaip kartą per 3 mėnesius.</w:t>
                      </w:r>
                    </w:p>
                  </w:sdtContent>
                </w:sdt>
              </w:sdtContent>
            </w:sdt>
            <w:sdt>
              <w:sdtPr>
                <w:alias w:val="48-1 p."/>
                <w:tag w:val="part_0175d9790a3d42c9b5b2c42885f5f823"/>
                <w:lock w:val="sdtLocked"/>
                <w:richText/>
              </w:sdtPr>
              <w:sdtContent>
                <w:p>
                  <w:pPr>
                    <w:widowControl w:val="0"/>
                    <w:ind w:firstLine="709"/>
                    <w:jc w:val="both"/>
                  </w:pPr>
                  <w:sdt>
                    <w:sdtPr>
                      <w:alias w:val="Numeris"/>
                      <w:tag w:val="nr_0175d9790a3d42c9b5b2c42885f5f823"/>
                      <w:lock w:val="sdtLocked"/>
                      <w:richText/>
                    </w:sdtPr>
                    <w:sdtContent>
                      <w:r>
                        <w:t>48</w:t>
                      </w:r>
                      <w:r>
                        <w:rPr>
                          <w:vertAlign w:val="superscript"/>
                        </w:rPr>
                        <w:t>1</w:t>
                      </w:r>
                    </w:sdtContent>
                  </w:sdt>
                  <w:r>
                    <w:t xml:space="preserve">. Išmetamųjų dujų sėdimo laikas, minimali temperatūra ir deguonies kiekis tikrinami mažiausiai vieną kartą po to, kai deginimo ar bendro deginimo įrenginys pradedamas eksploatuoti ir esant pačioms nepalankiausioms eksploatavimo sąlygoms.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sdtContent>
            </w:sdt>
            <w:sdt>
              <w:sdtPr>
                <w:alias w:val="49 p."/>
                <w:tag w:val="part_a27859dd95e94a6bb708254646292d8a"/>
                <w:lock w:val="sdtLocked"/>
                <w:richText/>
              </w:sdtPr>
              <w:sdtContent>
                <w:p>
                  <w:pPr>
                    <w:ind w:firstLine="709"/>
                    <w:jc w:val="both"/>
                  </w:pPr>
                  <w:sdt>
                    <w:sdtPr>
                      <w:alias w:val="Numeris"/>
                      <w:tag w:val="nr_a27859dd95e94a6bb708254646292d8a"/>
                      <w:lock w:val="sdtLocked"/>
                      <w:richText/>
                    </w:sdtPr>
                    <w:sdtContent>
                      <w:r>
                        <w:rPr>
                          <w:color w:val="000000"/>
                        </w:rPr>
                        <w:t>49</w:t>
                      </w:r>
                    </w:sdtContent>
                  </w:sdt>
                  <w:r>
                    <w:rPr>
                      <w:color w:val="000000"/>
                    </w:rPr>
                    <w:t>. Nuolat m</w:t>
                  </w:r>
                  <w:r>
                    <w:rPr>
                      <w:bCs/>
                      <w:color w:val="000000"/>
                    </w:rPr>
                    <w:t xml:space="preserve">atuoti </w:t>
                  </w:r>
                  <w:r>
                    <w:rPr>
                      <w:color w:val="000000"/>
                    </w:rPr>
                    <w:t xml:space="preserve">HF koncentracijos nebūtina, jei įrenginyje naudojama HCl neutralizavimo sistema, užtikrinanti, kad nebus viršytos HCl ribinės vertės. Šiuo atveju HF koncentracija </w:t>
                  </w:r>
                  <w:r>
                    <w:rPr>
                      <w:bCs/>
                      <w:color w:val="000000"/>
                    </w:rPr>
                    <w:t xml:space="preserve">matuojama </w:t>
                  </w:r>
                  <w:r>
                    <w:rPr>
                      <w:color w:val="000000"/>
                    </w:rPr>
                    <w:t>periodiškai, kaip nustatyta Reikalavimų 48.3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50 p."/>
                <w:tag w:val="part_ee46bb54324d4ab18802a2bbe52399d2"/>
                <w:lock w:val="sdtLocked"/>
                <w:richText/>
              </w:sdtPr>
              <w:sdtContent>
                <w:p>
                  <w:pPr>
                    <w:ind w:firstLine="709"/>
                    <w:jc w:val="both"/>
                  </w:pPr>
                  <w:sdt>
                    <w:sdtPr>
                      <w:alias w:val="Numeris"/>
                      <w:tag w:val="nr_ee46bb54324d4ab18802a2bbe52399d2"/>
                      <w:lock w:val="sdtLocked"/>
                      <w:richText/>
                    </w:sdtPr>
                    <w:sdtContent>
                      <w:r>
                        <w:t>50</w:t>
                      </w:r>
                    </w:sdtContent>
                  </w:sdt>
                  <w:r>
                    <w:t>. Nuolatos matuoti vandens garų kiekį išmetamosiose dujose nebūtina tuo atveju, kai išmetamųjų dujų mėginys yra išdžiovinamas prieš atliekant jame esančių teršalų tyrimus.</w:t>
                  </w:r>
                </w:p>
              </w:sdtContent>
            </w:sdt>
            <w:sdt>
              <w:sdtPr>
                <w:alias w:val="51 p."/>
                <w:tag w:val="part_75744f2320394cafa0ce97a5fe63e02e"/>
                <w:lock w:val="sdtLocked"/>
                <w:richText/>
              </w:sdtPr>
              <w:sdtContent>
                <w:p>
                  <w:pPr>
                    <w:ind w:firstLine="709"/>
                    <w:jc w:val="both"/>
                  </w:pPr>
                  <w:sdt>
                    <w:sdtPr>
                      <w:alias w:val="Numeris"/>
                      <w:tag w:val="nr_75744f2320394cafa0ce97a5fe63e02e"/>
                      <w:lock w:val="sdtLocked"/>
                      <w:richText/>
                    </w:sdtPr>
                    <w:sdtContent>
                      <w:r>
                        <w:rPr>
                          <w:color w:val="000000"/>
                        </w:rPr>
                        <w:t>51</w:t>
                      </w:r>
                    </w:sdtContent>
                  </w:sdt>
                  <w:r>
                    <w:rPr>
                      <w:color w:val="000000"/>
                    </w:rPr>
                    <w:t>. Kai operatorius įrodo, kad išmetamas HCl, HF, SO</w:t>
                  </w:r>
                  <w:r>
                    <w:rPr>
                      <w:color w:val="000000"/>
                      <w:vertAlign w:val="subscript"/>
                    </w:rPr>
                    <w:t>2</w:t>
                  </w:r>
                  <w:r>
                    <w:rPr>
                      <w:color w:val="000000"/>
                    </w:rPr>
                    <w:t xml:space="preserve"> kiekis negali būti didesnis už nustatytas šių teršalų ribines vertes, leidime nuolatinis šių teršalų matavimas gali būti pakeistas </w:t>
                  </w:r>
                  <w:r>
                    <w:rPr>
                      <w:bCs/>
                      <w:color w:val="000000"/>
                    </w:rPr>
                    <w:t>matavimu</w:t>
                  </w:r>
                  <w:r>
                    <w:rPr>
                      <w:color w:val="000000"/>
                    </w:rPr>
                    <w:t xml:space="preserve"> </w:t>
                  </w:r>
                  <w:r>
                    <w:rPr>
                      <w:bCs/>
                      <w:color w:val="000000"/>
                    </w:rPr>
                    <w:t xml:space="preserve">Reikalavimų </w:t>
                  </w:r>
                  <w:r>
                    <w:rPr>
                      <w:color w:val="000000"/>
                    </w:rPr>
                    <w:t xml:space="preserve">48.3 papunktyje nustatytu periodiškumu arba nereikalaujama atlikti </w:t>
                  </w:r>
                  <w:r>
                    <w:rPr>
                      <w:bCs/>
                      <w:color w:val="000000"/>
                    </w:rPr>
                    <w:t>matavimų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55-1 p."/>
                <w:tag w:val="part_8cd2e3feedbb4847b3720c74adcd99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8cd2e3feedbb4847b3720c74adcd997f"/>
                      <w:lock w:val="sdtLocked"/>
                      <w:richText/>
                    </w:sdtPr>
                    <w:sdtContent>
                      <w:r>
                        <w:rPr>
                          <w:color w:val="000000"/>
                        </w:rPr>
                        <w:t>55</w:t>
                      </w:r>
                      <w:r>
                        <w:rPr>
                          <w:color w:val="000000"/>
                          <w:vertAlign w:val="superscript"/>
                        </w:rPr>
                        <w:t>1</w:t>
                      </w:r>
                    </w:sdtContent>
                  </w:sdt>
                  <w:r>
                    <w:rPr>
                      <w:color w:val="000000"/>
                    </w:rPr>
                    <w:t>. Visi matavimų rezultatai registruojami, apdorojami ir atitinkamu būdu pateikiami, kad </w:t>
                  </w:r>
                  <w:r>
                    <w:rPr>
                      <w:bCs/>
                      <w:color w:val="000000"/>
                    </w:rPr>
                    <w:t>vykdydamas aplinkos apsaugos valstybinę kontrolę</w:t>
                  </w:r>
                  <w:r>
                    <w:rPr>
                      <w:color w:val="000000"/>
                    </w:rPr>
                    <w:t xml:space="preserve"> Aplinkos apsaugos departamentas prie Aplinkos ministerijos</w:t>
                  </w:r>
                  <w:r>
                    <w:rPr>
                      <w:bCs/>
                      <w:color w:val="000000"/>
                    </w:rPr>
                    <w:t xml:space="preserve"> (toliau – Departamentas)</w:t>
                  </w:r>
                  <w:r>
                    <w:rPr>
                      <w:color w:val="000000"/>
                    </w:rPr>
                    <w:t> galėtų patikrinti, ar laikomasi leistinų eksploatavimo sąlygų arba Reikalavimuose nustatytų išmetamųjų teršalų ribinių verčių. Ataskaitos apie į aplinką išmetamus teršalus teikiamos vadovaujantis jų rengimą ir teikimą reglamentuojančiais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51-2 p."/>
                <w:tag w:val="part_ed5e329dad0a4bf0a050bcf2757f6a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ed5e329dad0a4bf0a050bcf2757f6a0b"/>
                      <w:lock w:val="sdtLocked"/>
                      <w:richText/>
                    </w:sdtPr>
                    <w:sdtContent>
                      <w:r>
                        <w:rPr>
                          <w:rFonts w:eastAsia="Calibri"/>
                          <w:szCs w:val="24"/>
                          <w:lang w:val="en-US"/>
                        </w:rPr>
                        <w:t>51</w:t>
                      </w:r>
                      <w:r>
                        <w:rPr>
                          <w:rFonts w:eastAsia="Calibri"/>
                          <w:szCs w:val="24"/>
                          <w:vertAlign w:val="superscript"/>
                          <w:lang w:val="en-US"/>
                        </w:rPr>
                        <w:t>2</w:t>
                      </w:r>
                    </w:sdtContent>
                  </w:sdt>
                  <w:r>
                    <w:rPr>
                      <w:rFonts w:eastAsia="Calibri"/>
                      <w:szCs w:val="24"/>
                      <w:lang w:val="en-US"/>
                    </w:rPr>
                    <w:t xml:space="preserve">. </w:t>
                  </w:r>
                  <w:r>
                    <w:rPr>
                      <w:rFonts w:eastAsia="Calibri"/>
                      <w:szCs w:val="24"/>
                    </w:rPr>
                    <w:t>Aplinkos apsaugos agentūra ne ankščiau kaip po trejų metų gali nuspręsti reikalauti atlikti vieną sunkiųjų metalų matavimą kas dvejus metus ir vieną dioksinų bei furanų matavimą per metus šiais atvejais</w:t>
                  </w:r>
                  <w:r>
                    <w:rPr>
                      <w:rFonts w:eastAsia="Calibri"/>
                      <w:szCs w:val="24"/>
                      <w:lang w:val="en-US"/>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
              <w:sdtPr>
                <w:alias w:val="52 p."/>
                <w:tag w:val="part_f870a7d057e5495a867125d5f18638d5"/>
                <w:lock w:val="sdtLocked"/>
                <w:richText/>
              </w:sdtPr>
              <w:sdtContent>
                <w:p>
                  <w:pPr>
                    <w:ind w:firstLine="709"/>
                    <w:jc w:val="both"/>
                  </w:pPr>
                  <w:sdt>
                    <w:sdtPr>
                      <w:alias w:val="Numeris"/>
                      <w:tag w:val="nr_f870a7d057e5495a867125d5f18638d5"/>
                      <w:lock w:val="sdtLocked"/>
                      <w:richText/>
                    </w:sdtPr>
                    <w:sdtContent>
                      <w:r>
                        <w:t>52</w:t>
                      </w:r>
                    </w:sdtContent>
                  </w:sdt>
                  <w:r>
                    <w:t xml:space="preserve">. </w:t>
                  </w:r>
                  <w:r>
                    <w:rPr>
                      <w:color w:val="000000"/>
                      <w:szCs w:val="24"/>
                      <w:lang w:eastAsia="lt-LT"/>
                    </w:rPr>
                    <w:t>Norint patikrinti, ar neviršijamos išmetamųjų teršalų ribinės vertės, atliekamų matavimų rezultatai perskaičiuojami pagal Reikalavimų 5 priedą, taikant 53 punkte nurodytą formulę arba</w:t>
                  </w:r>
                  <w:r>
                    <w:rPr>
                      <w:b/>
                      <w:bCs/>
                      <w:color w:val="000000"/>
                      <w:szCs w:val="24"/>
                      <w:lang w:eastAsia="lt-LT"/>
                    </w:rPr>
                    <w:t xml:space="preserve"> </w:t>
                  </w:r>
                  <w:r>
                    <w:rPr>
                      <w:color w:val="000000"/>
                      <w:szCs w:val="24"/>
                      <w:lang w:eastAsia="lt-LT"/>
                    </w:rPr>
                    <w:t>šias standartines sąlygas</w:t>
                  </w:r>
                  <w:r>
                    <w:t>:</w:t>
                  </w:r>
                </w:p>
                <w:sdt>
                  <w:sdtPr>
                    <w:alias w:val="52.1 p."/>
                    <w:tag w:val="part_52dfce9f6208442497dfe4e27705055a"/>
                    <w:lock w:val="sdtLocked"/>
                    <w:richText/>
                  </w:sdtPr>
                  <w:sdtContent>
                    <w:p>
                      <w:pPr>
                        <w:ind w:firstLine="709"/>
                        <w:jc w:val="both"/>
                      </w:pPr>
                      <w:sdt>
                        <w:sdtPr>
                          <w:alias w:val="Numeris"/>
                          <w:tag w:val="nr_52dfce9f6208442497dfe4e27705055a"/>
                          <w:lock w:val="sdtLocked"/>
                          <w:richText/>
                        </w:sdtPr>
                        <w:sdtContent>
                          <w:r>
                            <w:t>52.1</w:t>
                          </w:r>
                        </w:sdtContent>
                      </w:sdt>
                      <w:r>
                        <w:t xml:space="preserve">. deginimo </w:t>
                      </w:r>
                      <w:r>
                        <w:rPr>
                          <w:color w:val="000000"/>
                          <w:szCs w:val="24"/>
                          <w:lang w:eastAsia="lt-LT"/>
                        </w:rPr>
                        <w:t>įrenginio</w:t>
                      </w:r>
                      <w:r>
                        <w:t xml:space="preserve"> išmetamųjų dujų: temperatūra – 273 K, slėgis – 101,3 kPa, deguonies kiekis išmetamųjų dujų tūryje – 11 %, sausos dujos;</w:t>
                      </w:r>
                    </w:p>
                  </w:sdtContent>
                </w:sdt>
                <w:sdt>
                  <w:sdtPr>
                    <w:alias w:val="52.2 p."/>
                    <w:tag w:val="part_005821737db14e1b92057d77ee0e126a"/>
                    <w:lock w:val="sdtLocked"/>
                    <w:richText/>
                  </w:sdtPr>
                  <w:sdtContent>
                    <w:p>
                      <w:pPr>
                        <w:ind w:firstLine="709"/>
                        <w:jc w:val="both"/>
                      </w:pPr>
                      <w:sdt>
                        <w:sdtPr>
                          <w:alias w:val="Numeris"/>
                          <w:tag w:val="nr_005821737db14e1b92057d77ee0e126a"/>
                          <w:lock w:val="sdtLocked"/>
                          <w:richText/>
                        </w:sdtPr>
                        <w:sdtContent>
                          <w:r>
                            <w:t>52.2</w:t>
                          </w:r>
                        </w:sdtContent>
                      </w:sdt>
                      <w:r>
                        <w:t>. išmetamųjų dujų, susidarančių deginant alyvų atliekas: temperatūra – 273 K, slėgis – 101,3 kPa, deguonies kiekis išmetamųjų dujų tūryje – 3 %, sausos dujos.</w:t>
                      </w:r>
                    </w:p>
                  </w:sdtContent>
                </w:sdt>
                <w:sdt>
                  <w:sdtPr>
                    <w:alias w:val="52-1 p."/>
                    <w:tag w:val="part_15807e6418a3491e8a78c95d26b3e81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15807e6418a3491e8a78c95d26b3e81d"/>
                          <w:lock w:val="sdtLocked"/>
                          <w:richText/>
                        </w:sdtPr>
                        <w:sdtContent>
                          <w:r>
                            <w:rPr>
                              <w:szCs w:val="24"/>
                              <w:lang w:eastAsia="lt-LT"/>
                            </w:rPr>
                            <w:t>52</w:t>
                          </w:r>
                          <w:r>
                            <w:rPr>
                              <w:szCs w:val="24"/>
                              <w:vertAlign w:val="superscript"/>
                              <w:lang w:eastAsia="lt-LT"/>
                            </w:rPr>
                            <w:t>1</w:t>
                          </w:r>
                        </w:sdtContent>
                      </w:sdt>
                      <w:r>
                        <w:rPr>
                          <w:szCs w:val="24"/>
                          <w:lang w:eastAsia="lt-LT"/>
                        </w:rPr>
                        <w:t>. Atliekas deginant ar bendrai deginant esant deguonies pertekliui, matavimų rezultatai gali būti perskaičiuojami taikant standartinį deguonies kiekį, kurį nustatė Aplinkos apsaugos agentūra, atsižvelgdama į ypatingas kiekvieno konkretaus atvejo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52-2 p."/>
                <w:tag w:val="part_3dbfc819400742269f685ec0005411a8"/>
                <w:lock w:val="sdtLocked"/>
                <w:richText/>
              </w:sdtPr>
              <w:sdtContent>
                <w:p>
                  <w:pPr>
                    <w:widowControl w:val="0"/>
                    <w:ind w:firstLine="709"/>
                    <w:jc w:val="both"/>
                  </w:pPr>
                  <w:sdt>
                    <w:sdtPr>
                      <w:alias w:val="Numeris"/>
                      <w:tag w:val="nr_3dbfc819400742269f685ec0005411a8"/>
                      <w:lock w:val="sdtLocked"/>
                      <w:richText/>
                    </w:sdtPr>
                    <w:sdtContent>
                      <w:r>
                        <w:rPr>
                          <w:color w:val="000000"/>
                          <w:szCs w:val="24"/>
                          <w:lang w:eastAsia="lt-LT"/>
                        </w:rPr>
                        <w:t>52</w:t>
                      </w:r>
                      <w:r>
                        <w:rPr>
                          <w:color w:val="000000"/>
                          <w:szCs w:val="24"/>
                          <w:vertAlign w:val="superscript"/>
                          <w:lang w:eastAsia="lt-LT"/>
                        </w:rPr>
                        <w:t>2</w:t>
                      </w:r>
                    </w:sdtContent>
                  </w:sdt>
                  <w:r>
                    <w:rPr>
                      <w:color w:val="000000"/>
                      <w:szCs w:val="24"/>
                      <w:lang w:eastAsia="lt-LT"/>
                    </w:rPr>
                    <w:t>. Kai išmetamų teršalų kiekis sumažinamas valant išmetamas dujas deginimo ar bendro deginimo įrenginiuose, apdorojančiuose pavojingąsias atliekas, perskaičiavimas taikant standartinį deguonies kiekį atliekamas, jei deguonies kiekis, išmatuotas per tą patį laiką, kai matuotas teršalo kiekis, viršija atitinkamą standartinį deguonies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53 p."/>
                <w:tag w:val="part_aee2c5cf1457445193d2c64a8951f951"/>
                <w:lock w:val="sdtLocked"/>
                <w:richText/>
              </w:sdtPr>
              <w:sdtContent>
                <w:p>
                  <w:pPr>
                    <w:ind w:firstLine="709"/>
                    <w:jc w:val="both"/>
                  </w:pPr>
                  <w:sdt>
                    <w:sdtPr>
                      <w:alias w:val="Numeris"/>
                      <w:tag w:val="nr_aee2c5cf1457445193d2c64a8951f951"/>
                      <w:lock w:val="sdtLocked"/>
                      <w:richText/>
                    </w:sdtPr>
                    <w:sdtContent>
                      <w:r>
                        <w:t>53</w:t>
                      </w:r>
                    </w:sdtContent>
                  </w:sdt>
                  <w:r>
                    <w:t>. Išmetamųjų teršalų koncentracijos, esant standartiniam deguonies kiekiui, apskaičiuojamos pagal šią formulę:</w:t>
                  </w:r>
                </w:p>
                <w:p>
                  <w:pPr>
                    <w:ind w:firstLine="709"/>
                    <w:jc w:val="both"/>
                  </w:pPr>
                </w:p>
                <w:tbl>
                  <w:tblPr>
                    <w:tblW w:w="9637" w:type="dxa"/>
                    <w:tblLook w:val="01E0" w:firstRow="1" w:lastRow="1" w:firstColumn="1" w:lastColumn="1" w:noHBand="0" w:noVBand="0"/>
                  </w:tblPr>
                  <w:tblGrid>
                    <w:gridCol w:w="2552"/>
                    <w:gridCol w:w="3081"/>
                    <w:gridCol w:w="4004"/>
                  </w:tblGrid>
                  <w:tr>
                    <w:tc>
                      <w:tcPr>
                        <w:tcW w:w="1175" w:type="dxa"/>
                        <w:vMerge w:val="restart"/>
                        <w:tcBorders>
                          <w:top w:val="nil"/>
                          <w:left w:val="nil"/>
                          <w:bottom w:val="nil"/>
                          <w:right w:val="nil"/>
                        </w:tcBorders>
                        <w:vAlign w:val="center"/>
                      </w:tcPr>
                      <w:p>
                        <w:pPr>
                          <w:jc w:val="right"/>
                          <w:rPr>
                            <w:b/>
                            <w:szCs w:val="24"/>
                          </w:rPr>
                        </w:pPr>
                        <w:r>
                          <w:rPr>
                            <w:b/>
                            <w:szCs w:val="24"/>
                          </w:rPr>
                          <w:t>E</w:t>
                        </w:r>
                        <w:r>
                          <w:rPr>
                            <w:b/>
                            <w:szCs w:val="24"/>
                            <w:vertAlign w:val="subscript"/>
                          </w:rPr>
                          <w:t>S</w:t>
                        </w:r>
                        <w:r>
                          <w:rPr>
                            <w:b/>
                            <w:szCs w:val="24"/>
                          </w:rPr>
                          <w:t xml:space="preserve"> =</w:t>
                        </w:r>
                      </w:p>
                    </w:tc>
                    <w:tc>
                      <w:tcPr>
                        <w:tcW w:w="1418" w:type="dxa"/>
                        <w:tcBorders>
                          <w:top w:val="nil"/>
                          <w:left w:val="nil"/>
                          <w:bottom w:val="single" w:sz="4" w:space="0" w:color="auto"/>
                          <w:right w:val="nil"/>
                        </w:tcBorders>
                      </w:tcPr>
                      <w:p>
                        <w:pPr>
                          <w:jc w:val="center"/>
                          <w:rPr>
                            <w:szCs w:val="24"/>
                          </w:rPr>
                        </w:pPr>
                        <w:r>
                          <w:rPr>
                            <w:szCs w:val="24"/>
                          </w:rPr>
                          <w:t>21-O</w:t>
                        </w:r>
                        <w:r>
                          <w:rPr>
                            <w:szCs w:val="24"/>
                            <w:vertAlign w:val="subscript"/>
                          </w:rPr>
                          <w:t>S</w:t>
                        </w:r>
                      </w:p>
                    </w:tc>
                    <w:tc>
                      <w:tcPr>
                        <w:tcW w:w="1843" w:type="dxa"/>
                        <w:vMerge w:val="restart"/>
                        <w:tcBorders>
                          <w:top w:val="nil"/>
                          <w:left w:val="nil"/>
                          <w:bottom w:val="nil"/>
                          <w:right w:val="nil"/>
                        </w:tcBorders>
                        <w:vAlign w:val="center"/>
                      </w:tcPr>
                      <w:p>
                        <w:pPr>
                          <w:rPr>
                            <w:b/>
                            <w:szCs w:val="24"/>
                          </w:rPr>
                        </w:pPr>
                        <w:r>
                          <w:rPr>
                            <w:b/>
                            <w:szCs w:val="24"/>
                          </w:rPr>
                          <w:t>x E</w:t>
                        </w:r>
                        <w:r>
                          <w:rPr>
                            <w:b/>
                            <w:szCs w:val="24"/>
                            <w:vertAlign w:val="subscript"/>
                          </w:rPr>
                          <w:t>M</w:t>
                        </w:r>
                      </w:p>
                    </w:tc>
                  </w:tr>
                  <w:tr>
                    <w:tc>
                      <w:tcPr>
                        <w:tcW w:w="1175" w:type="dxa"/>
                        <w:vMerge/>
                        <w:tcBorders>
                          <w:top w:val="nil"/>
                          <w:left w:val="nil"/>
                          <w:bottom w:val="nil"/>
                          <w:right w:val="nil"/>
                        </w:tcBorders>
                        <w:vAlign w:val="center"/>
                      </w:tcPr>
                      <w:p>
                        <w:pPr>
                          <w:rPr>
                            <w:b/>
                            <w:szCs w:val="24"/>
                          </w:rPr>
                        </w:pPr>
                      </w:p>
                    </w:tc>
                    <w:tc>
                      <w:tcPr>
                        <w:tcW w:w="1418" w:type="dxa"/>
                        <w:tcBorders>
                          <w:top w:val="single" w:sz="4" w:space="0" w:color="auto"/>
                          <w:left w:val="nil"/>
                          <w:bottom w:val="nil"/>
                          <w:right w:val="nil"/>
                        </w:tcBorders>
                      </w:tcPr>
                      <w:p>
                        <w:pPr>
                          <w:jc w:val="center"/>
                          <w:rPr>
                            <w:szCs w:val="24"/>
                          </w:rPr>
                        </w:pPr>
                        <w:r>
                          <w:rPr>
                            <w:szCs w:val="24"/>
                          </w:rPr>
                          <w:t>21-O</w:t>
                        </w:r>
                        <w:r>
                          <w:rPr>
                            <w:szCs w:val="24"/>
                            <w:vertAlign w:val="subscript"/>
                          </w:rPr>
                          <w:t>M</w:t>
                        </w:r>
                      </w:p>
                    </w:tc>
                    <w:tc>
                      <w:tcPr>
                        <w:tcW w:w="1843" w:type="dxa"/>
                        <w:vMerge/>
                        <w:tcBorders>
                          <w:top w:val="nil"/>
                          <w:left w:val="nil"/>
                          <w:bottom w:val="nil"/>
                          <w:right w:val="nil"/>
                        </w:tcBorders>
                        <w:vAlign w:val="center"/>
                      </w:tcPr>
                      <w:p>
                        <w:pPr>
                          <w:rPr>
                            <w:b/>
                            <w:szCs w:val="24"/>
                          </w:rPr>
                        </w:pPr>
                      </w:p>
                    </w:tc>
                  </w:tr>
                </w:tbl>
                <w:p>
                  <w:pPr>
                    <w:ind w:firstLine="709"/>
                    <w:jc w:val="both"/>
                  </w:pPr>
                </w:p>
                <w:p>
                  <w:pPr>
                    <w:ind w:firstLine="709"/>
                    <w:jc w:val="both"/>
                  </w:pPr>
                  <w:r>
                    <w:rPr>
                      <w:b/>
                    </w:rPr>
                    <w:t>E</w:t>
                  </w:r>
                  <w:r>
                    <w:rPr>
                      <w:b/>
                      <w:vertAlign w:val="subscript"/>
                    </w:rPr>
                    <w:t>S</w:t>
                  </w:r>
                  <w:r>
                    <w:t xml:space="preserve"> – apskaičiuota išmetamųjų teršalų koncentracija, esant standartiniam deguonies kiekiui;</w:t>
                  </w:r>
                </w:p>
                <w:p>
                  <w:pPr>
                    <w:ind w:firstLine="709"/>
                    <w:jc w:val="both"/>
                  </w:pPr>
                  <w:r>
                    <w:rPr>
                      <w:b/>
                    </w:rPr>
                    <w:t>E</w:t>
                  </w:r>
                  <w:r>
                    <w:rPr>
                      <w:b/>
                      <w:vertAlign w:val="subscript"/>
                    </w:rPr>
                    <w:t>M</w:t>
                  </w:r>
                  <w:r>
                    <w:t xml:space="preserve"> – išmatuota išmetamųjų teršalų koncentracija;</w:t>
                  </w:r>
                </w:p>
                <w:p>
                  <w:pPr>
                    <w:ind w:firstLine="709"/>
                    <w:jc w:val="both"/>
                  </w:pPr>
                  <w:r>
                    <w:rPr>
                      <w:b/>
                    </w:rPr>
                    <w:t>O</w:t>
                  </w:r>
                  <w:r>
                    <w:rPr>
                      <w:b/>
                      <w:vertAlign w:val="subscript"/>
                    </w:rPr>
                    <w:t>S</w:t>
                  </w:r>
                  <w:r>
                    <w:t xml:space="preserve"> – standartinis deguonies kiekis;</w:t>
                  </w:r>
                </w:p>
                <w:p>
                  <w:pPr>
                    <w:ind w:firstLine="709"/>
                    <w:jc w:val="both"/>
                  </w:pPr>
                  <w:r>
                    <w:rPr>
                      <w:b/>
                    </w:rPr>
                    <w:t>O</w:t>
                  </w:r>
                  <w:r>
                    <w:rPr>
                      <w:b/>
                      <w:vertAlign w:val="subscript"/>
                    </w:rPr>
                    <w:t>M</w:t>
                  </w:r>
                  <w:r>
                    <w:t xml:space="preserve"> – išmatuotas deguonies kiekis.</w:t>
                  </w:r>
                </w:p>
                <w:p>
                  <w:pPr>
                    <w:ind w:firstLine="709"/>
                    <w:jc w:val="both"/>
                  </w:pPr>
                </w:p>
              </w:sdtContent>
            </w:sdt>
            <w:sdt>
              <w:sdtPr>
                <w:alias w:val="54 p."/>
                <w:tag w:val="part_cacd8b14a8174a69a245e761db72c1b1"/>
                <w:lock w:val="sdtLocked"/>
                <w:richText/>
              </w:sdtPr>
              <w:sdtContent>
                <w:p>
                  <w:pPr>
                    <w:widowControl w:val="0"/>
                    <w:ind w:firstLine="709"/>
                    <w:jc w:val="both"/>
                  </w:pPr>
                  <w:sdt>
                    <w:sdtPr>
                      <w:alias w:val="Numeris"/>
                      <w:tag w:val="nr_cacd8b14a8174a69a245e761db72c1b1"/>
                      <w:lock w:val="sdtLocked"/>
                      <w:richText/>
                    </w:sdtPr>
                    <w:sdtContent>
                      <w:r>
                        <w:t>54</w:t>
                      </w:r>
                    </w:sdtContent>
                  </w:sdt>
                  <w:r>
                    <w:t xml:space="preserve">. Bendro deginimo atveju matavimų rezultatai perskaičiuojami taikant šių Reikalavimų 2 priede nurodytą standartinį deguonies kiekį.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sdtContent>
            </w:sdt>
            <w:sdt>
              <w:sdtPr>
                <w:alias w:val="55 p."/>
                <w:tag w:val="part_682b4ffc238f4b7594c9ed68d40edd57"/>
                <w:lock w:val="sdtLocked"/>
                <w:richText/>
              </w:sdtPr>
              <w:sdtContent>
                <w:p>
                  <w:pPr>
                    <w:ind w:firstLine="709"/>
                    <w:jc w:val="both"/>
                  </w:pPr>
                  <w:sdt>
                    <w:sdtPr>
                      <w:alias w:val="Numeris"/>
                      <w:tag w:val="nr_682b4ffc238f4b7594c9ed68d40edd57"/>
                      <w:lock w:val="sdtLocked"/>
                      <w:richText/>
                    </w:sdtPr>
                    <w:sdtContent>
                      <w:r>
                        <w:t>55</w:t>
                      </w:r>
                    </w:sdtContent>
                  </w:sdt>
                  <w:r>
                    <w:t xml:space="preserve">. Kai deginimo ar bendro deginimo įrenginiuose, apdorojančiuose </w:t>
                  </w:r>
                  <w:r>
                    <w:rPr>
                      <w:color w:val="000000"/>
                      <w:szCs w:val="24"/>
                      <w:lang w:eastAsia="lt-LT"/>
                    </w:rPr>
                    <w:t>pavojingąsias</w:t>
                  </w:r>
                  <w:r>
                    <w:t xml:space="preserve"> atliekas, išmetamųjų teršalų kiekis yra sumažinamas valant išmetamas dujas, perskaičiavimas pagal standartinį deguonies kiekį atliekamas tik tada, jei deguonies kiekis, išmatuotas per tą patį laiką, kai buvo matuojamas teršalo kiekis, viršija atitinkamą standartinį deguonies kiekį.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55-1 p."/>
                <w:tag w:val="part_0dc589c5eea540de921bdd28a4baa520"/>
                <w:lock w:val="sdtLocked"/>
                <w:richText/>
              </w:sdtPr>
              <w:sdtContent>
                <w:p>
                  <w:pPr>
                    <w:widowControl w:val="0"/>
                    <w:suppressAutoHyphens/>
                    <w:ind w:firstLine="709"/>
                    <w:jc w:val="both"/>
                  </w:pPr>
                  <w:sdt>
                    <w:sdtPr>
                      <w:alias w:val="Numeris"/>
                      <w:tag w:val="nr_0dc589c5eea540de921bdd28a4baa520"/>
                      <w:lock w:val="sdtLocked"/>
                      <w:richText/>
                    </w:sdtPr>
                    <w:sdtContent>
                      <w:r>
                        <w:rPr>
                          <w:color w:val="000000"/>
                        </w:rPr>
                        <w:t>55</w:t>
                      </w:r>
                      <w:r>
                        <w:rPr>
                          <w:color w:val="000000"/>
                          <w:vertAlign w:val="superscript"/>
                        </w:rPr>
                        <w:t>1</w:t>
                      </w:r>
                    </w:sdtContent>
                  </w:sdt>
                  <w:r>
                    <w:rPr>
                      <w:color w:val="000000"/>
                    </w:rPr>
                    <w:t xml:space="preserve">. Visi matavimų rezultatai registruojami, apdorojami ir atitinkamu būdu pateikiami, kad </w:t>
                  </w:r>
                  <w:r>
                    <w:rPr>
                      <w:color w:val="000000"/>
                      <w:szCs w:val="24"/>
                      <w:lang w:eastAsia="lt-LT"/>
                    </w:rPr>
                    <w:t xml:space="preserve">Aplinkos apsaugos departamentas prie Aplinkos ministerijos </w:t>
                  </w:r>
                  <w:r>
                    <w:rPr>
                      <w:color w:val="000000"/>
                    </w:rPr>
                    <w:t>galėtų patikrinti, ar laikomasi leistinų eksploatavimo sąlygų arba išmetamų teršalų ribinių verčių, nustatytų šiuose Reikalavimuose. Ataskaitos apie į aplinką išmetamus teršalus teikiamos vadovaujantis jų rengimą ir teikimą reglamentuojančiais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3aa00790411e8ae2bfd1913d66d57">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2018-06-18,
paskelbta TAR 2018-06-26, i. k. 2018-10483            </w:t>
                  </w:r>
                </w:p>
                <w:p/>
              </w:sdtContent>
            </w:sdt>
            <w:sdt>
              <w:sdtPr>
                <w:alias w:val="56 p."/>
                <w:tag w:val="part_0bd742a250e8450bb2f294444dfbabeb"/>
                <w:lock w:val="sdtLocked"/>
                <w:richText/>
              </w:sdtPr>
              <w:sdtContent>
                <w:p>
                  <w:pPr>
                    <w:ind w:firstLine="709"/>
                    <w:jc w:val="both"/>
                  </w:pPr>
                  <w:sdt>
                    <w:sdtPr>
                      <w:alias w:val="Numeris"/>
                      <w:tag w:val="nr_0bd742a250e8450bb2f294444dfbabeb"/>
                      <w:lock w:val="sdtLocked"/>
                      <w:richText/>
                    </w:sdtPr>
                    <w:sdtContent>
                      <w:r>
                        <w:t>56</w:t>
                      </w:r>
                    </w:sdtContent>
                  </w:sdt>
                  <w:r>
                    <w:t>. Laikoma, kad į aplinkos orą išmetamų teršalų ribinių verčių yra laikomasi tada, kai:</w:t>
                  </w:r>
                </w:p>
                <w:sdt>
                  <w:sdtPr>
                    <w:alias w:val="56.1 p."/>
                    <w:tag w:val="part_ea552e5960b246b79d35bc3a5a227106"/>
                    <w:lock w:val="sdtLocked"/>
                    <w:richText/>
                  </w:sdtPr>
                  <w:sdtContent>
                    <w:p>
                      <w:pPr>
                        <w:ind w:firstLine="709"/>
                        <w:jc w:val="both"/>
                      </w:pPr>
                      <w:sdt>
                        <w:sdtPr>
                          <w:alias w:val="Numeris"/>
                          <w:tag w:val="nr_ea552e5960b246b79d35bc3a5a227106"/>
                          <w:lock w:val="sdtLocked"/>
                          <w:richText/>
                        </w:sdtPr>
                        <w:sdtContent>
                          <w:r>
                            <w:rPr>
                              <w:color w:val="000000"/>
                            </w:rPr>
                            <w:t>56.1</w:t>
                          </w:r>
                        </w:sdtContent>
                      </w:sdt>
                      <w:r>
                        <w:rPr>
                          <w:color w:val="000000"/>
                        </w:rPr>
                        <w:t>. nė viena vidutinė paros vertė neviršija nė vienos Reikalavimų 5 priedo pirmoje dalyje arba Reikalavimų 2 priede nustatytos išmetamųjų teršalų ribinės vertės</w:t>
                      </w:r>
                      <w:r>
                        <w:rPr>
                          <w:bCs/>
                          <w:color w:val="000000"/>
                        </w:rPr>
                        <w:t>;</w:t>
                      </w:r>
                      <w:r>
                        <w:rPr>
                          <w:color w:val="000000"/>
                        </w:rPr>
                        <w:t xml:space="preserve"> 97 % paros vidutinių verčių per metus neviršija Reikalavimų 5 priedo penktos dalies 5.1.1 papunktyje nustatytų verčių;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56.2 p."/>
                    <w:tag w:val="part_a9da54a277aa4f74bdb6accb16bf567f"/>
                    <w:lock w:val="sdtLocked"/>
                    <w:richText/>
                  </w:sdtPr>
                  <w:sdtContent>
                    <w:p>
                      <w:pPr>
                        <w:ind w:firstLine="709"/>
                        <w:jc w:val="both"/>
                      </w:pPr>
                      <w:sdt>
                        <w:sdtPr>
                          <w:alias w:val="Numeris"/>
                          <w:tag w:val="nr_a9da54a277aa4f74bdb6accb16bf567f"/>
                          <w:lock w:val="sdtLocked"/>
                          <w:richText/>
                        </w:sdtPr>
                        <w:sdtContent>
                          <w:r>
                            <w:t>56.2</w:t>
                          </w:r>
                        </w:sdtContent>
                      </w:sdt>
                      <w:r>
                        <w:t>. nė viena pusės valandos vidutinė vertė neviršija nė vienos 5 priedo antros dalies lentelės A stulpelyje nustatytos išmetamųjų teršalų ribinės vertės arba 97 % pusės valandos vidutinių verčių per metus neviršija nė vienos 5 priedo antros dalies lentelės B stulpelyje nustatytos išmetamųjų teršalų ribinės vertės;</w:t>
                      </w:r>
                    </w:p>
                  </w:sdtContent>
                </w:sdt>
                <w:sdt>
                  <w:sdtPr>
                    <w:alias w:val="56.3 p."/>
                    <w:tag w:val="part_c3aa63d35c204e5dba4745e41c39b317"/>
                    <w:lock w:val="sdtLocked"/>
                    <w:richText/>
                  </w:sdtPr>
                  <w:sdtContent>
                    <w:p>
                      <w:pPr>
                        <w:ind w:firstLine="709"/>
                        <w:jc w:val="both"/>
                      </w:pPr>
                      <w:sdt>
                        <w:sdtPr>
                          <w:alias w:val="Numeris"/>
                          <w:tag w:val="nr_c3aa63d35c204e5dba4745e41c39b317"/>
                          <w:lock w:val="sdtLocked"/>
                          <w:richText/>
                        </w:sdtPr>
                        <w:sdtContent>
                          <w:r>
                            <w:rPr>
                              <w:color w:val="000000"/>
                            </w:rPr>
                            <w:t>56.3</w:t>
                          </w:r>
                        </w:sdtContent>
                      </w:sdt>
                      <w:r>
                        <w:rPr>
                          <w:color w:val="000000"/>
                        </w:rPr>
                        <w:t>. sunkiųjų metalų, dioksinų ir furanų ėminių ėmimo laikotarpiu nė viena vidutinė vertė neviršija nė vienos 5 priedo trečioje ir ketvirtoje dalyse arba 2 priede nustatytų išmetamųjų teršalų ribinių verčių;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56.4 p."/>
                    <w:tag w:val="part_9c9e663008544aa2a5f93d4a3f0f99da"/>
                    <w:lock w:val="sdtLocked"/>
                    <w:richText/>
                  </w:sdtPr>
                  <w:sdtContent>
                    <w:p>
                      <w:pPr>
                        <w:ind w:firstLine="709"/>
                        <w:jc w:val="both"/>
                      </w:pPr>
                      <w:sdt>
                        <w:sdtPr>
                          <w:alias w:val="Numeris"/>
                          <w:tag w:val="nr_9c9e663008544aa2a5f93d4a3f0f99da"/>
                          <w:lock w:val="sdtLocked"/>
                          <w:richText/>
                        </w:sdtPr>
                        <w:sdtContent>
                          <w:r>
                            <w:rPr>
                              <w:color w:val="000000"/>
                            </w:rPr>
                            <w:t>56.4</w:t>
                          </w:r>
                        </w:sdtContent>
                      </w:sdt>
                      <w:r>
                        <w:rPr>
                          <w:color w:val="000000"/>
                        </w:rPr>
                        <w:t xml:space="preserve">. deginimo įrenginiuose ne mažiau kaip 97 % visų paros vidutinių CO koncentracijos verčių per metus neviršija atitinkamos ribinės vertės, nustatytos </w:t>
                      </w:r>
                      <w:r>
                        <w:rPr>
                          <w:bCs/>
                          <w:color w:val="000000"/>
                        </w:rPr>
                        <w:t>Reikalavimų</w:t>
                      </w:r>
                      <w:r>
                        <w:rPr>
                          <w:color w:val="000000"/>
                        </w:rPr>
                        <w:t xml:space="preserve"> 5 priedo 5.1.1 papunktyje, taip pat ne mažiau kaip 95 % 10 minučių vidutinių verčių per 24 valandas arba pusės valandos vidutinės vertės tuo pačiu laikotarpiu neviršija ribinių verčių, nustatytų </w:t>
                      </w:r>
                      <w:r>
                        <w:rPr>
                          <w:bCs/>
                          <w:color w:val="000000"/>
                        </w:rPr>
                        <w:t xml:space="preserve">Reikalavimų </w:t>
                      </w:r>
                      <w:r>
                        <w:rPr>
                          <w:color w:val="000000"/>
                        </w:rPr>
                        <w:t>5 priedo 5.1.2 arba 5.1.3 papunkčiuose. Deginimo įrenginiuose, kuriuose dėl deginimo proceso susidarančių dujų temperatūra bent dviem sekundėms pakyla iki ne mažiau kaip 1100 °C, gali būti taikomas septynių parų įvertinimo laikotarpis 10 minučių vidutinėms vertėms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56.5 p."/>
                    <w:tag w:val="part_3f01b2979f53403482a5c7bfab57b95a"/>
                    <w:lock w:val="sdtLocked"/>
                    <w:richText/>
                  </w:sdtPr>
                  <w:sdtContent>
                    <w:p>
                      <w:pPr>
                        <w:widowControl w:val="0"/>
                        <w:ind w:firstLine="709"/>
                        <w:jc w:val="both"/>
                      </w:pPr>
                      <w:sdt>
                        <w:sdtPr>
                          <w:alias w:val="Numeris"/>
                          <w:tag w:val="nr_3f01b2979f53403482a5c7bfab57b95a"/>
                          <w:lock w:val="sdtLocked"/>
                          <w:richText/>
                        </w:sdtPr>
                        <w:sdtContent>
                          <w:r>
                            <w:rPr>
                              <w:color w:val="000000"/>
                              <w:szCs w:val="24"/>
                              <w:lang w:eastAsia="lt-LT"/>
                            </w:rPr>
                            <w:t>56.5</w:t>
                          </w:r>
                        </w:sdtContent>
                      </w:sdt>
                      <w:r>
                        <w:rPr>
                          <w:color w:val="000000"/>
                          <w:szCs w:val="24"/>
                          <w:lang w:eastAsia="lt-LT"/>
                        </w:rPr>
                        <w:t>. bendro deginimo įrenginiuose anglies monoksido (CO) vertės neviršija 2 priede nustatytų ribinių verčių.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Content>
            </w:sdt>
            <w:sdt>
              <w:sdtPr>
                <w:alias w:val="57 p."/>
                <w:tag w:val="part_1439d87039d846e2ba26c2ece2f4f5ec"/>
                <w:lock w:val="sdtLocked"/>
                <w:richText/>
              </w:sdtPr>
              <w:sdtContent>
                <w:p>
                  <w:pPr>
                    <w:widowControl w:val="0"/>
                    <w:ind w:firstLine="709"/>
                    <w:jc w:val="both"/>
                  </w:pPr>
                  <w:sdt>
                    <w:sdtPr>
                      <w:alias w:val="Numeris"/>
                      <w:tag w:val="nr_1439d87039d846e2ba26c2ece2f4f5ec"/>
                      <w:lock w:val="sdtLocked"/>
                      <w:richText/>
                    </w:sdtPr>
                    <w:sdtContent>
                      <w:r>
                        <w:t>57</w:t>
                      </w:r>
                    </w:sdtContent>
                  </w:sdt>
                  <w:r>
                    <w:t>. Vidutinės pusės valandos vertės ir 10 minučių vidurkiai nustatomi pagal veiksminguoju eksploatacijos laiku (išskyrus paleidimo ir išjungimo laiką, jei atliekos nedeginamos) išmatuotas vertes prieš tai iš jų atėmus 3 priedo 3 punkte nurodytą patikimumo intervalo vertę. Paros vidutinės vertės nustatomos iš šių perskaičiuotų vidutinių verčių.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sdtContent>
            </w:sdt>
            <w:sdt>
              <w:sdtPr>
                <w:alias w:val="58 p."/>
                <w:tag w:val="part_60f655d068394f1d9602cb7fa128838b"/>
                <w:lock w:val="sdtLocked"/>
                <w:richText/>
              </w:sdtPr>
              <w:sdtContent>
                <w:p>
                  <w:pPr>
                    <w:widowControl w:val="0"/>
                    <w:ind w:firstLine="709"/>
                    <w:jc w:val="both"/>
                  </w:pPr>
                  <w:sdt>
                    <w:sdtPr>
                      <w:alias w:val="Numeris"/>
                      <w:tag w:val="nr_60f655d068394f1d9602cb7fa128838b"/>
                      <w:lock w:val="sdtLocked"/>
                      <w:richText/>
                    </w:sdtPr>
                    <w:sdtContent>
                      <w:r>
                        <w:t>58</w:t>
                      </w:r>
                    </w:sdtContent>
                  </w:sdt>
                  <w:r>
                    <w:t xml:space="preserve">. Nustatant patikimą vidutinę paros vertę matavimo sistemos sutrikimų ar taisymo atveju, negali būti atmestos daugiau kaip penkios bet kurios paros vidutinės pusės valandos vertės. Dėl minėtos priežasties per metus negali būti atmesta daugiau kaip dešimt vidutinių paros verčių.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sdtContent>
            </w:sdt>
            <w:sdt>
              <w:sdtPr>
                <w:alias w:val="59 p."/>
                <w:tag w:val="part_81d63ef2164f4581b5004d0498051f7a"/>
                <w:lock w:val="sdtLocked"/>
                <w:richText/>
              </w:sdtPr>
              <w:sdtContent>
                <w:p>
                  <w:pPr>
                    <w:ind w:firstLine="709"/>
                    <w:jc w:val="both"/>
                  </w:pPr>
                  <w:sdt>
                    <w:sdtPr>
                      <w:alias w:val="Numeris"/>
                      <w:tag w:val="nr_81d63ef2164f4581b5004d0498051f7a"/>
                      <w:lock w:val="sdtLocked"/>
                      <w:richText/>
                    </w:sdtPr>
                    <w:sdtContent>
                      <w:r>
                        <w:rPr>
                          <w:color w:val="000000"/>
                        </w:rPr>
                        <w:t>59</w:t>
                      </w:r>
                    </w:sdtContent>
                  </w:sdt>
                  <w:r>
                    <w:rPr>
                      <w:color w:val="000000"/>
                    </w:rPr>
                    <w:t>. Periodinių HF, HCl ir SO</w:t>
                  </w:r>
                  <w:r>
                    <w:rPr>
                      <w:color w:val="000000"/>
                      <w:vertAlign w:val="subscript"/>
                    </w:rPr>
                    <w:t>2</w:t>
                  </w:r>
                  <w:r>
                    <w:rPr>
                      <w:color w:val="000000"/>
                    </w:rPr>
                    <w:t xml:space="preserve"> matavimų ir šių teršalų ėminių ėmimo laikotarpiu vidutinės vertės nustatomos laikantis </w:t>
                  </w:r>
                  <w:r>
                    <w:rPr>
                      <w:bCs/>
                      <w:color w:val="000000"/>
                    </w:rPr>
                    <w:t>Reikalavimų</w:t>
                  </w:r>
                  <w:r>
                    <w:rPr>
                      <w:color w:val="000000"/>
                    </w:rPr>
                    <w:t xml:space="preserve"> 45 punkto ir 3 priedo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32D2B1FCBB">
                    <w:r w:rsidRPr="00532B9F">
                      <w:rPr>
                        <w:rFonts w:ascii="Times New Roman" w:eastAsia="MS Mincho" w:hAnsi="Times New Roman"/>
                        <w:sz w:val="20"/>
                        <w:i/>
                        <w:iCs/>
                        <w:color w:val="0000FF" w:themeColor="hyperlink"/>
                        <w:u w:val="single"/>
                      </w:rPr>
                      <w:t>D1-835</w:t>
                    </w:r>
                  </w:fldSimple>
                  <w:r>
                    <w:rPr>
                      <w:rFonts w:ascii="Times New Roman" w:eastAsia="MS Mincho" w:hAnsi="Times New Roman"/>
                      <w:sz w:val="20"/>
                      <w:i/>
                      <w:iCs/>
                    </w:rPr>
                    <w:t>,
2010-10-01,
Žin., 2010, Nr.
121-6185 (2010-10-13), i. k. 110301MISAK00D1-835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0 p."/>
                <w:tag w:val="part_d5e237ae3ef941a79658831fbc30b12a"/>
                <w:lock w:val="sdtLocked"/>
                <w:richText/>
              </w:sdtPr>
              <w:sdtContent>
                <w:p>
                  <w:pPr>
                    <w:ind w:firstLine="709"/>
                    <w:jc w:val="both"/>
                  </w:pPr>
                  <w:sdt>
                    <w:sdtPr>
                      <w:alias w:val="Numeris"/>
                      <w:tag w:val="nr_d5e237ae3ef941a79658831fbc30b12a"/>
                      <w:lock w:val="sdtLocked"/>
                      <w:richText/>
                    </w:sdtPr>
                    <w:sdtContent>
                      <w:r>
                        <w:t>60</w:t>
                      </w:r>
                    </w:sdtContent>
                  </w:sdt>
                  <w:r>
                    <w:t>. Nuotekų išleidimo vietoje turi būti atliekami:</w:t>
                  </w:r>
                </w:p>
                <w:sdt>
                  <w:sdtPr>
                    <w:alias w:val="60.1 p."/>
                    <w:tag w:val="part_611bf2ac407a4065bba5981083227dd5"/>
                    <w:lock w:val="sdtLocked"/>
                    <w:richText/>
                  </w:sdtPr>
                  <w:sdtContent>
                    <w:p>
                      <w:pPr>
                        <w:ind w:firstLine="709"/>
                        <w:jc w:val="both"/>
                      </w:pPr>
                      <w:sdt>
                        <w:sdtPr>
                          <w:alias w:val="Numeris"/>
                          <w:tag w:val="nr_611bf2ac407a4065bba5981083227dd5"/>
                          <w:lock w:val="sdtLocked"/>
                          <w:richText/>
                        </w:sdtPr>
                        <w:sdtContent>
                          <w:r>
                            <w:t>60.1</w:t>
                          </w:r>
                        </w:sdtContent>
                      </w:sdt>
                      <w:r>
                        <w:t xml:space="preserve">. Reikalavimų 38.2 papunktyje nurodytų parametrų nuolatiniai matavimai;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0.2 p."/>
                    <w:tag w:val="part_edcdf54cad3f496b93816b7cf9045864"/>
                    <w:lock w:val="sdtLocked"/>
                    <w:richText/>
                  </w:sdtPr>
                  <w:sdtContent>
                    <w:p>
                      <w:pPr>
                        <w:ind w:firstLine="709"/>
                        <w:jc w:val="both"/>
                      </w:pPr>
                      <w:sdt>
                        <w:sdtPr>
                          <w:alias w:val="Numeris"/>
                          <w:tag w:val="nr_edcdf54cad3f496b93816b7cf9045864"/>
                          <w:lock w:val="sdtLocked"/>
                          <w:richText/>
                        </w:sdtPr>
                        <w:sdtContent>
                          <w:r>
                            <w:rPr>
                              <w:color w:val="000000"/>
                            </w:rPr>
                            <w:t>60.2</w:t>
                          </w:r>
                        </w:sdtContent>
                      </w:sdt>
                      <w:r>
                        <w:rPr>
                          <w:color w:val="000000"/>
                        </w:rPr>
                        <w:t>. suspenduotų kietųjų dalelių bendro kiekio matavimai, kiekvieną dieną imant momentinius ėminius arba srautui proporcingus 24 valandų ėminius;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0.3 p."/>
                    <w:tag w:val="part_9c15ec390c1446718b8f388238831a17"/>
                    <w:lock w:val="sdtLocked"/>
                    <w:richText/>
                  </w:sdtPr>
                  <w:sdtContent>
                    <w:p>
                      <w:pPr>
                        <w:ind w:firstLine="709"/>
                        <w:jc w:val="both"/>
                      </w:pPr>
                      <w:sdt>
                        <w:sdtPr>
                          <w:alias w:val="Numeris"/>
                          <w:tag w:val="nr_9c15ec390c1446718b8f388238831a17"/>
                          <w:lock w:val="sdtLocked"/>
                          <w:richText/>
                        </w:sdtPr>
                        <w:sdtContent>
                          <w:r>
                            <w:t>60.3</w:t>
                          </w:r>
                        </w:sdtContent>
                      </w:sdt>
                      <w:r>
                        <w:t>. ne rečiau kaip kartą per mėnesį 4 priede nurodytų sunkiųjų metalų matavimai 24 valandų tipiniame srautui proporcingame mėginyje;</w:t>
                      </w:r>
                    </w:p>
                  </w:sdtContent>
                </w:sdt>
                <w:sdt>
                  <w:sdtPr>
                    <w:alias w:val="60.4 p."/>
                    <w:tag w:val="part_de2cd543f0624caf91bc35ee15c8bec5"/>
                    <w:lock w:val="sdtLocked"/>
                    <w:richText/>
                  </w:sdtPr>
                  <w:sdtContent>
                    <w:p>
                      <w:pPr>
                        <w:ind w:firstLine="709"/>
                        <w:jc w:val="both"/>
                      </w:pPr>
                      <w:sdt>
                        <w:sdtPr>
                          <w:alias w:val="Numeris"/>
                          <w:tag w:val="nr_de2cd543f0624caf91bc35ee15c8bec5"/>
                          <w:lock w:val="sdtLocked"/>
                          <w:richText/>
                        </w:sdtPr>
                        <w:sdtContent>
                          <w:r>
                            <w:t>60.4</w:t>
                          </w:r>
                        </w:sdtContent>
                      </w:sdt>
                      <w:r>
                        <w:t>. ne rečiau kaip kartą per šešis mėnesius dioksinų ir furanų matavimai. Per pirmuosius 12 įrenginių eksploatacijos mėnesių šie matavimai turi būti atliekami ne rečiau kaip kartą per 3 mėnesius.</w:t>
                      </w:r>
                    </w:p>
                  </w:sdtContent>
                </w:sdt>
              </w:sdtContent>
            </w:sdt>
            <w:sdt>
              <w:sdtPr>
                <w:alias w:val="61 p."/>
                <w:tag w:val="part_e80a092d3b3447039cfb4b2287fc8646"/>
                <w:lock w:val="sdtLocked"/>
                <w:richText/>
              </w:sdtPr>
              <w:sdtContent>
                <w:p>
                  <w:pPr>
                    <w:ind w:firstLine="709"/>
                    <w:jc w:val="both"/>
                  </w:pPr>
                  <w:sdt>
                    <w:sdtPr>
                      <w:alias w:val="Numeris"/>
                      <w:tag w:val="nr_e80a092d3b3447039cfb4b2287fc8646"/>
                      <w:lock w:val="sdtLocked"/>
                      <w:richText/>
                    </w:sdtPr>
                    <w:sdtContent>
                      <w:r>
                        <w:t>61</w:t>
                      </w:r>
                    </w:sdtContent>
                  </w:sdt>
                  <w:r>
                    <w:t>. Teršalų išvalytose nuotekose monitoringas, įskaitant matavimų dažnumą, turi būti vykdomas teisės aktų nustatyta tvarka ir apibrėžtas leidime.</w:t>
                  </w:r>
                </w:p>
              </w:sdtContent>
            </w:sdt>
            <w:sdt>
              <w:sdtPr>
                <w:alias w:val="62 p."/>
                <w:tag w:val="part_2674fb83eea44002bc8cf0cba154ac7c"/>
                <w:lock w:val="sdtLocked"/>
                <w:richText/>
              </w:sdtPr>
              <w:sdtContent>
                <w:p>
                  <w:pPr>
                    <w:ind w:firstLine="709"/>
                    <w:jc w:val="both"/>
                  </w:pPr>
                  <w:sdt>
                    <w:sdtPr>
                      <w:alias w:val="Numeris"/>
                      <w:tag w:val="nr_2674fb83eea44002bc8cf0cba154ac7c"/>
                      <w:lock w:val="sdtLocked"/>
                      <w:richText/>
                    </w:sdtPr>
                    <w:sdtContent>
                      <w:r>
                        <w:t>62</w:t>
                      </w:r>
                    </w:sdtContent>
                  </w:sdt>
                  <w:r>
                    <w:t>. Laikoma, kad į vandenį išleidžiamų teršalų ribinių verčių yra laikomasi tada, kai:</w:t>
                  </w:r>
                </w:p>
                <w:sdt>
                  <w:sdtPr>
                    <w:alias w:val="62.1 p."/>
                    <w:tag w:val="part_5137153468a342b48ce1101ea6c0386c"/>
                    <w:lock w:val="sdtLocked"/>
                    <w:richText/>
                  </w:sdtPr>
                  <w:sdtContent>
                    <w:p>
                      <w:pPr>
                        <w:ind w:firstLine="709"/>
                        <w:jc w:val="both"/>
                      </w:pPr>
                      <w:sdt>
                        <w:sdtPr>
                          <w:alias w:val="Numeris"/>
                          <w:tag w:val="nr_5137153468a342b48ce1101ea6c0386c"/>
                          <w:lock w:val="sdtLocked"/>
                          <w:richText/>
                        </w:sdtPr>
                        <w:sdtContent>
                          <w:r>
                            <w:t>62.1</w:t>
                          </w:r>
                        </w:sdtContent>
                      </w:sdt>
                      <w:r>
                        <w:t>. 95 % ir 100 % visų suspenduotų kietųjų dalelių išmatuotų verčių neviršija atitinkamų 4 priede nustatytų išmetamųjų teršalų ribinių verčių;</w:t>
                      </w:r>
                    </w:p>
                  </w:sdtContent>
                </w:sdt>
                <w:sdt>
                  <w:sdtPr>
                    <w:alias w:val="62.2 p."/>
                    <w:tag w:val="part_3f0299a4ff9b4cb3ad99a37000d86f8f"/>
                    <w:lock w:val="sdtLocked"/>
                    <w:richText/>
                  </w:sdtPr>
                  <w:sdtContent>
                    <w:p>
                      <w:pPr>
                        <w:ind w:firstLine="709"/>
                        <w:jc w:val="both"/>
                      </w:pPr>
                      <w:sdt>
                        <w:sdtPr>
                          <w:alias w:val="Numeris"/>
                          <w:tag w:val="nr_3f0299a4ff9b4cb3ad99a37000d86f8f"/>
                          <w:lock w:val="sdtLocked"/>
                          <w:richText/>
                        </w:sdtPr>
                        <w:sdtContent>
                          <w:r>
                            <w:rPr>
                              <w:color w:val="000000"/>
                            </w:rPr>
                            <w:t>62.2</w:t>
                          </w:r>
                        </w:sdtContent>
                      </w:sdt>
                      <w:r>
                        <w:rPr>
                          <w:color w:val="000000"/>
                        </w:rPr>
                        <w:t>. sunkiųjų metalų nustatytos koncentracijos vertės viršija 4 priede nurodytas ribines vertes ne daugiau kaip vieną kartą per metus. Jeigu įrenginyje atliekama 20 ar daugiau sunkiųjų metalų koncentracijos matavimų per metus, 4 priede nustatytos ribinės vertės negali būti viršytos daugiau kaip 5 % ėminių;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2.3 p."/>
                    <w:tag w:val="part_239a1651bd744339a88bed05282ab2af"/>
                    <w:lock w:val="sdtLocked"/>
                    <w:richText/>
                  </w:sdtPr>
                  <w:sdtContent>
                    <w:p>
                      <w:pPr>
                        <w:ind w:firstLine="709"/>
                        <w:jc w:val="both"/>
                      </w:pPr>
                      <w:sdt>
                        <w:sdtPr>
                          <w:alias w:val="Numeris"/>
                          <w:tag w:val="nr_239a1651bd744339a88bed05282ab2af"/>
                          <w:lock w:val="sdtLocked"/>
                          <w:richText/>
                        </w:sdtPr>
                        <w:sdtContent>
                          <w:r>
                            <w:t>62.3</w:t>
                          </w:r>
                        </w:sdtContent>
                      </w:sdt>
                      <w:r>
                        <w:t>. abiejų metinių dioksinų ir furanų matavimų rezultatai neviršija 4 priede nustatytų išmetamųjų teršalų ribinių verčių.</w:t>
                      </w:r>
                    </w:p>
                  </w:sdtContent>
                </w:sdt>
              </w:sdtContent>
            </w:sdt>
            <w:sdt>
              <w:sdtPr>
                <w:alias w:val="62-1 p."/>
                <w:tag w:val="part_e6d2e298def640b6a02a260a0b31c1cc"/>
                <w:lock w:val="sdtLocked"/>
                <w:richText/>
              </w:sdtPr>
              <w:sdtContent>
                <w:p>
                  <w:pPr>
                    <w:widowControl w:val="0"/>
                    <w:ind w:firstLine="709"/>
                    <w:jc w:val="both"/>
                  </w:pPr>
                  <w:sdt>
                    <w:sdtPr>
                      <w:alias w:val="Numeris"/>
                      <w:tag w:val="nr_e6d2e298def640b6a02a260a0b31c1cc"/>
                      <w:lock w:val="sdtLocked"/>
                      <w:richText/>
                    </w:sdtPr>
                    <w:sdtContent>
                      <w:r>
                        <w:t>62</w:t>
                      </w:r>
                      <w:r>
                        <w:rPr>
                          <w:vertAlign w:val="superscript"/>
                        </w:rPr>
                        <w:t>1</w:t>
                      </w:r>
                    </w:sdtContent>
                  </w:sdt>
                  <w:r>
                    <w:t xml:space="preserve">. Matavimų rezultatus operatorius privalo registruoti ir pateikti aplinkos apsaugos valstybinės kontrolės pareigūnams, jiems pareikalavus. Ataskaitos apie į aplinką išmetamus teršalus teikiamos vadovaujantis jų rengimą ir teikimą reglamentuojančiais teisės aktais.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sdtContent>
            </w:sdt>
            <w:sdt>
              <w:sdtPr>
                <w:alias w:val="63 p."/>
                <w:tag w:val="part_e98d1f050ef647a3a44ab70996afc57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e98d1f050ef647a3a44ab70996afc57d"/>
                      <w:lock w:val="sdtLocked"/>
                      <w:richText/>
                    </w:sdtPr>
                    <w:sdtContent>
                      <w:r>
                        <w:rPr>
                          <w:szCs w:val="24"/>
                          <w:lang w:eastAsia="lt-LT"/>
                        </w:rPr>
                        <w:t>63</w:t>
                      </w:r>
                    </w:sdtContent>
                  </w:sdt>
                  <w:r>
                    <w:rPr>
                      <w:szCs w:val="24"/>
                      <w:lang w:eastAsia="lt-LT"/>
                    </w:rPr>
                    <w:t xml:space="preserve">. Jei atlikti matavimai rodo, kad viršytos šiuose Reikalavimuose nustatytos į aplinkos orą arba į vandenį išmetamų teršalų ribinės vertės, operatorius privalo  nedelsdamas  informuoti  Aplinkos apsaugos agentūrą. Informavimo būdą Aplinkos apsaugos agentūra nustato leidimuose.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C68D8A317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2006-12-04,
Žin., 2006, Nr.
135-5116 (2006-12-12), i. k. 106301MISAK00D1-564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Content>
        </w:sdt>
        <w:sdt>
          <w:sdtPr>
            <w:alias w:val="skyrius"/>
            <w:tag w:val="part_0bf0b8bb227840c8a154567665452f42"/>
            <w:lock w:val="sdtLocked"/>
            <w:richText/>
          </w:sdtPr>
          <w:sdtContent>
            <w:p>
              <w:pPr>
                <w:jc w:val="center"/>
                <w:rPr>
                  <w:b/>
                </w:rPr>
              </w:pPr>
              <w:sdt>
                <w:sdtPr>
                  <w:alias w:val="Numeris"/>
                  <w:tag w:val="nr_0bf0b8bb227840c8a154567665452f42"/>
                  <w:lock w:val="sdtLocked"/>
                  <w:richText/>
                </w:sdtPr>
                <w:sdtContent>
                  <w:r>
                    <w:rPr>
                      <w:b/>
                    </w:rPr>
                    <w:t>X</w:t>
                  </w:r>
                </w:sdtContent>
              </w:sdt>
              <w:r>
                <w:rPr>
                  <w:b/>
                </w:rPr>
                <w:t xml:space="preserve"> SKYRIUS</w:t>
              </w:r>
            </w:p>
            <w:p>
              <w:pPr>
                <w:jc w:val="center"/>
                <w:rPr>
                  <w:b/>
                </w:rPr>
              </w:pPr>
              <w:sdt>
                <w:sdtPr>
                  <w:alias w:val="Pavadinimas"/>
                  <w:tag w:val="title_0bf0b8bb227840c8a154567665452f42"/>
                  <w:lock w:val="sdtLocked"/>
                  <w:richText/>
                </w:sdtPr>
                <w:sdtContent>
                  <w:r>
                    <w:rPr>
                      <w:b/>
                    </w:rPr>
                    <w:t xml:space="preserve">NEATITIKTINĖS EKSPLOATACIJOS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d3a80c90411e7910a89ac20768b0f">
                <w:r w:rsidRPr="00532B9F">
                  <w:rPr>
                    <w:rFonts w:ascii="Times New Roman" w:eastAsia="MS Mincho" w:hAnsi="Times New Roman"/>
                    <w:sz w:val="20"/>
                    <w:i/>
                    <w:iCs/>
                    <w:color w:val="0000FF" w:themeColor="hyperlink"/>
                    <w:u w:val="single"/>
                  </w:rPr>
                  <w:t>D1-926</w:t>
                </w:r>
              </w:fldSimple>
              <w:r>
                <w:rPr>
                  <w:rFonts w:ascii="Times New Roman" w:eastAsia="MS Mincho" w:hAnsi="Times New Roman"/>
                  <w:sz w:val="20"/>
                  <w:i/>
                  <w:iCs/>
                </w:rPr>
                <w:t>,
2017-11-13,
paskelbta TAR 2017-11-14, i. k. 2017-17921        </w:t>
              </w:r>
            </w:p>
            <w:p/>
            <w:sdt>
              <w:sdtPr>
                <w:alias w:val="64 p."/>
                <w:tag w:val="part_df2a72fb84304f40b434de1d9a4638ab"/>
                <w:lock w:val="sdtLocked"/>
                <w:richText/>
              </w:sdtPr>
              <w:sdtContent>
                <w:p>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df2a72fb84304f40b434de1d9a4638ab"/>
                      <w:lock w:val="sdtLocked"/>
                      <w:richText/>
                    </w:sdtPr>
                    <w:sdtContent>
                      <w:r>
                        <w:rPr>
                          <w:rFonts w:eastAsia="Calibri"/>
                          <w:szCs w:val="24"/>
                          <w:lang w:val="en-US"/>
                        </w:rPr>
                        <w:t>64</w:t>
                      </w:r>
                    </w:sdtContent>
                  </w:sdt>
                  <w:r>
                    <w:rPr>
                      <w:rFonts w:eastAsia="Calibri"/>
                      <w:szCs w:val="24"/>
                      <w:lang w:val="en-US"/>
                    </w:rPr>
                    <w:t>.</w:t>
                  </w:r>
                  <w:r>
                    <w:rPr>
                      <w:rFonts w:ascii="Courier New" w:hAnsi="Courier New" w:cs="Courier New"/>
                      <w:sz w:val="20"/>
                      <w:lang w:eastAsia="lt-LT"/>
                    </w:rPr>
                    <w:t xml:space="preserve"> </w:t>
                  </w:r>
                  <w:r>
                    <w:rPr>
                      <w:szCs w:val="24"/>
                      <w:lang w:eastAsia="lt-LT"/>
                    </w:rPr>
                    <w:t xml:space="preserve">Aplinkos apsaugos agentūra leidime nustato bet kokio  techniškai neišvengiamų  matavimo prietaisų ar valymo įrengimų sustabdymų, sutrikimų arba gedimų didžiausią   leistiną laikotarpį,  kurio  metu į aplinkos orą ir į išvalytas nuotekas patenkančių  kontroliuojamų medžiagų koncentracijos gali  viršyti nustatytas išmetamųjų teršalų ribines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
              <w:sdtPr>
                <w:alias w:val="65 p."/>
                <w:tag w:val="part_cf8f7659cc864a5dbbbd8aa6324e43be"/>
                <w:lock w:val="sdtLocked"/>
                <w:richText/>
              </w:sdtPr>
              <w:sdtContent>
                <w:p>
                  <w:pPr>
                    <w:ind w:firstLine="709"/>
                    <w:jc w:val="both"/>
                  </w:pPr>
                  <w:sdt>
                    <w:sdtPr>
                      <w:alias w:val="Numeris"/>
                      <w:tag w:val="nr_cf8f7659cc864a5dbbbd8aa6324e43be"/>
                      <w:lock w:val="sdtLocked"/>
                      <w:richText/>
                    </w:sdtPr>
                    <w:sdtContent>
                      <w:r>
                        <w:t>65</w:t>
                      </w:r>
                    </w:sdtContent>
                  </w:sdt>
                  <w:r>
                    <w:t>. Bet kokio eksploatacijos sutrikimo atveju operatorius privalo kiek įmanoma skubiau pristabdyti ar nutraukti įrenginio darbą, kol bus atkurtos normalios eksploatacijos sąlygos.</w:t>
                  </w:r>
                </w:p>
              </w:sdtContent>
            </w:sdt>
            <w:sdt>
              <w:sdtPr>
                <w:alias w:val="66 p."/>
                <w:tag w:val="part_9f08981508cc473db44a15b38900fd9c"/>
                <w:lock w:val="sdtLocked"/>
                <w:richText/>
              </w:sdtPr>
              <w:sdtContent>
                <w:p>
                  <w:pPr>
                    <w:ind w:firstLine="709"/>
                    <w:jc w:val="both"/>
                  </w:pPr>
                  <w:sdt>
                    <w:sdtPr>
                      <w:alias w:val="Numeris"/>
                      <w:tag w:val="nr_9f08981508cc473db44a15b38900fd9c"/>
                      <w:lock w:val="sdtLocked"/>
                      <w:richText/>
                    </w:sdtPr>
                    <w:sdtContent>
                      <w:r>
                        <w:rPr>
                          <w:color w:val="000000"/>
                        </w:rPr>
                        <w:t>66</w:t>
                      </w:r>
                    </w:sdtContent>
                  </w:sdt>
                  <w:r>
                    <w:rPr>
                      <w:color w:val="000000"/>
                    </w:rPr>
                    <w:t xml:space="preserve">. </w:t>
                  </w:r>
                  <w:r>
                    <w:rPr>
                      <w:bCs/>
                      <w:color w:val="000000"/>
                    </w:rPr>
                    <w:t xml:space="preserve">Vadovaujantis </w:t>
                  </w:r>
                  <w:r>
                    <w:rPr>
                      <w:color w:val="000000"/>
                    </w:rPr>
                    <w:t xml:space="preserve">Reikalavimų 21.3 papunkčio </w:t>
                  </w:r>
                  <w:r>
                    <w:rPr>
                      <w:bCs/>
                      <w:color w:val="000000"/>
                    </w:rPr>
                    <w:t>nuostatomis</w:t>
                  </w:r>
                  <w:r>
                    <w:rPr>
                      <w:color w:val="000000"/>
                    </w:rPr>
                    <w:t>, deginimo ar bendro deginimo įrenginyje ar atskiroje deginimo linijoje atliekos negali būti deginamos ilgiau kaip 4 valandas iš eilės, jei viršijamos išmetamųjų teršalų ribinės vertės. Tokiomis sąlygomis įrenginys ar deginimo linija, turinti atskirą išmetamųjų dujų valymo sistemą, gali dirbti ne ilgiau kaip 60 valandų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67 p."/>
                <w:tag w:val="part_e7ea653c106d4e0ea431e1deceddff7f"/>
                <w:lock w:val="sdtLocked"/>
                <w:richText/>
              </w:sdtPr>
              <w:sdtContent>
                <w:p>
                  <w:pPr>
                    <w:ind w:firstLine="709"/>
                    <w:jc w:val="both"/>
                  </w:pPr>
                  <w:sdt>
                    <w:sdtPr>
                      <w:alias w:val="Numeris"/>
                      <w:tag w:val="nr_e7ea653c106d4e0ea431e1deceddff7f"/>
                      <w:lock w:val="sdtLocked"/>
                      <w:richText/>
                    </w:sdtPr>
                    <w:sdtContent>
                      <w:r>
                        <w:t>67</w:t>
                      </w:r>
                    </w:sdtContent>
                  </w:sdt>
                  <w:r>
                    <w:t>. Deginimo įrenginio į aplinkos orą išmetamas bendras dulkių kiekis, išreikštas pusės valandos vidutine verte, negali viršyti 150 mg/Nm</w:t>
                  </w:r>
                  <w:r>
                    <w:rPr>
                      <w:vertAlign w:val="superscript"/>
                    </w:rPr>
                    <w:t>3</w:t>
                  </w:r>
                  <w:r>
                    <w:t>. Negali būti viršijamos</w:t>
                  </w:r>
                  <w:r>
                    <w:rPr>
                      <w:bCs/>
                    </w:rPr>
                    <w:t xml:space="preserve"> Reikalavimų</w:t>
                  </w:r>
                  <w:r>
                    <w:t> 5 priede nustatytos CO ir BOA ribinės vertės,</w:t>
                  </w:r>
                  <w:r>
                    <w:rPr>
                      <w:bCs/>
                    </w:rPr>
                    <w:t xml:space="preserve"> Taršos leidimų išdavimo, pakeitimo ir galiojimo panaikinimo taisyklių, patvirtintų Lietuvos Respublikos aplinkos ministro 2014 m. kovo 6 d. įsakymu Nr. D1-259 „Dėl Taršos leidimų išdavimo, pakeitimo ir galiojimo panaikinimo taisyklių patvirtinimo“, arba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leidime nustatytos į aplinkos orą išmetamųjų teršalų ribinės vertės neįprastomis (neatitiktinėmis) veiklos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Content>
        </w:sdt>
        <w:sdt>
          <w:sdtPr>
            <w:alias w:val="skyrius"/>
            <w:tag w:val="part_1385f4432b5a49c8bfc3b7d1f5395231"/>
            <w:lock w:val="sdtLocked"/>
            <w:richText/>
          </w:sdtPr>
          <w:sdtContent>
            <w:p>
              <w:pPr>
                <w:jc w:val="center"/>
                <w:rPr>
                  <w:b/>
                </w:rPr>
              </w:pPr>
              <w:sdt>
                <w:sdtPr>
                  <w:alias w:val="Numeris"/>
                  <w:tag w:val="nr_1385f4432b5a49c8bfc3b7d1f5395231"/>
                  <w:lock w:val="sdtLocked"/>
                  <w:richText/>
                </w:sdtPr>
                <w:sdtContent>
                  <w:r>
                    <w:rPr>
                      <w:b/>
                    </w:rPr>
                    <w:t>XI</w:t>
                  </w:r>
                </w:sdtContent>
              </w:sdt>
              <w:r>
                <w:rPr>
                  <w:b/>
                </w:rPr>
                <w:t xml:space="preserve"> SKYRIUS</w:t>
              </w:r>
            </w:p>
            <w:p>
              <w:pPr>
                <w:jc w:val="center"/>
                <w:rPr>
                  <w:b/>
                </w:rPr>
              </w:pPr>
              <w:sdt>
                <w:sdtPr>
                  <w:alias w:val="Pavadinimas"/>
                  <w:tag w:val="title_1385f4432b5a49c8bfc3b7d1f5395231"/>
                  <w:lock w:val="sdtLocked"/>
                  <w:richText/>
                </w:sdtPr>
                <w:sdtContent>
                  <w:r>
                    <w:rPr>
                      <w:b/>
                    </w:rPr>
                    <w:t>RADIOAKTYVIŲJŲ ATLIEKŲ DEGINIMAS</w:t>
                  </w:r>
                </w:sdtContent>
              </w:sdt>
            </w:p>
            <w:p>
              <w:pPr>
                <w:ind w:firstLine="709"/>
                <w:jc w:val="both"/>
                <w:rPr>
                  <w:b/>
                  <w:bCs/>
                </w:rPr>
              </w:pPr>
            </w:p>
            <w:sdt>
              <w:sdtPr>
                <w:alias w:val="68 p."/>
                <w:tag w:val="part_08a15b3240744dfc96fba4844186c100"/>
                <w:lock w:val="sdtLocked"/>
                <w:richText/>
              </w:sdtPr>
              <w:sdtContent>
                <w:p>
                  <w:pPr>
                    <w:ind w:firstLine="709"/>
                    <w:jc w:val="both"/>
                    <w:rPr>
                      <w:bCs/>
                    </w:rPr>
                  </w:pPr>
                  <w:sdt>
                    <w:sdtPr>
                      <w:alias w:val="Numeris"/>
                      <w:tag w:val="nr_08a15b3240744dfc96fba4844186c100"/>
                      <w:lock w:val="sdtLocked"/>
                      <w:richText/>
                    </w:sdtPr>
                    <w:sdtContent>
                      <w:r>
                        <w:rPr>
                          <w:bCs/>
                        </w:rPr>
                        <w:t>68</w:t>
                      </w:r>
                    </w:sdtContent>
                  </w:sdt>
                  <w:r>
                    <w:rPr>
                      <w:bCs/>
                    </w:rPr>
                    <w:t>. Radioaktyviųjų atliekų deginimo įrenginys (toliau – įrenginys) turi būti eksploatuojamas neviršijant į aplinkos orą išmetamųjų teršalų ribinių verčių, nurodytų Reikalavimų 5 priede.</w:t>
                  </w:r>
                </w:p>
              </w:sdtContent>
            </w:sdt>
            <w:sdt>
              <w:sdtPr>
                <w:alias w:val="69 p."/>
                <w:tag w:val="part_91a22920c5b64921ad1d8a83a7efcf83"/>
                <w:lock w:val="sdtLocked"/>
                <w:richText/>
              </w:sdtPr>
              <w:sdtContent>
                <w:p>
                  <w:pPr>
                    <w:ind w:firstLine="709"/>
                    <w:jc w:val="both"/>
                    <w:rPr>
                      <w:bCs/>
                    </w:rPr>
                  </w:pPr>
                  <w:sdt>
                    <w:sdtPr>
                      <w:alias w:val="Numeris"/>
                      <w:tag w:val="nr_91a22920c5b64921ad1d8a83a7efcf83"/>
                      <w:lock w:val="sdtLocked"/>
                      <w:richText/>
                    </w:sdtPr>
                    <w:sdtContent>
                      <w:r>
                        <w:rPr>
                          <w:bCs/>
                        </w:rPr>
                        <w:t>69</w:t>
                      </w:r>
                    </w:sdtContent>
                  </w:sdt>
                  <w:r>
                    <w:rPr>
                      <w:bCs/>
                    </w:rPr>
                    <w:t>. Vadovaujantis Reikalavimų 3 priedo nuostatomis, įrenginyje turi būti atliekami:</w:t>
                  </w:r>
                </w:p>
                <w:sdt>
                  <w:sdtPr>
                    <w:alias w:val="69.1 pp."/>
                    <w:tag w:val="part_ecd237af3a184015a799e5a1b80882c6"/>
                    <w:lock w:val="sdtLocked"/>
                    <w:richText/>
                  </w:sdtPr>
                  <w:sdtContent>
                    <w:p>
                      <w:pPr>
                        <w:ind w:firstLine="709"/>
                        <w:jc w:val="both"/>
                        <w:rPr>
                          <w:bCs/>
                        </w:rPr>
                      </w:pPr>
                      <w:sdt>
                        <w:sdtPr>
                          <w:alias w:val="Numeris"/>
                          <w:tag w:val="nr_ecd237af3a184015a799e5a1b80882c6"/>
                          <w:lock w:val="sdtLocked"/>
                          <w:richText/>
                        </w:sdtPr>
                        <w:sdtContent>
                          <w:r>
                            <w:rPr>
                              <w:bCs/>
                            </w:rPr>
                            <w:t>69.1</w:t>
                          </w:r>
                        </w:sdtContent>
                      </w:sdt>
                      <w:r>
                        <w:rPr>
                          <w:bCs/>
                        </w:rPr>
                        <w:t>. nuolatiniai išmetamųjų į aplinkos orą teršalų NOx, CO, dulkių, BOA, HCl, HF, SO</w:t>
                      </w:r>
                      <w:r>
                        <w:rPr>
                          <w:bCs/>
                          <w:vertAlign w:val="subscript"/>
                        </w:rPr>
                        <w:t>2</w:t>
                      </w:r>
                      <w:r>
                        <w:rPr>
                          <w:bCs/>
                        </w:rPr>
                        <w:t xml:space="preserve"> koncentracijos matavimai;</w:t>
                      </w:r>
                    </w:p>
                  </w:sdtContent>
                </w:sdt>
                <w:sdt>
                  <w:sdtPr>
                    <w:alias w:val="69.2 pp."/>
                    <w:tag w:val="part_f52a7d22a413436087dd3b8c4b5abcb5"/>
                    <w:lock w:val="sdtLocked"/>
                    <w:richText/>
                  </w:sdtPr>
                  <w:sdtContent>
                    <w:p>
                      <w:pPr>
                        <w:ind w:firstLine="709"/>
                        <w:jc w:val="both"/>
                        <w:rPr>
                          <w:bCs/>
                        </w:rPr>
                      </w:pPr>
                      <w:sdt>
                        <w:sdtPr>
                          <w:alias w:val="Numeris"/>
                          <w:tag w:val="nr_f52a7d22a413436087dd3b8c4b5abcb5"/>
                          <w:lock w:val="sdtLocked"/>
                          <w:richText/>
                        </w:sdtPr>
                        <w:sdtContent>
                          <w:r>
                            <w:rPr>
                              <w:bCs/>
                            </w:rPr>
                            <w:t>69.2</w:t>
                          </w:r>
                        </w:sdtContent>
                      </w:sdt>
                      <w:r>
                        <w:rPr>
                          <w:bCs/>
                        </w:rPr>
                        <w:t>. vienas sunkiųjų metalų, dioksinų ir furanų koncentracijos matavimas ne rečiau kaip kas 2750 įrenginio eksploatavimo valandų, į kurias neįskaičiuojamas įrenginio paleidimo ir stabdymo laikas (toliau – įprasto veikimo valandos). Pradėjus eksploatuoti naują įrenginį, pirmieji 4 matavimai turi būti atliekami ne rečiau kaip kas 500 įprasto veikimo valandų.</w:t>
                      </w:r>
                    </w:p>
                  </w:sdtContent>
                </w:sdt>
              </w:sdtContent>
            </w:sdt>
            <w:sdt>
              <w:sdtPr>
                <w:alias w:val="70 p."/>
                <w:tag w:val="part_a949241f69ff48d8aafe92e7c73bc4c1"/>
                <w:lock w:val="sdtLocked"/>
                <w:richText/>
              </w:sdtPr>
              <w:sdtContent>
                <w:p>
                  <w:pPr>
                    <w:ind w:firstLine="709"/>
                    <w:jc w:val="both"/>
                    <w:rPr>
                      <w:color w:val="000000"/>
                    </w:rPr>
                  </w:pPr>
                  <w:sdt>
                    <w:sdtPr>
                      <w:alias w:val="Numeris"/>
                      <w:tag w:val="nr_a949241f69ff48d8aafe92e7c73bc4c1"/>
                      <w:lock w:val="sdtLocked"/>
                      <w:richText/>
                    </w:sdtPr>
                    <w:sdtContent>
                      <w:r>
                        <w:rPr>
                          <w:color w:val="000000"/>
                        </w:rPr>
                        <w:t>70</w:t>
                      </w:r>
                    </w:sdtContent>
                  </w:sdt>
                  <w:r>
                    <w:rPr>
                      <w:color w:val="000000"/>
                    </w:rPr>
                    <w:t xml:space="preserve">. Nuolat matuoti HF koncentracijos nebūtina, jei įrenginyje naudojama HCl neutralizavimo sistema, skirta HCl ribinės vertės laikymuisi užtikrinti. Šiuo atveju HF koncentracija matuojama periodiškai, kaip nustatyta Reikalavimų 69.2 </w:t>
                  </w:r>
                  <w:r>
                    <w:rPr>
                      <w:bCs/>
                      <w:color w:val="000000"/>
                    </w:rPr>
                    <w:t>pa</w:t>
                  </w:r>
                  <w:r>
                    <w:rPr>
                      <w:color w:val="000000"/>
                    </w:rPr>
                    <w:t>punkt</w:t>
                  </w:r>
                  <w:r>
                    <w:rPr>
                      <w:bCs/>
                      <w:color w:val="000000"/>
                    </w:rPr>
                    <w:t>yj</w:t>
                  </w:r>
                  <w:r>
                    <w:rPr>
                      <w:color w:val="000000"/>
                    </w:rPr>
                    <w:t>e.</w:t>
                  </w:r>
                </w:p>
              </w:sdtContent>
            </w:sdt>
            <w:sdt>
              <w:sdtPr>
                <w:alias w:val="71 p."/>
                <w:tag w:val="part_c10a100547864861b1c0551e87ba1bfb"/>
                <w:lock w:val="sdtLocked"/>
                <w:richText/>
              </w:sdtPr>
              <w:sdtContent>
                <w:p>
                  <w:pPr>
                    <w:ind w:firstLine="709"/>
                    <w:jc w:val="both"/>
                    <w:rPr>
                      <w:color w:val="000000"/>
                    </w:rPr>
                  </w:pPr>
                  <w:sdt>
                    <w:sdtPr>
                      <w:alias w:val="Numeris"/>
                      <w:tag w:val="nr_c10a100547864861b1c0551e87ba1bfb"/>
                      <w:lock w:val="sdtLocked"/>
                      <w:richText/>
                    </w:sdtPr>
                    <w:sdtContent>
                      <w:r>
                        <w:rPr>
                          <w:color w:val="000000"/>
                        </w:rPr>
                        <w:t>71</w:t>
                      </w:r>
                    </w:sdtContent>
                  </w:sdt>
                  <w:r>
                    <w:rPr>
                      <w:color w:val="000000"/>
                    </w:rPr>
                    <w:t>. Nuolatinis dulkių koncentracijos matavimas gali būti pakeistas periodišku dulkių koncentracijos matavimu: ne mažiau kaip vienas matavimas įrenginio kiekvieno paleidimo valandomis; vienas matavimas ne rečiau kaip kas 150</w:t>
                  </w:r>
                  <w:r>
                    <w:rPr>
                      <w:bCs/>
                    </w:rPr>
                    <w:t xml:space="preserve"> įprasto veikimo valandų;</w:t>
                  </w:r>
                  <w:r>
                    <w:rPr>
                      <w:color w:val="000000"/>
                    </w:rPr>
                    <w:t xml:space="preserve"> ne mažiau kaip vienas – įrenginio kiekvieno stabdymo valandomis. </w:t>
                  </w:r>
                  <w:r>
                    <w:rPr>
                      <w:bCs/>
                    </w:rPr>
                    <w:t>Kai trejus metus iš eilės eksploatuojant įrenginį nenustatomas dulkių koncentracijos ribinės vertės viršijimas, dulkių koncentracijos matavimas gali būti atliekamas periodiškai:</w:t>
                  </w:r>
                  <w:r>
                    <w:rPr>
                      <w:color w:val="000000"/>
                    </w:rPr>
                    <w:t xml:space="preserve"> ne mažiau kaip vienas matavimas įrenginio kiekvieno paleidimo valandomis; ne mažiau kaip </w:t>
                  </w:r>
                  <w:r>
                    <w:rPr>
                      <w:bCs/>
                    </w:rPr>
                    <w:t>vienas matavimas įprasto veikimo valandomis;</w:t>
                  </w:r>
                  <w:r>
                    <w:rPr>
                      <w:color w:val="000000"/>
                    </w:rPr>
                    <w:t xml:space="preserve"> ne mažiau kaip vienas – įrenginio kiekvieno stabdymo valandomis.</w:t>
                  </w:r>
                </w:p>
              </w:sdtContent>
            </w:sdt>
            <w:sdt>
              <w:sdtPr>
                <w:alias w:val="72 p."/>
                <w:tag w:val="part_6c0819a9817f4a2c9a2e274daca0fa2d"/>
                <w:lock w:val="sdtLocked"/>
                <w:richText/>
              </w:sdtPr>
              <w:sdtContent>
                <w:p>
                  <w:pPr>
                    <w:ind w:firstLine="709"/>
                    <w:jc w:val="both"/>
                    <w:rPr>
                      <w:bCs/>
                    </w:rPr>
                  </w:pPr>
                  <w:sdt>
                    <w:sdtPr>
                      <w:alias w:val="Numeris"/>
                      <w:tag w:val="nr_6c0819a9817f4a2c9a2e274daca0fa2d"/>
                      <w:lock w:val="sdtLocked"/>
                      <w:richText/>
                    </w:sdtPr>
                    <w:sdtContent>
                      <w:r>
                        <w:rPr>
                          <w:bCs/>
                        </w:rPr>
                        <w:t>72</w:t>
                      </w:r>
                    </w:sdtContent>
                  </w:sdt>
                  <w:r>
                    <w:rPr>
                      <w:bCs/>
                    </w:rPr>
                    <w:t>. Ne anksčiau kaip po trejų metų nuo įrenginio eksploatavimo pradžios galima atlikti vieną sunkiųjų metalų koncentracijos matavimą ne rečiau kaip kas 11000 įprasto veikimo valandų, vieną dioksinų ir furanų koncentracijos matavimą ne rečiau kaip kas 5500 įprasto veikimo valandų, kai įrenginio operatorius, remdamasis pagal Reikalavimų 69.2 papunktį atliktų matavimų rezultatus patvirtinančiais dokumentais ir pagal Reikalavimų 83 punktą atliktų valstybinių laboratorinių tyrimų rezultatais,</w:t>
                  </w:r>
                  <w:r>
                    <w:rPr>
                      <w:color w:val="000000"/>
                    </w:rPr>
                    <w:t xml:space="preserve"> Departamentui</w:t>
                  </w:r>
                  <w:r>
                    <w:rPr>
                      <w:bCs/>
                    </w:rPr>
                    <w:t xml:space="preserve"> gali įrodyti, kad kiekvieno Reikalavimų 5 priede nurodyto teršalo koncentracija neviršijo 50 % to teršalo ribinės vertės.</w:t>
                  </w:r>
                </w:p>
              </w:sdtContent>
            </w:sdt>
            <w:sdt>
              <w:sdtPr>
                <w:alias w:val="73 p."/>
                <w:tag w:val="part_8ecfd9616afc466f88b6ad14ee17097b"/>
                <w:lock w:val="sdtLocked"/>
                <w:richText/>
              </w:sdtPr>
              <w:sdtContent>
                <w:p>
                  <w:pPr>
                    <w:ind w:firstLine="709"/>
                    <w:jc w:val="both"/>
                    <w:rPr>
                      <w:bCs/>
                    </w:rPr>
                  </w:pPr>
                  <w:sdt>
                    <w:sdtPr>
                      <w:alias w:val="Numeris"/>
                      <w:tag w:val="nr_8ecfd9616afc466f88b6ad14ee17097b"/>
                      <w:lock w:val="sdtLocked"/>
                      <w:richText/>
                    </w:sdtPr>
                    <w:sdtContent>
                      <w:r>
                        <w:rPr>
                          <w:bCs/>
                        </w:rPr>
                        <w:t>73</w:t>
                      </w:r>
                    </w:sdtContent>
                  </w:sdt>
                  <w:r>
                    <w:rPr>
                      <w:bCs/>
                    </w:rPr>
                    <w:t>. Norint nustatyti, ar neviršijamos į aplinkos orą išmetamųjų teršalų ribinės vertės, matavimų rezultatai perskaičiuojami vadovaujantis Reikalavimų 5 priedu, taikant Reikalavimų 74 punkte nurodytą formulę ir šias standartines sąlygas: įrenginio išmetamųjų dujų temperatūra – 273 K, slėgis – 101,3 kPa, deguonies kiekis išmetamųjų dujų tūryje – 11 % (sausos dujos) ir išmetamųjų dujų, susidarančių deginant skystąsias radioaktyviąsias atliekas, deguonies kiekis jų tūryje – 3 % (sausos dujos).</w:t>
                  </w:r>
                </w:p>
              </w:sdtContent>
            </w:sdt>
            <w:sdt>
              <w:sdtPr>
                <w:alias w:val="74 p."/>
                <w:tag w:val="part_84f73ca570b74c0e85af5b943977cb20"/>
                <w:lock w:val="sdtLocked"/>
                <w:richText/>
              </w:sdtPr>
              <w:sdtContent>
                <w:p>
                  <w:pPr>
                    <w:ind w:firstLine="709"/>
                    <w:jc w:val="both"/>
                  </w:pPr>
                  <w:sdt>
                    <w:sdtPr>
                      <w:alias w:val="Numeris"/>
                      <w:tag w:val="nr_84f73ca570b74c0e85af5b943977cb20"/>
                      <w:lock w:val="sdtLocked"/>
                      <w:richText/>
                    </w:sdtPr>
                    <w:sdtContent>
                      <w:r>
                        <w:t>74</w:t>
                      </w:r>
                    </w:sdtContent>
                  </w:sdt>
                  <w:r>
                    <w:t>. Išmetamųjų teršalų koncentracija, esant standartiniam deguonies kiekiui, apskaičiuojama pagal formulę:</w:t>
                  </w:r>
                </w:p>
                <w:p>
                  <w:pPr>
                    <w:ind w:firstLine="709"/>
                    <w:jc w:val="both"/>
                  </w:pPr>
                </w:p>
                <w:tbl>
                  <w:tblPr>
                    <w:tblW w:w="9637" w:type="dxa"/>
                    <w:tblLook w:val="01E0" w:firstRow="1" w:lastRow="1" w:firstColumn="1" w:lastColumn="1" w:noHBand="0" w:noVBand="0"/>
                  </w:tblPr>
                  <w:tblGrid>
                    <w:gridCol w:w="2552"/>
                    <w:gridCol w:w="3081"/>
                    <w:gridCol w:w="4004"/>
                  </w:tblGrid>
                  <w:tr>
                    <w:tc>
                      <w:tcPr>
                        <w:tcW w:w="1175" w:type="dxa"/>
                        <w:vMerge w:val="restart"/>
                        <w:tcBorders>
                          <w:top w:val="nil"/>
                          <w:left w:val="nil"/>
                          <w:bottom w:val="nil"/>
                          <w:right w:val="nil"/>
                        </w:tcBorders>
                        <w:vAlign w:val="center"/>
                      </w:tcPr>
                      <w:p>
                        <w:pPr>
                          <w:jc w:val="right"/>
                          <w:rPr>
                            <w:szCs w:val="24"/>
                          </w:rPr>
                        </w:pPr>
                        <w:r>
                          <w:rPr>
                            <w:szCs w:val="24"/>
                          </w:rPr>
                          <w:t>E</w:t>
                        </w:r>
                        <w:r>
                          <w:rPr>
                            <w:szCs w:val="24"/>
                            <w:vertAlign w:val="subscript"/>
                          </w:rPr>
                          <w:t>S</w:t>
                        </w:r>
                        <w:r>
                          <w:rPr>
                            <w:szCs w:val="24"/>
                          </w:rPr>
                          <w:t xml:space="preserve"> =</w:t>
                        </w:r>
                      </w:p>
                    </w:tc>
                    <w:tc>
                      <w:tcPr>
                        <w:tcW w:w="1418" w:type="dxa"/>
                        <w:tcBorders>
                          <w:top w:val="nil"/>
                          <w:left w:val="nil"/>
                          <w:bottom w:val="single" w:sz="4" w:space="0" w:color="auto"/>
                          <w:right w:val="nil"/>
                        </w:tcBorders>
                      </w:tcPr>
                      <w:p>
                        <w:pPr>
                          <w:jc w:val="center"/>
                          <w:rPr>
                            <w:szCs w:val="24"/>
                          </w:rPr>
                        </w:pPr>
                        <w:r>
                          <w:rPr>
                            <w:szCs w:val="24"/>
                          </w:rPr>
                          <w:t>21-O</w:t>
                        </w:r>
                        <w:r>
                          <w:rPr>
                            <w:szCs w:val="24"/>
                            <w:vertAlign w:val="subscript"/>
                          </w:rPr>
                          <w:t>S</w:t>
                        </w:r>
                      </w:p>
                    </w:tc>
                    <w:tc>
                      <w:tcPr>
                        <w:tcW w:w="1843" w:type="dxa"/>
                        <w:vMerge w:val="restart"/>
                        <w:tcBorders>
                          <w:top w:val="nil"/>
                          <w:left w:val="nil"/>
                          <w:bottom w:val="nil"/>
                          <w:right w:val="nil"/>
                        </w:tcBorders>
                        <w:vAlign w:val="center"/>
                      </w:tcPr>
                      <w:p>
                        <w:pPr>
                          <w:rPr>
                            <w:szCs w:val="24"/>
                          </w:rPr>
                        </w:pPr>
                        <w:r>
                          <w:rPr>
                            <w:szCs w:val="24"/>
                          </w:rPr>
                          <w:t>× E</w:t>
                        </w:r>
                        <w:r>
                          <w:rPr>
                            <w:szCs w:val="24"/>
                            <w:vertAlign w:val="subscript"/>
                          </w:rPr>
                          <w:t>M</w:t>
                        </w:r>
                        <w:r>
                          <w:rPr>
                            <w:szCs w:val="24"/>
                          </w:rPr>
                          <w:t>,</w:t>
                        </w:r>
                      </w:p>
                    </w:tc>
                  </w:tr>
                  <w:tr>
                    <w:tc>
                      <w:tcPr>
                        <w:tcW w:w="1175" w:type="dxa"/>
                        <w:vMerge/>
                        <w:tcBorders>
                          <w:top w:val="nil"/>
                          <w:left w:val="nil"/>
                          <w:bottom w:val="nil"/>
                          <w:right w:val="nil"/>
                        </w:tcBorders>
                        <w:vAlign w:val="center"/>
                      </w:tcPr>
                      <w:p>
                        <w:pPr>
                          <w:rPr>
                            <w:szCs w:val="24"/>
                          </w:rPr>
                        </w:pPr>
                      </w:p>
                    </w:tc>
                    <w:tc>
                      <w:tcPr>
                        <w:tcW w:w="1418" w:type="dxa"/>
                        <w:tcBorders>
                          <w:top w:val="single" w:sz="4" w:space="0" w:color="auto"/>
                          <w:left w:val="nil"/>
                          <w:bottom w:val="nil"/>
                          <w:right w:val="nil"/>
                        </w:tcBorders>
                      </w:tcPr>
                      <w:p>
                        <w:pPr>
                          <w:jc w:val="center"/>
                          <w:rPr>
                            <w:szCs w:val="24"/>
                          </w:rPr>
                        </w:pPr>
                        <w:r>
                          <w:rPr>
                            <w:szCs w:val="24"/>
                          </w:rPr>
                          <w:t>21-O</w:t>
                        </w:r>
                        <w:r>
                          <w:rPr>
                            <w:szCs w:val="24"/>
                            <w:vertAlign w:val="subscript"/>
                          </w:rPr>
                          <w:t>M</w:t>
                        </w:r>
                      </w:p>
                    </w:tc>
                    <w:tc>
                      <w:tcPr>
                        <w:tcW w:w="1843" w:type="dxa"/>
                        <w:vMerge/>
                        <w:tcBorders>
                          <w:top w:val="nil"/>
                          <w:left w:val="nil"/>
                          <w:bottom w:val="nil"/>
                          <w:right w:val="nil"/>
                        </w:tcBorders>
                        <w:vAlign w:val="center"/>
                      </w:tcPr>
                      <w:p>
                        <w:pPr>
                          <w:rPr>
                            <w:szCs w:val="24"/>
                          </w:rPr>
                        </w:pPr>
                      </w:p>
                    </w:tc>
                  </w:tr>
                </w:tbl>
                <w:p>
                  <w:pPr>
                    <w:ind w:firstLine="709"/>
                    <w:jc w:val="both"/>
                  </w:pPr>
                  <w:r>
                    <w:t>kur:</w:t>
                  </w:r>
                </w:p>
                <w:p>
                  <w:pPr>
                    <w:ind w:firstLine="709"/>
                    <w:jc w:val="both"/>
                  </w:pPr>
                  <w:r>
                    <w:t>E</w:t>
                  </w:r>
                  <w:r>
                    <w:rPr>
                      <w:vertAlign w:val="subscript"/>
                    </w:rPr>
                    <w:t>S</w:t>
                  </w:r>
                  <w:r>
                    <w:t xml:space="preserve"> – išmetamo teršalo koncentracija, esant standartiniam deguonies kiekiui;</w:t>
                  </w:r>
                </w:p>
                <w:p>
                  <w:pPr>
                    <w:ind w:firstLine="709"/>
                    <w:jc w:val="both"/>
                  </w:pPr>
                  <w:r>
                    <w:t>E</w:t>
                  </w:r>
                  <w:r>
                    <w:rPr>
                      <w:vertAlign w:val="subscript"/>
                    </w:rPr>
                    <w:t>M</w:t>
                  </w:r>
                  <w:r>
                    <w:t xml:space="preserve"> – išmatuota išmetamojo teršalo koncentracija;</w:t>
                  </w:r>
                </w:p>
                <w:p>
                  <w:pPr>
                    <w:ind w:firstLine="709"/>
                    <w:jc w:val="both"/>
                  </w:pPr>
                  <w:r>
                    <w:t>O</w:t>
                  </w:r>
                  <w:r>
                    <w:rPr>
                      <w:vertAlign w:val="subscript"/>
                    </w:rPr>
                    <w:t>S</w:t>
                  </w:r>
                  <w:r>
                    <w:t xml:space="preserve"> – standartinis deguonies kiekis;</w:t>
                  </w:r>
                </w:p>
                <w:p>
                  <w:pPr>
                    <w:ind w:firstLine="709"/>
                    <w:jc w:val="both"/>
                  </w:pPr>
                  <w:r>
                    <w:t>O</w:t>
                  </w:r>
                  <w:r>
                    <w:rPr>
                      <w:vertAlign w:val="subscript"/>
                    </w:rPr>
                    <w:t>M</w:t>
                  </w:r>
                  <w:r>
                    <w:t xml:space="preserve"> – išmatuotas deguonies kiekis.</w:t>
                  </w:r>
                </w:p>
              </w:sdtContent>
            </w:sdt>
            <w:sdt>
              <w:sdtPr>
                <w:alias w:val="75 p."/>
                <w:tag w:val="part_a22cb5fa41cf47c59c43ca132108a30f"/>
                <w:lock w:val="sdtLocked"/>
                <w:richText/>
              </w:sdtPr>
              <w:sdtContent>
                <w:p>
                  <w:pPr>
                    <w:ind w:firstLine="709"/>
                    <w:jc w:val="both"/>
                    <w:rPr>
                      <w:color w:val="000000"/>
                    </w:rPr>
                  </w:pPr>
                  <w:sdt>
                    <w:sdtPr>
                      <w:alias w:val="Numeris"/>
                      <w:tag w:val="nr_a22cb5fa41cf47c59c43ca132108a30f"/>
                      <w:lock w:val="sdtLocked"/>
                      <w:richText/>
                    </w:sdtPr>
                    <w:sdtContent>
                      <w:r>
                        <w:rPr>
                          <w:color w:val="000000"/>
                        </w:rPr>
                        <w:t>75</w:t>
                      </w:r>
                    </w:sdtContent>
                  </w:sdt>
                  <w:r>
                    <w:rPr>
                      <w:color w:val="000000"/>
                    </w:rPr>
                    <w:t xml:space="preserve">. </w:t>
                  </w:r>
                  <w:r>
                    <w:rPr>
                      <w:bCs/>
                    </w:rPr>
                    <w:t xml:space="preserve">Įrenginio operatorius </w:t>
                  </w:r>
                  <w:r>
                    <w:rPr>
                      <w:color w:val="000000"/>
                    </w:rPr>
                    <w:t>registruoja, apdoroja, saugo rašytine ir (ar) elektronine forma ir Departamentui pareikalavus teikia jam iš įrenginio išmetamųjų teršalų koncentracijos ir koncentracijai apskaičiuoti reikalingų degimo proceso parametrų matavimų rezultatus, kad vykdant aplinkos apsaugos valstybinę kontrolę būtų galima įvertinti, ar laikomasi išmetamųjų teršalų ribinių verčių.</w:t>
                  </w:r>
                </w:p>
              </w:sdtContent>
            </w:sdt>
            <w:sdt>
              <w:sdtPr>
                <w:alias w:val="76 p."/>
                <w:tag w:val="part_fc8c6a5b52524477ae944c1d43547524"/>
                <w:lock w:val="sdtLocked"/>
                <w:richText/>
              </w:sdtPr>
              <w:sdtContent>
                <w:p>
                  <w:pPr>
                    <w:ind w:firstLine="709"/>
                    <w:jc w:val="both"/>
                    <w:rPr>
                      <w:bCs/>
                    </w:rPr>
                  </w:pPr>
                  <w:sdt>
                    <w:sdtPr>
                      <w:alias w:val="Numeris"/>
                      <w:tag w:val="nr_fc8c6a5b52524477ae944c1d43547524"/>
                      <w:lock w:val="sdtLocked"/>
                      <w:richText/>
                    </w:sdtPr>
                    <w:sdtContent>
                      <w:r>
                        <w:rPr>
                          <w:bCs/>
                        </w:rPr>
                        <w:t>76</w:t>
                      </w:r>
                    </w:sdtContent>
                  </w:sdt>
                  <w:r>
                    <w:rPr>
                      <w:bCs/>
                    </w:rPr>
                    <w:t>. Laikoma, kad iš įrenginio į aplinkos orą išmetamųjų teršalų ribinių verčių laikomasi, kai:</w:t>
                  </w:r>
                </w:p>
                <w:sdt>
                  <w:sdtPr>
                    <w:alias w:val="76.1 pp."/>
                    <w:tag w:val="part_77a788276e914f8784484761bf764f5e"/>
                    <w:lock w:val="sdtLocked"/>
                    <w:richText/>
                  </w:sdtPr>
                  <w:sdtContent>
                    <w:p>
                      <w:pPr>
                        <w:ind w:firstLine="709"/>
                        <w:jc w:val="both"/>
                        <w:rPr>
                          <w:bCs/>
                        </w:rPr>
                      </w:pPr>
                      <w:sdt>
                        <w:sdtPr>
                          <w:alias w:val="Numeris"/>
                          <w:tag w:val="nr_77a788276e914f8784484761bf764f5e"/>
                          <w:lock w:val="sdtLocked"/>
                          <w:richText/>
                        </w:sdtPr>
                        <w:sdtContent>
                          <w:r>
                            <w:rPr>
                              <w:bCs/>
                            </w:rPr>
                            <w:t>76.1</w:t>
                          </w:r>
                        </w:sdtContent>
                      </w:sdt>
                      <w:r>
                        <w:rPr>
                          <w:bCs/>
                        </w:rPr>
                        <w:t>. nė viena vidutinė paros koncentracijos vertė neviršija nė vienos Reikalavimų 5 priedo 1 punkte nustatytos išmetamųjų teršalų ribinės vertės; 97 % CO vidutinių paros koncentracijos verčių per metus neviršija Reikalavimų 5 priedo 5.1.1 papunktyje nustatytos vidutinės paros ribinės vertės;</w:t>
                      </w:r>
                    </w:p>
                  </w:sdtContent>
                </w:sdt>
                <w:sdt>
                  <w:sdtPr>
                    <w:alias w:val="76.2 pp."/>
                    <w:tag w:val="part_1ccadd478cea4ba09511af5c871b3d07"/>
                    <w:lock w:val="sdtLocked"/>
                    <w:richText/>
                  </w:sdtPr>
                  <w:sdtContent>
                    <w:p>
                      <w:pPr>
                        <w:ind w:firstLine="709"/>
                        <w:jc w:val="both"/>
                        <w:rPr>
                          <w:bCs/>
                        </w:rPr>
                      </w:pPr>
                      <w:sdt>
                        <w:sdtPr>
                          <w:alias w:val="Numeris"/>
                          <w:tag w:val="nr_1ccadd478cea4ba09511af5c871b3d07"/>
                          <w:lock w:val="sdtLocked"/>
                          <w:richText/>
                        </w:sdtPr>
                        <w:sdtContent>
                          <w:r>
                            <w:rPr>
                              <w:bCs/>
                            </w:rPr>
                            <w:t>76.2</w:t>
                          </w:r>
                        </w:sdtContent>
                      </w:sdt>
                      <w:r>
                        <w:rPr>
                          <w:bCs/>
                        </w:rPr>
                        <w:t>. nė viena vidutinė pusės valandos koncentracijos vertė neviršija nė vienos Reikalavimų 5 priedo 2 punkto lentelės A skiltyje nustatytos išmetamųjų teršalų ribinės vertės arba 97 % vidutinių pusės valandos koncentracijos verčių per metus neviršija nė vienos Reikalavimų 5 priedo 2 punkto lentelės B skiltyje nustatytos išmetamųjų teršalų ribinės vertės;</w:t>
                      </w:r>
                    </w:p>
                  </w:sdtContent>
                </w:sdt>
                <w:sdt>
                  <w:sdtPr>
                    <w:alias w:val="76.3 pp."/>
                    <w:tag w:val="part_d1020ee66e804dc3b389a35931397bd7"/>
                    <w:lock w:val="sdtLocked"/>
                    <w:richText/>
                  </w:sdtPr>
                  <w:sdtContent>
                    <w:p>
                      <w:pPr>
                        <w:ind w:firstLine="709"/>
                        <w:jc w:val="both"/>
                        <w:rPr>
                          <w:bCs/>
                        </w:rPr>
                      </w:pPr>
                      <w:sdt>
                        <w:sdtPr>
                          <w:alias w:val="Numeris"/>
                          <w:tag w:val="nr_d1020ee66e804dc3b389a35931397bd7"/>
                          <w:lock w:val="sdtLocked"/>
                          <w:richText/>
                        </w:sdtPr>
                        <w:sdtContent>
                          <w:r>
                            <w:rPr>
                              <w:bCs/>
                            </w:rPr>
                            <w:t>76.3</w:t>
                          </w:r>
                        </w:sdtContent>
                      </w:sdt>
                      <w:r>
                        <w:rPr>
                          <w:bCs/>
                        </w:rPr>
                        <w:t>. sunkiųjų metalų, dioksinų ir furanų nė viena vidutinė koncentracijos vertė neviršija nė vienos Reikalavimų 5 priedo 3 ir 4 punktuose nustatytos ribinės vertės;</w:t>
                      </w:r>
                    </w:p>
                  </w:sdtContent>
                </w:sdt>
                <w:sdt>
                  <w:sdtPr>
                    <w:alias w:val="76.4 pp."/>
                    <w:tag w:val="part_bccc838cd3414cfc8ba7ce9020bd68cd"/>
                    <w:lock w:val="sdtLocked"/>
                    <w:richText/>
                  </w:sdtPr>
                  <w:sdtContent>
                    <w:p>
                      <w:pPr>
                        <w:ind w:firstLine="709"/>
                        <w:jc w:val="both"/>
                        <w:rPr>
                          <w:bCs/>
                        </w:rPr>
                      </w:pPr>
                      <w:sdt>
                        <w:sdtPr>
                          <w:alias w:val="Numeris"/>
                          <w:tag w:val="nr_bccc838cd3414cfc8ba7ce9020bd68cd"/>
                          <w:lock w:val="sdtLocked"/>
                          <w:richText/>
                        </w:sdtPr>
                        <w:sdtContent>
                          <w:r>
                            <w:rPr>
                              <w:bCs/>
                            </w:rPr>
                            <w:t>76.4</w:t>
                          </w:r>
                        </w:sdtContent>
                      </w:sdt>
                      <w:r>
                        <w:rPr>
                          <w:bCs/>
                        </w:rPr>
                        <w:t>. ne mažiau kaip 95 % 10 minučių vidutinių koncentracijos verčių per 24 valandas arba visos vidutinės pusės valandos koncentracijos vertės tuo pačiu laikotarpiu neviršija Reikalavimų 5 priedo 5.1.2 ir 5.1.3 papunkčiuose nustatytų atitinkamų ribinių verčių. Įrenginiuose, kuriuose susidarančių dujų temperatūra bent dviem sekundėms pakyla iki ne mažiau kaip 1100 °C, taikomas septynių parų įvertinimo laikotarpis 10 minučių vidutinėms CO koncentracijos vertėms nustatyti.</w:t>
                      </w:r>
                    </w:p>
                  </w:sdtContent>
                </w:sdt>
              </w:sdtContent>
            </w:sdt>
            <w:sdt>
              <w:sdtPr>
                <w:alias w:val="77 p."/>
                <w:tag w:val="part_05f3fdc3e72d425daf9972c7dc88201b"/>
                <w:lock w:val="sdtLocked"/>
                <w:richText/>
              </w:sdtPr>
              <w:sdtContent>
                <w:p>
                  <w:pPr>
                    <w:ind w:firstLine="709"/>
                    <w:jc w:val="both"/>
                    <w:rPr>
                      <w:bCs/>
                    </w:rPr>
                  </w:pPr>
                  <w:sdt>
                    <w:sdtPr>
                      <w:alias w:val="Numeris"/>
                      <w:tag w:val="nr_05f3fdc3e72d425daf9972c7dc88201b"/>
                      <w:lock w:val="sdtLocked"/>
                      <w:richText/>
                    </w:sdtPr>
                    <w:sdtContent>
                      <w:r>
                        <w:rPr>
                          <w:bCs/>
                        </w:rPr>
                        <w:t>77</w:t>
                      </w:r>
                    </w:sdtContent>
                  </w:sdt>
                  <w:r>
                    <w:rPr>
                      <w:bCs/>
                    </w:rPr>
                    <w:t>. Vidutinė pusės valandos koncentracijos vertė ir 10 minučių koncentracijos vidurkis nustatomi iš įrenginio įprastomis veikimo valandomis išmatuotų koncentracijos verčių, nustatytų Reikalavimų 3 priedo 3 punkte nurodytame patikimumo intervale. Iš šių perskaičiuotų vidutinių verčių nustatoma vidutinė paros koncentracijos vertė.</w:t>
                  </w:r>
                </w:p>
              </w:sdtContent>
            </w:sdt>
            <w:sdt>
              <w:sdtPr>
                <w:alias w:val="78 p."/>
                <w:tag w:val="part_d2239224ab264b7c9835238b090406c1"/>
                <w:lock w:val="sdtLocked"/>
                <w:richText/>
              </w:sdtPr>
              <w:sdtContent>
                <w:p>
                  <w:pPr>
                    <w:ind w:firstLine="709"/>
                    <w:jc w:val="both"/>
                    <w:rPr>
                      <w:bCs/>
                    </w:rPr>
                  </w:pPr>
                  <w:sdt>
                    <w:sdtPr>
                      <w:alias w:val="Numeris"/>
                      <w:tag w:val="nr_d2239224ab264b7c9835238b090406c1"/>
                      <w:lock w:val="sdtLocked"/>
                      <w:richText/>
                    </w:sdtPr>
                    <w:sdtContent>
                      <w:r>
                        <w:rPr>
                          <w:bCs/>
                        </w:rPr>
                        <w:t>78</w:t>
                      </w:r>
                    </w:sdtContent>
                  </w:sdt>
                  <w:r>
                    <w:rPr>
                      <w:bCs/>
                    </w:rPr>
                    <w:t>. Sutrikus nuolatinio matavimo sistemai, patikimai vidutinei paros koncentracijos vertei nustatyti per parą negali būti atmestos daugiau kaip penkios vidutinės pusės valandos koncentracijos vertės, per metus negali būti atmesta daugiau kaip dešimt vidutinių paros koncentracijos verčių.</w:t>
                  </w:r>
                </w:p>
              </w:sdtContent>
            </w:sdt>
            <w:sdt>
              <w:sdtPr>
                <w:alias w:val="79 p."/>
                <w:tag w:val="part_a42486c3b4394ff89cd0f6748ed7cf79"/>
                <w:lock w:val="sdtLocked"/>
                <w:richText/>
              </w:sdtPr>
              <w:sdtContent>
                <w:p>
                  <w:pPr>
                    <w:ind w:firstLine="709"/>
                    <w:jc w:val="both"/>
                    <w:rPr>
                      <w:bCs/>
                    </w:rPr>
                  </w:pPr>
                  <w:sdt>
                    <w:sdtPr>
                      <w:alias w:val="Numeris"/>
                      <w:tag w:val="nr_a42486c3b4394ff89cd0f6748ed7cf79"/>
                      <w:lock w:val="sdtLocked"/>
                      <w:richText/>
                    </w:sdtPr>
                    <w:sdtContent>
                      <w:r>
                        <w:rPr>
                          <w:bCs/>
                        </w:rPr>
                        <w:t>79</w:t>
                      </w:r>
                    </w:sdtContent>
                  </w:sdt>
                  <w:r>
                    <w:rPr>
                      <w:bCs/>
                    </w:rPr>
                    <w:t>. Įrenginio operatorius, nustatęs bent vienos į aplinkos orą išmetamųjų teršalų ribinės vertės viršijimą (įprasto veikimo valandomis ar sutrikus įrenginiui), privalo nedelsdamas, bet ne vėliau kaip per 24 valandas raštu ir (ar) bendruoju el. paštu apie tai informuoti Departamentą ir nurodyti, kokių veiksmų ėmėsi ir (ar) nedelsdamas imsis aplinkos oro taršai sumažinti bent iki nustatytos ribinės vertės.</w:t>
                  </w:r>
                </w:p>
              </w:sdtContent>
            </w:sdt>
            <w:sdt>
              <w:sdtPr>
                <w:alias w:val="80 p."/>
                <w:tag w:val="part_426938e12c3542fcb0cb58fbd8430f3e"/>
                <w:lock w:val="sdtLocked"/>
                <w:richText/>
              </w:sdtPr>
              <w:sdtContent>
                <w:p>
                  <w:pPr>
                    <w:ind w:firstLine="709"/>
                    <w:jc w:val="both"/>
                    <w:rPr>
                      <w:bCs/>
                    </w:rPr>
                  </w:pPr>
                  <w:sdt>
                    <w:sdtPr>
                      <w:alias w:val="Numeris"/>
                      <w:tag w:val="nr_426938e12c3542fcb0cb58fbd8430f3e"/>
                      <w:lock w:val="sdtLocked"/>
                      <w:richText/>
                    </w:sdtPr>
                    <w:sdtContent>
                      <w:r>
                        <w:rPr>
                          <w:color w:val="000000"/>
                        </w:rPr>
                        <w:t>80</w:t>
                      </w:r>
                    </w:sdtContent>
                  </w:sdt>
                  <w:r>
                    <w:rPr>
                      <w:color w:val="000000"/>
                    </w:rPr>
                    <w:t xml:space="preserve">. Sutrikus įrenginio eksploatacijai, </w:t>
                  </w:r>
                  <w:r>
                    <w:rPr>
                      <w:bCs/>
                      <w:color w:val="000000"/>
                    </w:rPr>
                    <w:t>operatorius privalo nutraukti atliekų deginimą, jei</w:t>
                  </w:r>
                  <w:r>
                    <w:rPr>
                      <w:color w:val="000000"/>
                    </w:rPr>
                    <w:t xml:space="preserve"> </w:t>
                  </w:r>
                  <w:r>
                    <w:rPr>
                      <w:bCs/>
                    </w:rPr>
                    <w:t>į aplinkos orą išmetamas dulkių kiekis viršija 150 mg/Nm</w:t>
                  </w:r>
                  <w:r>
                    <w:rPr>
                      <w:bCs/>
                      <w:vertAlign w:val="superscript"/>
                    </w:rPr>
                    <w:t>3</w:t>
                  </w:r>
                  <w:r>
                    <w:rPr>
                      <w:bCs/>
                    </w:rPr>
                    <w:t xml:space="preserve"> (kai dulkių koncentracija matuojama nuolat </w:t>
                  </w:r>
                  <w:r>
                    <w:rPr>
                      <w:color w:val="000000"/>
                    </w:rPr>
                    <w:t>–</w:t>
                  </w:r>
                  <w:r>
                    <w:rPr>
                      <w:bCs/>
                    </w:rPr>
                    <w:t xml:space="preserve"> išmetamas bendras dulkių kiekis išreiškiamas pusės valandos vidutine verte) arba viršijama į aplinkos orą išmetamo CO ar BOA ribinė vertė.</w:t>
                  </w:r>
                </w:p>
              </w:sdtContent>
            </w:sdt>
            <w:sdt>
              <w:sdtPr>
                <w:alias w:val="81 p."/>
                <w:tag w:val="part_56c7916abb9348acaf5f14064d5e8dff"/>
                <w:lock w:val="sdtLocked"/>
                <w:richText/>
              </w:sdtPr>
              <w:sdtContent>
                <w:p>
                  <w:pPr>
                    <w:ind w:firstLine="709"/>
                    <w:jc w:val="both"/>
                    <w:rPr>
                      <w:bCs/>
                    </w:rPr>
                  </w:pPr>
                  <w:sdt>
                    <w:sdtPr>
                      <w:alias w:val="Numeris"/>
                      <w:tag w:val="nr_56c7916abb9348acaf5f14064d5e8dff"/>
                      <w:lock w:val="sdtLocked"/>
                      <w:richText/>
                    </w:sdtPr>
                    <w:sdtContent>
                      <w:r>
                        <w:t>81</w:t>
                      </w:r>
                    </w:sdtContent>
                  </w:sdt>
                  <w:r>
                    <w:t xml:space="preserve">. </w:t>
                  </w:r>
                  <w:r>
                    <w:rPr>
                      <w:bCs/>
                    </w:rPr>
                    <w:t>Iki kiekvienų kalendorinių metų gruodžio 1 dienos</w:t>
                  </w:r>
                  <w:r>
                    <w:rPr>
                      <w:color w:val="000000"/>
                    </w:rPr>
                    <w:t xml:space="preserve"> įrenginio</w:t>
                  </w:r>
                  <w:r>
                    <w:rPr>
                      <w:bCs/>
                    </w:rPr>
                    <w:t xml:space="preserve"> operatorius raštu arba bendruoju el. paštu privalo Departamentui pateikti duomenis apie įrenginio įprasto veikimo valandų skaičių einamaisiais metais, kuo tikslesnę informaciją apie įrenginio eksploatavimo laikotarpius ir nenuolatinius išmetamųjų oro teršalų koncentracijos matavimus, planuojamus ateinančiais kalendoriniais metais.</w:t>
                  </w:r>
                </w:p>
              </w:sdtContent>
            </w:sdt>
            <w:sdt>
              <w:sdtPr>
                <w:alias w:val="82 p."/>
                <w:tag w:val="part_29c073fd23544138b0192188070357e3"/>
                <w:lock w:val="sdtLocked"/>
                <w:richText/>
              </w:sdtPr>
              <w:sdtContent>
                <w:p>
                  <w:pPr>
                    <w:ind w:firstLine="709"/>
                    <w:jc w:val="both"/>
                    <w:rPr>
                      <w:bCs/>
                    </w:rPr>
                  </w:pPr>
                  <w:sdt>
                    <w:sdtPr>
                      <w:alias w:val="Numeris"/>
                      <w:tag w:val="nr_29c073fd23544138b0192188070357e3"/>
                      <w:lock w:val="sdtLocked"/>
                      <w:richText/>
                    </w:sdtPr>
                    <w:sdtContent>
                      <w:r>
                        <w:rPr>
                          <w:color w:val="000000"/>
                        </w:rPr>
                        <w:t>82</w:t>
                      </w:r>
                    </w:sdtContent>
                  </w:sdt>
                  <w:r>
                    <w:rPr>
                      <w:color w:val="000000"/>
                    </w:rPr>
                    <w:t>. Įrenginio</w:t>
                  </w:r>
                  <w:r>
                    <w:rPr>
                      <w:bCs/>
                    </w:rPr>
                    <w:t xml:space="preserve"> operatorius savo interneto svetainėje turi skelbti apibendrintą informaciją apie į aplinkos orą išmetamo teršalų kiekio matavimo rezultatus ir juos atnaujinti kiekvienais metais.</w:t>
                  </w:r>
                </w:p>
              </w:sdtContent>
            </w:sdt>
            <w:sdt>
              <w:sdtPr>
                <w:alias w:val="83 p."/>
                <w:tag w:val="part_213ea9375f7747ccb82701038cdb7142"/>
                <w:lock w:val="sdtLocked"/>
                <w:richText/>
              </w:sdtPr>
              <w:sdtContent>
                <w:p>
                  <w:pPr>
                    <w:ind w:firstLine="709"/>
                    <w:jc w:val="both"/>
                  </w:pPr>
                  <w:sdt>
                    <w:sdtPr>
                      <w:alias w:val="Numeris"/>
                      <w:tag w:val="nr_213ea9375f7747ccb82701038cdb7142"/>
                      <w:lock w:val="sdtLocked"/>
                      <w:richText/>
                    </w:sdtPr>
                    <w:sdtContent>
                      <w:r>
                        <w:rPr>
                          <w:bCs/>
                        </w:rPr>
                        <w:t>83</w:t>
                      </w:r>
                    </w:sdtContent>
                  </w:sdt>
                  <w:r>
                    <w:rPr>
                      <w:bCs/>
                    </w:rPr>
                    <w:t>. Ne rečiau kaip kartą per 5500 įrenginio įprasto veikimo valandų, tačiau ne rečiau kaip kas trejus metus, siekiant vykdyti aplinkos apsaugos valstybinę kontrolę, turi būti atlikti iš šio įrenginio į aplinkos orą išmetamųjų teršalų (išskyrus radionuklidų) valstybiniai laboratoriniai tyrimai. Jei trejus metus iš eilės neviršyta nė viena Reikalavimų 5 priede nustatyta išmetamųjų teršalų ribinė vertė, valstybiniai laboratoriniai tyrimai gali būti atliekami vieną kartą per 11000 įprasto veikimo valandų, tačiau ne rečiau kaip kas trejus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pabaiga"/>
            <w:tag w:val="part_ecab8cec99314794bda46a6007a859e3"/>
            <w:lock w:val="sdtLocked"/>
            <w:richText/>
          </w:sdtPr>
          <w:sdtContent>
            <w:p>
              <w:pPr>
                <w:jc w:val="center"/>
              </w:pPr>
              <w:r>
                <w:t>______________</w:t>
              </w:r>
            </w:p>
          </w:sdtContent>
        </w:sdt>
      </w:sdtContent>
    </w:sdt>
    <w:sdt>
      <w:sdtPr>
        <w:alias w:val="1 pr."/>
        <w:tag w:val="part_1abc679c938142668a55bba0a9fe1dd4"/>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ind w:firstLine="5102"/>
          </w:pPr>
          <w:r>
            <w:t>Atliekų deginimo</w:t>
          </w:r>
        </w:p>
        <w:p>
          <w:pPr>
            <w:ind w:firstLine="5102"/>
          </w:pPr>
          <w:r>
            <w:t>aplinkosauginių reikalavimų</w:t>
          </w:r>
        </w:p>
        <w:p>
          <w:pPr>
            <w:ind w:firstLine="5102"/>
          </w:pPr>
          <w:sdt>
            <w:sdtPr>
              <w:alias w:val="Numeris"/>
              <w:tag w:val="nr_1abc679c938142668a55bba0a9fe1dd4"/>
              <w:lock w:val="sdtLocked"/>
              <w:richText/>
            </w:sdtPr>
            <w:sdtContent>
              <w:r>
                <w:t>1</w:t>
              </w:r>
            </w:sdtContent>
          </w:sdt>
          <w:r>
            <w:t xml:space="preserve"> priedas</w:t>
          </w:r>
        </w:p>
        <w:p>
          <w:pPr>
            <w:ind w:firstLine="709"/>
          </w:pPr>
        </w:p>
        <w:p>
          <w:pPr>
            <w:jc w:val="center"/>
            <w:rPr>
              <w:b/>
            </w:rPr>
          </w:pPr>
          <w:sdt>
            <w:sdtPr>
              <w:alias w:val="Pavadinimas"/>
              <w:tag w:val="title_1abc679c938142668a55bba0a9fe1dd4"/>
              <w:lock w:val="sdtLocked"/>
              <w:richText/>
            </w:sdtPr>
            <w:sdtContent>
              <w:r>
                <w:rPr>
                  <w:b/>
                </w:rPr>
                <w:t>DIBENZO-P-DIOKSINŲ IR DIBENZOFURANŲ EKVIVALENTIŠKUMO KOEFICIENTAI</w:t>
              </w:r>
            </w:sdtContent>
          </w:sdt>
        </w:p>
        <w:p>
          <w:pPr>
            <w:jc w:val="center"/>
            <w:rPr>
              <w:b/>
            </w:rPr>
          </w:pPr>
        </w:p>
        <w:p>
          <w:pPr>
            <w:ind w:firstLine="709"/>
            <w:jc w:val="both"/>
          </w:pPr>
          <w:r>
            <w:t>Nustatant bendrą dioksinų ir furanų koncentraciją (BK), toliau nurodytų dibenzo-p-dioksinų ir dibenzofuranų koncentracijos, išreikštos masės vienetais, prieš susumuojant dauginamos iš šių ekvivalentiškumo koeficientų:</w:t>
          </w:r>
        </w:p>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0"/>
            <w:gridCol w:w="5799"/>
            <w:gridCol w:w="1738"/>
          </w:tblGrid>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2, 3, 7, 8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Tetrachlorodibenzodioksinas (TCDD)</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Pentachlorodibenzodioksinas (PeCDD)</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0,5</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1, 2, 3, 4, 7, 8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Heksachlorodibenzodioksinas (HxCDD)</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1, 2, 3, 6, 7, 8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Heksachlorodibenzodioksinas (HxCDD)</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1, 2, 3, 7, 8, 9</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Heksachlorodibenzodioksinas (HxCDD)</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1, 2, 3, 4, 6, 7, 8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Heptachlorodibenzodioksinas (HpCDD)</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0,01</w:t>
                </w:r>
              </w:p>
            </w:tc>
          </w:tr>
          <w:tr>
            <w:tc>
              <w:tcPr>
                <w:tcW w:w="1951" w:type="dxa"/>
                <w:tcBorders>
                  <w:top w:val="single" w:sz="4" w:space="0" w:color="auto"/>
                  <w:left w:val="single" w:sz="4" w:space="0" w:color="auto"/>
                  <w:bottom w:val="single" w:sz="4" w:space="0" w:color="auto"/>
                  <w:right w:val="nil"/>
                </w:tcBorders>
              </w:tcPr>
              <w:p>
                <w:pPr>
                  <w:rPr>
                    <w:szCs w:val="24"/>
                  </w:rPr>
                </w:pP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Oktachlorodibenzodioksinas (OCDD)</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0,001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2, 3, 7, 8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Tetrachlorodibenzofuranas (TCDF)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2, 3, 4, 7, 8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Pentachlorodibenzofuranas (PeCDF)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0,5</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Pentachlorodibenzofuranas (PeCDF)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0,05</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1, 2, 3, 4, 7, 8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Heksachlorodibenzofuranas (HxCDF)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1, 2, 3, 6, 7, 8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Heksachlorodibenzofuranas (HxCDF)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1, 2, 3, 7, 8, 9</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Heksachlorodibenzofuranas (HxCDF)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2, 3, 4, 6, 7, 8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Heksachlorodibenzofuranas (HxCDF)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1, 2, 3, 4, 6, 7, 8</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Heptachlorodibenzofuranas (HpCDF)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0,01</w:t>
                </w:r>
              </w:p>
            </w:tc>
          </w:tr>
          <w:tr>
            <w:tc>
              <w:tcPr>
                <w:tcW w:w="1951" w:type="dxa"/>
                <w:tcBorders>
                  <w:top w:val="single" w:sz="4" w:space="0" w:color="auto"/>
                  <w:left w:val="single" w:sz="4" w:space="0" w:color="auto"/>
                  <w:bottom w:val="single" w:sz="4" w:space="0" w:color="auto"/>
                  <w:right w:val="nil"/>
                </w:tcBorders>
              </w:tcPr>
              <w:p>
                <w:pPr>
                  <w:rPr>
                    <w:szCs w:val="24"/>
                  </w:rPr>
                </w:pPr>
                <w:r>
                  <w:rPr>
                    <w:szCs w:val="24"/>
                    <w:lang w:eastAsia="lt-LT"/>
                  </w:rPr>
                  <w:t>1, 2, 3, 4, 7, 8, 9</w:t>
                </w: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Heptachlorodibenzofuranas (HpCDF)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0,01</w:t>
                </w:r>
              </w:p>
            </w:tc>
          </w:tr>
          <w:tr>
            <w:tc>
              <w:tcPr>
                <w:tcW w:w="1951" w:type="dxa"/>
                <w:tcBorders>
                  <w:top w:val="single" w:sz="4" w:space="0" w:color="auto"/>
                  <w:left w:val="single" w:sz="4" w:space="0" w:color="auto"/>
                  <w:bottom w:val="single" w:sz="4" w:space="0" w:color="auto"/>
                  <w:right w:val="nil"/>
                </w:tcBorders>
              </w:tcPr>
              <w:p>
                <w:pPr>
                  <w:rPr>
                    <w:szCs w:val="24"/>
                  </w:rPr>
                </w:pPr>
              </w:p>
            </w:tc>
            <w:tc>
              <w:tcPr>
                <w:tcW w:w="5387" w:type="dxa"/>
                <w:tcBorders>
                  <w:top w:val="single" w:sz="4" w:space="0" w:color="auto"/>
                  <w:left w:val="nil"/>
                  <w:bottom w:val="single" w:sz="4" w:space="0" w:color="auto"/>
                  <w:right w:val="single" w:sz="4" w:space="0" w:color="auto"/>
                </w:tcBorders>
              </w:tcPr>
              <w:p>
                <w:pPr>
                  <w:rPr>
                    <w:szCs w:val="24"/>
                  </w:rPr>
                </w:pPr>
                <w:r>
                  <w:rPr>
                    <w:szCs w:val="24"/>
                    <w:lang w:eastAsia="lt-LT"/>
                  </w:rPr>
                  <w:t>- Oktachlorodibenzofuranas (OCDF)</w:t>
                </w:r>
              </w:p>
            </w:tc>
            <w:tc>
              <w:tcPr>
                <w:tcW w:w="1614"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0,001</w:t>
                </w:r>
              </w:p>
            </w:tc>
          </w:tr>
        </w:tbl>
        <w:p>
          <w:pPr>
            <w:jc w:val="center"/>
          </w:pPr>
          <w:r>
            <w:t>______________</w:t>
          </w:r>
        </w:p>
      </w:sdtContent>
    </w:sdt>
    <w:sdt>
      <w:sdtPr>
        <w:alias w:val="2 pr."/>
        <w:tag w:val="part_2a56d0788d314c438107f6b6e6bf9909"/>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Cs w:val="24"/>
              <w:lang w:eastAsia="lt-LT"/>
            </w:rPr>
          </w:pPr>
          <w:r>
            <w:rPr>
              <w:szCs w:val="24"/>
              <w:lang w:eastAsia="lt-LT"/>
            </w:rPr>
            <w:t>Atliekų deginimo aplinkosauginių reikalavimų</w:t>
          </w:r>
        </w:p>
        <w:p>
          <w:pPr>
            <w:ind w:left="4535"/>
            <w:rPr>
              <w:szCs w:val="24"/>
              <w:lang w:eastAsia="lt-LT"/>
            </w:rPr>
          </w:pPr>
          <w:sdt>
            <w:sdtPr>
              <w:alias w:val="Numeris"/>
              <w:tag w:val="nr_2a56d0788d314c438107f6b6e6bf9909"/>
              <w:lock w:val="sdtLocked"/>
              <w:richText/>
            </w:sdtPr>
            <w:sdtContent>
              <w:r>
                <w:rPr>
                  <w:szCs w:val="24"/>
                  <w:lang w:eastAsia="lt-LT"/>
                </w:rPr>
                <w:t>2</w:t>
              </w:r>
            </w:sdtContent>
          </w:sdt>
          <w:r>
            <w:rPr>
              <w:szCs w:val="24"/>
              <w:lang w:eastAsia="lt-LT"/>
            </w:rPr>
            <w:t xml:space="preserve"> priedas</w:t>
          </w:r>
        </w:p>
        <w:p>
          <w:pPr>
            <w:suppressAutoHyphens/>
            <w:jc w:val="center"/>
            <w:rPr>
              <w:b/>
              <w:bCs/>
              <w:sz w:val="20"/>
              <w:lang w:val="de-DE" w:eastAsia="lt-LT"/>
            </w:rPr>
          </w:pPr>
        </w:p>
        <w:p>
          <w:pPr>
            <w:widowControl w:val="0"/>
            <w:suppressAutoHyphens/>
            <w:jc w:val="center"/>
            <w:rPr>
              <w:rFonts w:eastAsia="Lucida Sans Unicode"/>
              <w:b/>
              <w:bCs/>
              <w:szCs w:val="24"/>
              <w:lang w:eastAsia="lt-LT"/>
            </w:rPr>
          </w:pPr>
          <w:sdt>
            <w:sdtPr>
              <w:alias w:val="Pavadinimas"/>
              <w:tag w:val="title_2a56d0788d314c438107f6b6e6bf9909"/>
              <w:lock w:val="sdtLocked"/>
              <w:richText/>
            </w:sdtPr>
            <w:sdtContent>
              <w:r>
                <w:rPr>
                  <w:rFonts w:eastAsia="Lucida Sans Unicode"/>
                  <w:b/>
                  <w:bCs/>
                  <w:szCs w:val="24"/>
                  <w:lang w:eastAsia="lt-LT"/>
                </w:rPr>
                <w:t xml:space="preserve">Į </w:t>
              </w:r>
              <w:r>
                <w:rPr>
                  <w:rFonts w:eastAsia="Lucida Sans Unicode"/>
                  <w:b/>
                  <w:bCs/>
                  <w:caps/>
                  <w:szCs w:val="24"/>
                  <w:lang w:eastAsia="lt-LT"/>
                </w:rPr>
                <w:t xml:space="preserve">aplinkos </w:t>
              </w:r>
              <w:r>
                <w:rPr>
                  <w:rFonts w:eastAsia="Lucida Sans Unicode"/>
                  <w:b/>
                  <w:bCs/>
                  <w:szCs w:val="24"/>
                  <w:lang w:eastAsia="lt-LT"/>
                </w:rPr>
                <w:t xml:space="preserve">ORĄ IŠMETAMŲ TERŠALŲ, SUSIDARANČIŲ DEGINANT ATLIEKAS BENDRO DEGINIMO </w:t>
              </w:r>
              <w:r>
                <w:rPr>
                  <w:rFonts w:eastAsia="Lucida Sans Unicode"/>
                  <w:b/>
                  <w:bCs/>
                  <w:caps/>
                  <w:szCs w:val="24"/>
                  <w:lang w:eastAsia="lt-LT"/>
                </w:rPr>
                <w:t>Įrenginiuose</w:t>
              </w:r>
              <w:r>
                <w:rPr>
                  <w:rFonts w:eastAsia="Lucida Sans Unicode"/>
                  <w:b/>
                  <w:bCs/>
                  <w:szCs w:val="24"/>
                  <w:lang w:eastAsia="lt-LT"/>
                </w:rPr>
                <w:t>, RIBINIŲ VERČIŲ NUSTATYMAS</w:t>
              </w:r>
            </w:sdtContent>
          </w:sdt>
        </w:p>
        <w:p>
          <w:pPr>
            <w:widowControl w:val="0"/>
            <w:suppressAutoHyphens/>
            <w:jc w:val="center"/>
            <w:rPr>
              <w:rFonts w:eastAsia="Lucida Sans Unicode"/>
              <w:szCs w:val="24"/>
              <w:lang w:val="de-DE" w:eastAsia="lt-LT"/>
            </w:rPr>
          </w:pPr>
        </w:p>
        <w:sdt>
          <w:sdtPr>
            <w:alias w:val="2 pr. 1 p."/>
            <w:tag w:val="part_270a96e89b0f4e89877bd902b83e8fdc"/>
            <w:lock w:val="sdtLocked"/>
            <w:richText/>
          </w:sdtPr>
          <w:sdtContent>
            <w:p>
              <w:pPr>
                <w:widowControl w:val="0"/>
                <w:suppressAutoHyphens/>
                <w:jc w:val="center"/>
                <w:rPr>
                  <w:rFonts w:eastAsia="Lucida Sans Unicode"/>
                  <w:szCs w:val="24"/>
                  <w:lang w:val="de-DE" w:eastAsia="lt-LT"/>
                </w:rPr>
              </w:pPr>
              <w:sdt>
                <w:sdtPr>
                  <w:alias w:val="Numeris"/>
                  <w:tag w:val="nr_270a96e89b0f4e89877bd902b83e8fdc"/>
                  <w:lock w:val="sdtLocked"/>
                  <w:richText/>
                </w:sdtPr>
                <w:sdtContent>
                  <w:r>
                    <w:rPr>
                      <w:rFonts w:eastAsia="Lucida Sans Unicode"/>
                      <w:b/>
                      <w:bCs/>
                      <w:szCs w:val="24"/>
                      <w:lang w:eastAsia="lt-LT"/>
                    </w:rPr>
                    <w:t>1</w:t>
                  </w:r>
                </w:sdtContent>
              </w:sdt>
              <w:r>
                <w:rPr>
                  <w:rFonts w:eastAsia="Lucida Sans Unicode"/>
                  <w:b/>
                  <w:bCs/>
                  <w:szCs w:val="24"/>
                  <w:lang w:eastAsia="lt-LT"/>
                </w:rPr>
                <w:t>. Ribinių verčių apskaičiavimas</w:t>
              </w:r>
            </w:p>
            <w:p>
              <w:pPr>
                <w:widowControl w:val="0"/>
                <w:suppressAutoHyphens/>
                <w:ind w:firstLine="567"/>
                <w:jc w:val="both"/>
                <w:rPr>
                  <w:rFonts w:eastAsia="Lucida Sans Unicode"/>
                  <w:szCs w:val="24"/>
                  <w:lang w:eastAsia="lt-LT"/>
                </w:rPr>
              </w:pPr>
              <w:r>
                <w:rPr>
                  <w:rFonts w:eastAsia="Lucida Sans Unicode"/>
                  <w:szCs w:val="24"/>
                  <w:lang w:eastAsia="lt-LT"/>
                </w:rPr>
                <w:t xml:space="preserve">Kiekvieno teršalo ir anglies monoksido ribinė vertė išmetamosiose dujose, išsiskiriančiose deginant atliekas, apskaičiuojama pagal pateikiamą formulę, </w:t>
              </w:r>
              <w:r>
                <w:rPr>
                  <w:rFonts w:eastAsia="Lucida Sans Unicode"/>
                  <w:spacing w:val="-4"/>
                  <w:szCs w:val="24"/>
                  <w:lang w:eastAsia="lt-LT"/>
                </w:rPr>
                <w:t xml:space="preserve">taikomą, kai šio priedo lentelėse nenurodyta konkreti bendroji išmetamųjų teršalų ribinė vertė C </w:t>
              </w:r>
              <w:r>
                <w:rPr>
                  <w:rFonts w:eastAsia="Lucida Sans Unicode"/>
                  <w:szCs w:val="24"/>
                  <w:lang w:eastAsia="lt-LT"/>
                </w:rPr>
                <w:t>(maišymo taisyklė)</w:t>
              </w:r>
              <w:r>
                <w:rPr>
                  <w:rFonts w:eastAsia="Lucida Sans Unicode"/>
                  <w:spacing w:val="-4"/>
                  <w:szCs w:val="24"/>
                  <w:lang w:eastAsia="lt-LT"/>
                </w:rPr>
                <w:t>.</w:t>
              </w:r>
            </w:p>
            <w:p>
              <w:pPr>
                <w:widowControl w:val="0"/>
                <w:suppressAutoHyphens/>
                <w:ind w:firstLine="567"/>
                <w:jc w:val="both"/>
                <w:rPr>
                  <w:rFonts w:eastAsia="Lucida Sans Unicode"/>
                  <w:szCs w:val="24"/>
                  <w:lang w:eastAsia="lt-LT"/>
                </w:rPr>
              </w:pPr>
            </w:p>
            <w:tbl>
              <w:tblPr>
                <w:tblW w:w="9628" w:type="dxa"/>
                <w:tblLook w:val="01E0" w:firstRow="1" w:lastRow="1" w:firstColumn="1" w:lastColumn="1" w:noHBand="0" w:noVBand="0"/>
              </w:tblPr>
              <w:tblGrid>
                <w:gridCol w:w="336"/>
                <w:gridCol w:w="4614"/>
                <w:gridCol w:w="900"/>
                <w:gridCol w:w="3778"/>
              </w:tblGrid>
              <w:tr>
                <w:tc>
                  <w:tcPr>
                    <w:tcW w:w="336" w:type="dxa"/>
                    <w:vMerge w:val="restart"/>
                    <w:shd w:val="clear" w:color="auto" w:fill="auto"/>
                  </w:tcPr>
                  <w:p>
                    <w:pPr>
                      <w:widowControl w:val="0"/>
                      <w:suppressAutoHyphens/>
                      <w:jc w:val="center"/>
                      <w:rPr>
                        <w:rFonts w:eastAsia="Lucida Sans Unicode"/>
                        <w:szCs w:val="24"/>
                        <w:lang w:eastAsia="lt-LT"/>
                      </w:rPr>
                    </w:pPr>
                  </w:p>
                </w:tc>
                <w:tc>
                  <w:tcPr>
                    <w:tcW w:w="4614" w:type="dxa"/>
                    <w:tcBorders>
                      <w:bottom w:val="single" w:sz="4" w:space="0" w:color="auto"/>
                    </w:tcBorders>
                    <w:shd w:val="clear" w:color="auto" w:fill="auto"/>
                    <w:hideMark/>
                  </w:tcPr>
                  <w:p>
                    <w:pPr>
                      <w:widowControl w:val="0"/>
                      <w:suppressAutoHyphens/>
                      <w:jc w:val="center"/>
                      <w:rPr>
                        <w:rFonts w:eastAsia="Lucida Sans Unicode"/>
                        <w:szCs w:val="24"/>
                        <w:lang w:eastAsia="lt-LT"/>
                      </w:rPr>
                    </w:pPr>
                    <w:r>
                      <w:rPr>
                        <w:rFonts w:eastAsia="Lucida Sans Unicode"/>
                        <w:b/>
                        <w:bCs/>
                        <w:szCs w:val="24"/>
                        <w:lang w:eastAsia="lt-LT"/>
                      </w:rPr>
                      <w:t>V</w:t>
                    </w:r>
                    <w:r>
                      <w:rPr>
                        <w:rFonts w:eastAsia="Lucida Sans Unicode"/>
                        <w:b/>
                        <w:bCs/>
                        <w:szCs w:val="24"/>
                        <w:vertAlign w:val="subscript"/>
                        <w:lang w:eastAsia="lt-LT"/>
                      </w:rPr>
                      <w:t>ATLIEKOS</w:t>
                    </w:r>
                    <w:r>
                      <w:rPr>
                        <w:rFonts w:eastAsia="Lucida Sans Unicode"/>
                        <w:b/>
                        <w:bCs/>
                        <w:szCs w:val="24"/>
                        <w:lang w:eastAsia="lt-LT"/>
                      </w:rPr>
                      <w:t xml:space="preserve"> × C</w:t>
                    </w:r>
                    <w:r>
                      <w:rPr>
                        <w:rFonts w:eastAsia="Lucida Sans Unicode"/>
                        <w:b/>
                        <w:bCs/>
                        <w:szCs w:val="24"/>
                        <w:vertAlign w:val="subscript"/>
                        <w:lang w:eastAsia="lt-LT"/>
                      </w:rPr>
                      <w:t>ATLIEKOS</w:t>
                    </w:r>
                    <w:r>
                      <w:rPr>
                        <w:rFonts w:eastAsia="Lucida Sans Unicode"/>
                        <w:b/>
                        <w:bCs/>
                        <w:szCs w:val="24"/>
                        <w:lang w:eastAsia="lt-LT"/>
                      </w:rPr>
                      <w:t xml:space="preserve"> + V</w:t>
                    </w:r>
                    <w:r>
                      <w:rPr>
                        <w:rFonts w:eastAsia="Lucida Sans Unicode"/>
                        <w:b/>
                        <w:bCs/>
                        <w:szCs w:val="24"/>
                        <w:vertAlign w:val="subscript"/>
                        <w:lang w:eastAsia="lt-LT"/>
                      </w:rPr>
                      <w:t>PROC</w:t>
                    </w:r>
                    <w:r>
                      <w:rPr>
                        <w:rFonts w:eastAsia="Lucida Sans Unicode"/>
                        <w:b/>
                        <w:bCs/>
                        <w:szCs w:val="24"/>
                        <w:lang w:eastAsia="lt-LT"/>
                      </w:rPr>
                      <w:t xml:space="preserve"> × C</w:t>
                    </w:r>
                    <w:r>
                      <w:rPr>
                        <w:rFonts w:eastAsia="Lucida Sans Unicode"/>
                        <w:b/>
                        <w:bCs/>
                        <w:szCs w:val="24"/>
                        <w:vertAlign w:val="subscript"/>
                        <w:lang w:eastAsia="lt-LT"/>
                      </w:rPr>
                      <w:t>PROC</w:t>
                    </w:r>
                  </w:p>
                </w:tc>
                <w:tc>
                  <w:tcPr>
                    <w:tcW w:w="900" w:type="dxa"/>
                    <w:vMerge w:val="restart"/>
                    <w:shd w:val="clear" w:color="auto" w:fill="auto"/>
                    <w:vAlign w:val="center"/>
                    <w:hideMark/>
                  </w:tcPr>
                  <w:p>
                    <w:pPr>
                      <w:widowControl w:val="0"/>
                      <w:suppressAutoHyphens/>
                      <w:rPr>
                        <w:rFonts w:eastAsia="Lucida Sans Unicode"/>
                        <w:szCs w:val="24"/>
                        <w:lang w:eastAsia="lt-LT"/>
                      </w:rPr>
                    </w:pPr>
                    <w:r>
                      <w:rPr>
                        <w:rFonts w:eastAsia="Lucida Sans Unicode"/>
                        <w:szCs w:val="24"/>
                        <w:lang w:eastAsia="lt-LT"/>
                      </w:rPr>
                      <w:t xml:space="preserve">= </w:t>
                    </w:r>
                    <w:r>
                      <w:rPr>
                        <w:rFonts w:eastAsia="Lucida Sans Unicode"/>
                        <w:b/>
                        <w:bCs/>
                        <w:szCs w:val="24"/>
                        <w:lang w:eastAsia="lt-LT"/>
                      </w:rPr>
                      <w:t>C</w:t>
                    </w:r>
                  </w:p>
                </w:tc>
                <w:tc>
                  <w:tcPr>
                    <w:tcW w:w="3778" w:type="dxa"/>
                    <w:shd w:val="clear" w:color="auto" w:fill="auto"/>
                  </w:tcPr>
                  <w:p>
                    <w:pPr>
                      <w:widowControl w:val="0"/>
                      <w:suppressAutoHyphens/>
                      <w:rPr>
                        <w:rFonts w:eastAsia="Lucida Sans Unicode"/>
                        <w:szCs w:val="24"/>
                        <w:lang w:eastAsia="lt-LT"/>
                      </w:rPr>
                    </w:pPr>
                  </w:p>
                </w:tc>
              </w:tr>
              <w:tr>
                <w:tc>
                  <w:tcPr>
                    <w:tcW w:w="336" w:type="dxa"/>
                    <w:vMerge/>
                    <w:shd w:val="clear" w:color="auto" w:fill="auto"/>
                  </w:tcPr>
                  <w:p>
                    <w:pPr>
                      <w:widowControl w:val="0"/>
                      <w:suppressAutoHyphens/>
                      <w:jc w:val="center"/>
                      <w:rPr>
                        <w:rFonts w:eastAsia="Lucida Sans Unicode"/>
                        <w:b/>
                        <w:bCs/>
                        <w:szCs w:val="24"/>
                        <w:lang w:eastAsia="lt-LT"/>
                      </w:rPr>
                    </w:pPr>
                  </w:p>
                </w:tc>
                <w:tc>
                  <w:tcPr>
                    <w:tcW w:w="4614" w:type="dxa"/>
                    <w:tcBorders>
                      <w:top w:val="single" w:sz="4" w:space="0" w:color="auto"/>
                    </w:tcBorders>
                    <w:shd w:val="clear" w:color="auto" w:fill="auto"/>
                    <w:hideMark/>
                  </w:tcPr>
                  <w:p>
                    <w:pPr>
                      <w:widowControl w:val="0"/>
                      <w:suppressAutoHyphens/>
                      <w:jc w:val="center"/>
                      <w:rPr>
                        <w:rFonts w:eastAsia="Lucida Sans Unicode"/>
                        <w:szCs w:val="24"/>
                        <w:lang w:eastAsia="lt-LT"/>
                      </w:rPr>
                    </w:pPr>
                    <w:r>
                      <w:rPr>
                        <w:rFonts w:eastAsia="Lucida Sans Unicode"/>
                        <w:b/>
                        <w:bCs/>
                        <w:szCs w:val="24"/>
                        <w:lang w:eastAsia="lt-LT"/>
                      </w:rPr>
                      <w:t>V</w:t>
                    </w:r>
                    <w:r>
                      <w:rPr>
                        <w:rFonts w:eastAsia="Lucida Sans Unicode"/>
                        <w:b/>
                        <w:bCs/>
                        <w:szCs w:val="24"/>
                        <w:vertAlign w:val="subscript"/>
                        <w:lang w:eastAsia="lt-LT"/>
                      </w:rPr>
                      <w:t>ATLIEKOS</w:t>
                    </w:r>
                    <w:r>
                      <w:rPr>
                        <w:rFonts w:eastAsia="Lucida Sans Unicode"/>
                        <w:b/>
                        <w:bCs/>
                        <w:szCs w:val="24"/>
                        <w:lang w:eastAsia="lt-LT"/>
                      </w:rPr>
                      <w:t xml:space="preserve"> + V</w:t>
                    </w:r>
                    <w:r>
                      <w:rPr>
                        <w:rFonts w:eastAsia="Lucida Sans Unicode"/>
                        <w:b/>
                        <w:bCs/>
                        <w:szCs w:val="24"/>
                        <w:vertAlign w:val="subscript"/>
                        <w:lang w:eastAsia="lt-LT"/>
                      </w:rPr>
                      <w:t>PROC</w:t>
                    </w:r>
                  </w:p>
                </w:tc>
                <w:tc>
                  <w:tcPr>
                    <w:tcW w:w="900" w:type="dxa"/>
                    <w:vMerge/>
                    <w:shd w:val="clear" w:color="auto" w:fill="auto"/>
                    <w:vAlign w:val="center"/>
                    <w:hideMark/>
                  </w:tcPr>
                  <w:p>
                    <w:pPr>
                      <w:rPr>
                        <w:rFonts w:eastAsia="Lucida Sans Unicode"/>
                        <w:szCs w:val="24"/>
                        <w:lang w:eastAsia="lt-LT"/>
                      </w:rPr>
                    </w:pPr>
                  </w:p>
                </w:tc>
                <w:tc>
                  <w:tcPr>
                    <w:tcW w:w="3778" w:type="dxa"/>
                    <w:shd w:val="clear" w:color="auto" w:fill="auto"/>
                  </w:tcPr>
                  <w:p>
                    <w:pPr>
                      <w:rPr>
                        <w:rFonts w:eastAsia="Lucida Sans Unicode"/>
                        <w:szCs w:val="24"/>
                        <w:lang w:eastAsia="lt-LT"/>
                      </w:rPr>
                    </w:pPr>
                  </w:p>
                </w:tc>
              </w:tr>
            </w:tbl>
            <w:p>
              <w:pPr>
                <w:widowControl w:val="0"/>
                <w:suppressAutoHyphens/>
                <w:ind w:firstLine="567"/>
                <w:jc w:val="both"/>
                <w:rPr>
                  <w:rFonts w:eastAsia="Lucida Sans Unicode"/>
                  <w:szCs w:val="24"/>
                  <w:lang w:eastAsia="lt-LT"/>
                </w:rPr>
              </w:pPr>
            </w:p>
            <w:tbl>
              <w:tblPr>
                <w:tblW w:w="9070" w:type="dxa"/>
                <w:tblLook w:val="01E0" w:firstRow="1" w:lastRow="1" w:firstColumn="1" w:lastColumn="1" w:noHBand="0" w:noVBand="0"/>
              </w:tblPr>
              <w:tblGrid>
                <w:gridCol w:w="2388"/>
                <w:gridCol w:w="6682"/>
              </w:tblGrid>
              <w:tr>
                <w:tc>
                  <w:tcPr>
                    <w:tcW w:w="2388" w:type="dxa"/>
                  </w:tcPr>
                  <w:p>
                    <w:pPr>
                      <w:widowControl w:val="0"/>
                      <w:suppressAutoHyphens/>
                      <w:rPr>
                        <w:rFonts w:eastAsia="Lucida Sans Unicode"/>
                        <w:b/>
                        <w:bCs/>
                        <w:szCs w:val="24"/>
                        <w:lang w:eastAsia="lt-LT"/>
                      </w:rPr>
                    </w:pPr>
                    <w:r>
                      <w:rPr>
                        <w:rFonts w:eastAsia="Lucida Sans Unicode"/>
                        <w:b/>
                        <w:bCs/>
                        <w:szCs w:val="24"/>
                        <w:lang w:eastAsia="lt-LT"/>
                      </w:rPr>
                      <w:t xml:space="preserve">C </w:t>
                    </w:r>
                    <w:r>
                      <w:rPr>
                        <w:rFonts w:eastAsia="Lucida Sans Unicode"/>
                        <w:szCs w:val="24"/>
                        <w:lang w:eastAsia="lt-LT"/>
                      </w:rPr>
                      <w:t>–</w:t>
                    </w:r>
                    <w:r>
                      <w:rPr>
                        <w:rFonts w:eastAsia="Lucida Sans Unicode"/>
                        <w:b/>
                        <w:bCs/>
                        <w:szCs w:val="24"/>
                        <w:lang w:eastAsia="lt-LT"/>
                      </w:rPr>
                      <w:t xml:space="preserve"> </w:t>
                    </w:r>
                  </w:p>
                </w:tc>
                <w:tc>
                  <w:tcPr>
                    <w:tcW w:w="6682" w:type="dxa"/>
                  </w:tcPr>
                  <w:p>
                    <w:pPr>
                      <w:widowControl w:val="0"/>
                      <w:suppressAutoHyphens/>
                      <w:rPr>
                        <w:rFonts w:eastAsia="Lucida Sans Unicode"/>
                        <w:szCs w:val="24"/>
                        <w:lang w:eastAsia="lt-LT"/>
                      </w:rPr>
                    </w:pPr>
                    <w:r>
                      <w:rPr>
                        <w:rFonts w:eastAsia="Lucida Sans Unicode"/>
                        <w:szCs w:val="24"/>
                        <w:lang w:eastAsia="lt-LT"/>
                      </w:rPr>
                      <w:t>bendroji išmetamųjų teršalų ribinė vertė ir deguonies kiekis, nurodyti šio priedo lentelėse tam tikriems pramonėms sektoriams ir tam tikriems teršalams. Jei tokių ribinių verčių šiame priede nėra, kituose Reikalavimų prieduose pateiktos išmetamųjų teršalų ribinės vertės naudojamos kaip bendrosios atitinkamų išmetamųjų teršalų ribinės vertės. Bendras deguonies kiekis, pakeičiantis standartinį deguonies kiekį, apskaičiuojamas atsižvelgiant į minėtą kiekį ir į dalinius kiekius.</w:t>
                    </w:r>
                  </w:p>
                </w:tc>
              </w:tr>
              <w:tr>
                <w:trPr>
                  <w:trHeight w:val="2205"/>
                </w:trPr>
                <w:tc>
                  <w:tcPr>
                    <w:tcW w:w="2388" w:type="dxa"/>
                  </w:tcPr>
                  <w:p>
                    <w:pPr>
                      <w:widowControl w:val="0"/>
                      <w:suppressAutoHyphens/>
                      <w:rPr>
                        <w:rFonts w:eastAsia="Lucida Sans Unicode"/>
                        <w:szCs w:val="24"/>
                        <w:lang w:eastAsia="lt-LT"/>
                      </w:rPr>
                    </w:pPr>
                    <w:r>
                      <w:rPr>
                        <w:rFonts w:eastAsia="Lucida Sans Unicode"/>
                        <w:b/>
                        <w:bCs/>
                        <w:szCs w:val="24"/>
                        <w:lang w:eastAsia="lt-LT"/>
                      </w:rPr>
                      <w:t>V</w:t>
                    </w:r>
                    <w:r>
                      <w:rPr>
                        <w:rFonts w:eastAsia="Lucida Sans Unicode"/>
                        <w:b/>
                        <w:bCs/>
                        <w:szCs w:val="24"/>
                        <w:vertAlign w:val="subscript"/>
                        <w:lang w:eastAsia="lt-LT"/>
                      </w:rPr>
                      <w:t xml:space="preserve">ATLIEKOS </w:t>
                    </w:r>
                    <w:r>
                      <w:rPr>
                        <w:rFonts w:eastAsia="Lucida Sans Unicode"/>
                        <w:szCs w:val="24"/>
                        <w:lang w:eastAsia="lt-LT"/>
                      </w:rPr>
                      <w:t xml:space="preserve">– </w:t>
                    </w:r>
                  </w:p>
                </w:tc>
                <w:tc>
                  <w:tcPr>
                    <w:tcW w:w="6682" w:type="dxa"/>
                  </w:tcPr>
                  <w:p>
                    <w:pPr>
                      <w:widowControl w:val="0"/>
                      <w:suppressAutoHyphens/>
                      <w:rPr>
                        <w:rFonts w:eastAsia="Lucida Sans Unicode"/>
                        <w:szCs w:val="24"/>
                        <w:lang w:eastAsia="lt-LT"/>
                      </w:rPr>
                    </w:pPr>
                    <w:r>
                      <w:rPr>
                        <w:rFonts w:eastAsia="Lucida Sans Unicode"/>
                        <w:szCs w:val="24"/>
                        <w:lang w:eastAsia="lt-LT"/>
                      </w:rPr>
                      <w:t>deginant atliekas susidariusių dujų tūris, nustatomas tik deginant mažiausiai kaloringas atliekas, nurodytas leidime ir perskaičiuotas taikant Reikalavimuose nurodytas standartines sąlygas.</w:t>
                    </w:r>
                  </w:p>
                  <w:p>
                    <w:pPr>
                      <w:widowControl w:val="0"/>
                      <w:suppressAutoHyphens/>
                      <w:rPr>
                        <w:rFonts w:eastAsia="Lucida Sans Unicode"/>
                        <w:szCs w:val="24"/>
                        <w:lang w:eastAsia="lt-LT"/>
                      </w:rPr>
                    </w:pPr>
                    <w:r>
                      <w:rPr>
                        <w:rFonts w:eastAsia="Lucida Sans Unicode"/>
                        <w:szCs w:val="24"/>
                        <w:lang w:eastAsia="lt-LT"/>
                      </w:rPr>
                      <w:t>Jei deginant pavojingąsias</w:t>
                    </w:r>
                    <w:r>
                      <w:rPr>
                        <w:rFonts w:eastAsia="Lucida Sans Unicode"/>
                        <w:b/>
                        <w:szCs w:val="24"/>
                        <w:lang w:eastAsia="lt-LT"/>
                      </w:rPr>
                      <w:t xml:space="preserve"> </w:t>
                    </w:r>
                    <w:r>
                      <w:rPr>
                        <w:rFonts w:eastAsia="Lucida Sans Unicode"/>
                        <w:szCs w:val="24"/>
                        <w:lang w:eastAsia="lt-LT"/>
                      </w:rPr>
                      <w:t>atliekas išsiskyrusi šiluma sudaro mažiau kaip 10 % visos įrenginyje išsiskyrusios šilumos, V</w:t>
                    </w:r>
                    <w:r>
                      <w:rPr>
                        <w:rFonts w:eastAsia="Lucida Sans Unicode"/>
                        <w:caps/>
                        <w:szCs w:val="24"/>
                        <w:vertAlign w:val="subscript"/>
                        <w:lang w:eastAsia="lt-LT"/>
                      </w:rPr>
                      <w:t>atliekos</w:t>
                    </w:r>
                    <w:r>
                      <w:rPr>
                        <w:rFonts w:eastAsia="Lucida Sans Unicode"/>
                        <w:szCs w:val="24"/>
                        <w:lang w:eastAsia="lt-LT"/>
                      </w:rPr>
                      <w:t xml:space="preserve"> turi būti apskaičiuojamas pagal tokį (teorišką) atliekų kiekį, kurį sudeginus išsiskirtų 10 % viso fiksuoto išskiriamos šilumos kiekio.</w:t>
                    </w:r>
                  </w:p>
                </w:tc>
              </w:tr>
              <w:tr>
                <w:tc>
                  <w:tcPr>
                    <w:tcW w:w="2388" w:type="dxa"/>
                  </w:tcPr>
                  <w:p>
                    <w:pPr>
                      <w:widowControl w:val="0"/>
                      <w:suppressAutoHyphens/>
                      <w:rPr>
                        <w:rFonts w:eastAsia="Lucida Sans Unicode"/>
                        <w:szCs w:val="24"/>
                        <w:lang w:eastAsia="lt-LT"/>
                      </w:rPr>
                    </w:pPr>
                    <w:r>
                      <w:rPr>
                        <w:rFonts w:eastAsia="Lucida Sans Unicode"/>
                        <w:b/>
                        <w:bCs/>
                        <w:szCs w:val="24"/>
                        <w:lang w:eastAsia="lt-LT"/>
                      </w:rPr>
                      <w:t>C</w:t>
                    </w:r>
                    <w:r>
                      <w:rPr>
                        <w:rFonts w:eastAsia="Lucida Sans Unicode"/>
                        <w:b/>
                        <w:bCs/>
                        <w:szCs w:val="24"/>
                        <w:vertAlign w:val="subscript"/>
                        <w:lang w:eastAsia="lt-LT"/>
                      </w:rPr>
                      <w:t xml:space="preserve">ATLIEKOS </w:t>
                    </w:r>
                    <w:r>
                      <w:rPr>
                        <w:rFonts w:eastAsia="Lucida Sans Unicode"/>
                        <w:szCs w:val="24"/>
                        <w:lang w:eastAsia="lt-LT"/>
                      </w:rPr>
                      <w:t xml:space="preserve">– </w:t>
                    </w:r>
                  </w:p>
                </w:tc>
                <w:tc>
                  <w:tcPr>
                    <w:tcW w:w="6682" w:type="dxa"/>
                  </w:tcPr>
                  <w:p>
                    <w:pPr>
                      <w:widowControl w:val="0"/>
                      <w:suppressAutoHyphens/>
                      <w:rPr>
                        <w:rFonts w:eastAsia="Lucida Sans Unicode"/>
                        <w:szCs w:val="24"/>
                        <w:lang w:eastAsia="lt-LT"/>
                      </w:rPr>
                    </w:pPr>
                    <w:r>
                      <w:rPr>
                        <w:rFonts w:eastAsia="Lucida Sans Unicode"/>
                        <w:szCs w:val="24"/>
                        <w:lang w:eastAsia="lt-LT"/>
                      </w:rPr>
                      <w:t>5 priede deginimo įrenginiams nustatytos atitinkamų išmetamųjų teršalų ribinės vertės.</w:t>
                    </w:r>
                  </w:p>
                </w:tc>
              </w:tr>
              <w:tr>
                <w:tc>
                  <w:tcPr>
                    <w:tcW w:w="2388" w:type="dxa"/>
                  </w:tcPr>
                  <w:p>
                    <w:pPr>
                      <w:widowControl w:val="0"/>
                      <w:suppressAutoHyphens/>
                      <w:rPr>
                        <w:rFonts w:eastAsia="Lucida Sans Unicode"/>
                        <w:szCs w:val="24"/>
                        <w:lang w:eastAsia="lt-LT"/>
                      </w:rPr>
                    </w:pPr>
                    <w:r>
                      <w:rPr>
                        <w:rFonts w:eastAsia="Lucida Sans Unicode"/>
                        <w:b/>
                        <w:bCs/>
                        <w:szCs w:val="24"/>
                        <w:lang w:eastAsia="lt-LT"/>
                      </w:rPr>
                      <w:t>V</w:t>
                    </w:r>
                    <w:r>
                      <w:rPr>
                        <w:rFonts w:eastAsia="Lucida Sans Unicode"/>
                        <w:b/>
                        <w:bCs/>
                        <w:szCs w:val="24"/>
                        <w:vertAlign w:val="subscript"/>
                        <w:lang w:eastAsia="lt-LT"/>
                      </w:rPr>
                      <w:t xml:space="preserve">PROC </w:t>
                    </w:r>
                    <w:r>
                      <w:rPr>
                        <w:rFonts w:eastAsia="Lucida Sans Unicode"/>
                        <w:szCs w:val="24"/>
                        <w:lang w:eastAsia="lt-LT"/>
                      </w:rPr>
                      <w:t xml:space="preserve">– </w:t>
                    </w:r>
                  </w:p>
                </w:tc>
                <w:tc>
                  <w:tcPr>
                    <w:tcW w:w="6682" w:type="dxa"/>
                  </w:tcPr>
                  <w:p>
                    <w:pPr>
                      <w:widowControl w:val="0"/>
                      <w:suppressAutoHyphens/>
                      <w:rPr>
                        <w:rFonts w:eastAsia="Lucida Sans Unicode"/>
                        <w:szCs w:val="24"/>
                        <w:lang w:eastAsia="lt-LT"/>
                      </w:rPr>
                    </w:pPr>
                    <w:r>
                      <w:rPr>
                        <w:rFonts w:eastAsia="Lucida Sans Unicode"/>
                        <w:szCs w:val="24"/>
                        <w:lang w:eastAsia="lt-LT"/>
                      </w:rPr>
                      <w:t>išmetamųjų dujų tūris, išsiskyręs įrenginyje vykstančio deginimo proceso metu, įskaitant leidžiamų naudoti ir dažniausiai įrenginyje naudojamų rūšių kuro (išskyrus atliekas) deginimą, kuris nustatomas pagal standartinius deguonies kiekius, pagal kuriuos, vadovaujantis galiojančiais teisės aktais, perskaičiuojamos išmetamųjų teršalų vertės. Jei galiojančiuose teisės aktuose atitinkamų reikalavimų nėra, skaičiavimams turi būti naudojamas realus deguonies kiekis išmetamosiose dujose, nepraretinant jo papildomu oru, kuris technologiniam procesui nebūtinas. Kitos standartinės sąlygos nurodytos Reikalavimuose.</w:t>
                    </w:r>
                  </w:p>
                </w:tc>
              </w:tr>
              <w:tr>
                <w:tc>
                  <w:tcPr>
                    <w:tcW w:w="2388" w:type="dxa"/>
                  </w:tcPr>
                  <w:p>
                    <w:pPr>
                      <w:widowControl w:val="0"/>
                      <w:suppressAutoHyphens/>
                      <w:rPr>
                        <w:rFonts w:eastAsia="Lucida Sans Unicode"/>
                        <w:szCs w:val="24"/>
                        <w:lang w:eastAsia="lt-LT"/>
                      </w:rPr>
                    </w:pPr>
                    <w:r>
                      <w:rPr>
                        <w:rFonts w:eastAsia="Lucida Sans Unicode"/>
                        <w:b/>
                        <w:bCs/>
                        <w:szCs w:val="24"/>
                        <w:lang w:eastAsia="lt-LT"/>
                      </w:rPr>
                      <w:t>C</w:t>
                    </w:r>
                    <w:r>
                      <w:rPr>
                        <w:rFonts w:eastAsia="Lucida Sans Unicode"/>
                        <w:b/>
                        <w:bCs/>
                        <w:szCs w:val="24"/>
                        <w:vertAlign w:val="subscript"/>
                        <w:lang w:eastAsia="lt-LT"/>
                      </w:rPr>
                      <w:t xml:space="preserve">PROC </w:t>
                    </w:r>
                    <w:r>
                      <w:rPr>
                        <w:rFonts w:eastAsia="Lucida Sans Unicode"/>
                        <w:szCs w:val="24"/>
                        <w:lang w:eastAsia="lt-LT"/>
                      </w:rPr>
                      <w:t xml:space="preserve">– </w:t>
                    </w:r>
                  </w:p>
                </w:tc>
                <w:tc>
                  <w:tcPr>
                    <w:tcW w:w="6682" w:type="dxa"/>
                  </w:tcPr>
                  <w:p>
                    <w:pPr>
                      <w:widowControl w:val="0"/>
                      <w:suppressAutoHyphens/>
                      <w:rPr>
                        <w:rFonts w:eastAsia="Lucida Sans Unicode"/>
                        <w:szCs w:val="24"/>
                        <w:lang w:eastAsia="lt-LT"/>
                      </w:rPr>
                    </w:pPr>
                    <w:r>
                      <w:rPr>
                        <w:rFonts w:eastAsia="Lucida Sans Unicode"/>
                        <w:szCs w:val="24"/>
                        <w:lang w:eastAsia="lt-LT"/>
                      </w:rPr>
                      <w:t>išmetamųjų teršalų ribinės vertės, nurodytos šio priedo lentelėse, skirtos tam tikriems pramonės sektoriams. Jei tokios vertės nenurodytos, turi būti naudojamos teisės aktais nustatytos išmetamųjų teršalų ribinės vertės, taikomos įrenginiams, deginantiems įprastų rūšių kurą (išskyrus atliekas). Jei teisės aktai tokių ribinių verčių nenustato, naudojamos leidimuose nustatytos išmetamųjų teršalų ribinės vertės. Jei šios vertės nenustatytos leidimuose, naudojamos realios masės koncentracijos.</w:t>
                    </w:r>
                  </w:p>
                </w:tc>
              </w:tr>
            </w:tbl>
            <w:p>
              <w:pPr>
                <w:widowControl w:val="0"/>
                <w:suppressAutoHyphens/>
                <w:ind w:firstLine="567"/>
                <w:jc w:val="both"/>
                <w:rPr>
                  <w:rFonts w:eastAsia="Lucida Sans Unicode"/>
                  <w:szCs w:val="24"/>
                  <w:lang w:eastAsia="lt-LT"/>
                </w:rPr>
              </w:pPr>
              <w:r>
                <w:rPr>
                  <w:rFonts w:eastAsia="Lucida Sans Unicode"/>
                  <w:szCs w:val="24"/>
                  <w:lang w:eastAsia="lt-LT"/>
                </w:rPr>
                <w:t>Visos išmetamų teršalų ribinės vertės apskaičiuojamos esant 273,15 K temperatūrai ir 101,3 kPa slėgiui, atėmus vandens garų kiekį išmetamose dujose.</w:t>
              </w:r>
            </w:p>
            <w:p>
              <w:pPr>
                <w:widowControl w:val="0"/>
                <w:suppressAutoHyphens/>
                <w:ind w:left="1276" w:hanging="1276"/>
                <w:jc w:val="both"/>
                <w:rPr>
                  <w:rFonts w:eastAsia="Lucida Sans Unicod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2 pr. 2 p."/>
            <w:tag w:val="part_12e94500257e4aad92f350851664a3b7"/>
            <w:lock w:val="sdtLocked"/>
            <w:richText/>
          </w:sdtPr>
          <w:sdtContent>
            <w:p>
              <w:pPr>
                <w:widowControl w:val="0"/>
                <w:suppressAutoHyphens/>
                <w:jc w:val="center"/>
                <w:rPr>
                  <w:rFonts w:eastAsia="Lucida Sans Unicode"/>
                  <w:b/>
                  <w:bCs/>
                  <w:szCs w:val="24"/>
                  <w:lang w:eastAsia="lt-LT"/>
                </w:rPr>
              </w:pPr>
              <w:sdt>
                <w:sdtPr>
                  <w:alias w:val="Numeris"/>
                  <w:tag w:val="nr_12e94500257e4aad92f350851664a3b7"/>
                  <w:lock w:val="sdtLocked"/>
                  <w:richText/>
                </w:sdtPr>
                <w:sdtContent>
                  <w:r>
                    <w:rPr>
                      <w:rFonts w:eastAsia="Lucida Sans Unicode"/>
                      <w:b/>
                      <w:bCs/>
                      <w:szCs w:val="24"/>
                      <w:lang w:eastAsia="lt-LT"/>
                    </w:rPr>
                    <w:t>2</w:t>
                  </w:r>
                </w:sdtContent>
              </w:sdt>
              <w:r>
                <w:rPr>
                  <w:rFonts w:eastAsia="Lucida Sans Unicode"/>
                  <w:b/>
                  <w:bCs/>
                  <w:szCs w:val="24"/>
                  <w:lang w:eastAsia="lt-LT"/>
                </w:rPr>
                <w:t>. Specialieji reikalavimai cemento gamybos krosnims, bendrai deginančioms atliekas</w:t>
              </w:r>
            </w:p>
            <w:sdt>
              <w:sdtPr>
                <w:alias w:val="2 pr. 2.1 p."/>
                <w:tag w:val="part_d9e30e0726d146399f35f10ec7aa208b"/>
                <w:lock w:val="sdtLocked"/>
                <w:richText/>
              </w:sdtPr>
              <w:sdtContent>
                <w:p>
                  <w:pPr>
                    <w:ind w:firstLine="567"/>
                    <w:jc w:val="both"/>
                    <w:rPr>
                      <w:szCs w:val="24"/>
                    </w:rPr>
                  </w:pPr>
                  <w:sdt>
                    <w:sdtPr>
                      <w:alias w:val="Numeris"/>
                      <w:tag w:val="nr_d9e30e0726d146399f35f10ec7aa208b"/>
                      <w:lock w:val="sdtLocked"/>
                      <w:richText/>
                    </w:sdtPr>
                    <w:sdtContent>
                      <w:r>
                        <w:rPr>
                          <w:szCs w:val="24"/>
                        </w:rPr>
                        <w:t>2.1</w:t>
                      </w:r>
                    </w:sdtContent>
                  </w:sdt>
                  <w:r>
                    <w:rPr>
                      <w:szCs w:val="24"/>
                    </w:rPr>
                    <w:t xml:space="preserve">. </w:t>
                  </w:r>
                  <w:r>
                    <w:rPr>
                      <w:color w:val="000000"/>
                    </w:rPr>
                    <w:t xml:space="preserve">Išmetamųjų teršalų ribinės vertės, </w:t>
                  </w:r>
                  <w:r>
                    <w:rPr>
                      <w:bCs/>
                      <w:color w:val="000000"/>
                    </w:rPr>
                    <w:t xml:space="preserve">nurodytos </w:t>
                  </w:r>
                  <w:r>
                    <w:rPr>
                      <w:color w:val="000000"/>
                    </w:rPr>
                    <w:t>2.2 papunktyje, taikomos kaip vidutinės bendro dulkių kiekio, HCl, HF, NO</w:t>
                  </w:r>
                  <w:r>
                    <w:rPr>
                      <w:color w:val="000000"/>
                      <w:vertAlign w:val="subscript"/>
                    </w:rPr>
                    <w:t>x</w:t>
                  </w:r>
                  <w:r>
                    <w:rPr>
                      <w:color w:val="000000"/>
                    </w:rPr>
                    <w:t>, SO</w:t>
                  </w:r>
                  <w:r>
                    <w:rPr>
                      <w:color w:val="000000"/>
                      <w:vertAlign w:val="subscript"/>
                    </w:rPr>
                    <w:t>2</w:t>
                  </w:r>
                  <w:r>
                    <w:rPr>
                      <w:color w:val="000000"/>
                    </w:rPr>
                    <w:t> ir BOA dienos vertės (atliekant nuolatinius matavimus), kaip vidutinės mažiausiai 30 minučių, daugiausiai 8 valandų laikotarpiu paimtų sunkiųjų metalų ėminių vertės ir kaip vidutinės mažiausiai 6 valandų, daugiausiai 8 valandų laikotarpiu paimtų dioksinų ir furanų ėminių vertės</w:t>
                  </w:r>
                  <w:r>
                    <w:rPr>
                      <w:szCs w:val="24"/>
                    </w:rPr>
                    <w:t>.</w:t>
                  </w:r>
                </w:p>
                <w:p>
                  <w:pPr>
                    <w:ind w:firstLine="567"/>
                    <w:jc w:val="both"/>
                    <w:rPr>
                      <w:szCs w:val="24"/>
                      <w:lang w:eastAsia="lt-LT"/>
                    </w:rPr>
                  </w:pPr>
                  <w:r>
                    <w:rPr>
                      <w:szCs w:val="24"/>
                      <w:lang w:eastAsia="lt-LT"/>
                    </w:rPr>
                    <w:t>Visos vertės apskaičiuojamos esant standartiniam 10 % deguonies kiekiui.</w:t>
                  </w:r>
                </w:p>
                <w:p>
                  <w:pPr>
                    <w:widowControl w:val="0"/>
                    <w:suppressAutoHyphens/>
                    <w:ind w:firstLine="567"/>
                    <w:jc w:val="both"/>
                    <w:rPr>
                      <w:rFonts w:eastAsia="Lucida Sans Unicode"/>
                      <w:szCs w:val="24"/>
                      <w:lang w:eastAsia="lt-LT"/>
                    </w:rPr>
                  </w:pPr>
                  <w:r>
                    <w:rPr>
                      <w:rFonts w:eastAsia="Lucida Sans Unicode"/>
                      <w:szCs w:val="24"/>
                      <w:lang w:eastAsia="lt-LT"/>
                    </w:rPr>
                    <w:t>Vidutinės pusės valandos vertės reikalingos tik apskaičiuojant vidutines paros vertes.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2 pr. 2.2 p."/>
                <w:tag w:val="part_40073cfcb1544c45b5d52e82d6f375e8"/>
                <w:lock w:val="sdtLocked"/>
                <w:richText/>
              </w:sdtPr>
              <w:sdtContent>
                <w:p>
                  <w:pPr>
                    <w:ind w:firstLine="567"/>
                    <w:jc w:val="both"/>
                    <w:rPr>
                      <w:szCs w:val="24"/>
                      <w:lang w:eastAsia="lt-LT"/>
                    </w:rPr>
                  </w:pPr>
                  <w:sdt>
                    <w:sdtPr>
                      <w:alias w:val="Numeris"/>
                      <w:tag w:val="nr_40073cfcb1544c45b5d52e82d6f375e8"/>
                      <w:lock w:val="sdtLocked"/>
                      <w:richText/>
                    </w:sdtPr>
                    <w:sdtContent>
                      <w:r>
                        <w:rPr>
                          <w:szCs w:val="24"/>
                          <w:lang w:eastAsia="lt-LT"/>
                        </w:rPr>
                        <w:t>2.2</w:t>
                      </w:r>
                    </w:sdtContent>
                  </w:sdt>
                  <w:r>
                    <w:rPr>
                      <w:szCs w:val="24"/>
                      <w:lang w:eastAsia="lt-LT"/>
                    </w:rPr>
                    <w:t>. Cemento gamybos krosnims, bendrai deginančioms atliekas, taikomos šios bendrosios išmetamųjų teršalų ribinės vertės:</w:t>
                  </w:r>
                </w:p>
                <w:p>
                  <w:pPr>
                    <w:ind w:firstLine="567"/>
                    <w:jc w:val="both"/>
                    <w:rPr>
                      <w:rFonts w:ascii="Tahoma" w:hAnsi="Tahoma" w:cs="Tahoma"/>
                      <w:szCs w:val="24"/>
                      <w:lang w:eastAsia="lt-LT"/>
                    </w:rPr>
                  </w:pPr>
                </w:p>
                <w:tbl>
                  <w:tblPr>
                    <w:tblW w:w="9070" w:type="dxa"/>
                    <w:tblCellMar>
                      <w:left w:w="0" w:type="dxa"/>
                      <w:right w:w="0" w:type="dxa"/>
                    </w:tblCellMar>
                    <w:tblLook w:val="04A0" w:firstRow="1" w:lastRow="0" w:firstColumn="1" w:lastColumn="0" w:noHBand="0" w:noVBand="1"/>
                  </w:tblPr>
                  <w:tblGrid>
                    <w:gridCol w:w="6013"/>
                    <w:gridCol w:w="3057"/>
                  </w:tblGrid>
                  <w:tr>
                    <w:tc>
                      <w:tcPr>
                        <w:tcW w:w="616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b/>
                            <w:bCs/>
                            <w:sz w:val="20"/>
                            <w:lang w:eastAsia="lt-LT"/>
                          </w:rPr>
                          <w:t>Teršalas</w:t>
                        </w:r>
                      </w:p>
                    </w:tc>
                    <w:tc>
                      <w:tcPr>
                        <w:tcW w:w="3120"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b/>
                            <w:bCs/>
                            <w:sz w:val="20"/>
                            <w:lang w:eastAsia="lt-LT"/>
                          </w:rPr>
                          <w:t>C</w:t>
                        </w:r>
                      </w:p>
                    </w:tc>
                  </w:tr>
                  <w:tr>
                    <w:tc>
                      <w:tcPr>
                        <w:tcW w:w="6168"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Bendras dulkių kiekis</w:t>
                        </w:r>
                      </w:p>
                    </w:tc>
                    <w:tc>
                      <w:tcPr>
                        <w:tcW w:w="3120" w:type="dxa"/>
                        <w:tcBorders>
                          <w:top w:val="nil"/>
                          <w:left w:val="nil"/>
                          <w:bottom w:val="single" w:sz="4"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30 mg/Nm</w:t>
                        </w:r>
                        <w:r>
                          <w:rPr>
                            <w:sz w:val="20"/>
                            <w:vertAlign w:val="superscript"/>
                            <w:lang w:eastAsia="lt-LT"/>
                          </w:rPr>
                          <w:t>3</w:t>
                        </w:r>
                      </w:p>
                    </w:tc>
                  </w:tr>
                  <w:tr>
                    <w:tc>
                      <w:tcPr>
                        <w:tcW w:w="6168"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HCl</w:t>
                        </w:r>
                      </w:p>
                    </w:tc>
                    <w:tc>
                      <w:tcPr>
                        <w:tcW w:w="312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10 mg/Nm</w:t>
                        </w:r>
                        <w:r>
                          <w:rPr>
                            <w:sz w:val="20"/>
                            <w:vertAlign w:val="superscript"/>
                            <w:lang w:eastAsia="lt-LT"/>
                          </w:rPr>
                          <w:t>3</w:t>
                        </w:r>
                      </w:p>
                    </w:tc>
                  </w:tr>
                  <w:tr>
                    <w:tc>
                      <w:tcPr>
                        <w:tcW w:w="6168"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HF</w:t>
                        </w:r>
                      </w:p>
                    </w:tc>
                    <w:tc>
                      <w:tcPr>
                        <w:tcW w:w="312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1 mg/Nm</w:t>
                        </w:r>
                        <w:r>
                          <w:rPr>
                            <w:sz w:val="20"/>
                            <w:vertAlign w:val="superscript"/>
                            <w:lang w:eastAsia="lt-LT"/>
                          </w:rPr>
                          <w:t>3</w:t>
                        </w:r>
                      </w:p>
                    </w:tc>
                  </w:tr>
                  <w:tr>
                    <w:tc>
                      <w:tcPr>
                        <w:tcW w:w="6168"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NO</w:t>
                        </w:r>
                        <w:r>
                          <w:rPr>
                            <w:sz w:val="20"/>
                            <w:vertAlign w:val="subscript"/>
                            <w:lang w:eastAsia="lt-LT"/>
                          </w:rPr>
                          <w:t>x</w:t>
                        </w:r>
                        <w:r>
                          <w:rPr>
                            <w:sz w:val="20"/>
                            <w:lang w:eastAsia="lt-LT"/>
                          </w:rPr>
                          <w:t xml:space="preserve"> </w:t>
                        </w:r>
                      </w:p>
                    </w:tc>
                    <w:tc>
                      <w:tcPr>
                        <w:tcW w:w="312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500 mg/Nm</w:t>
                        </w:r>
                        <w:r>
                          <w:rPr>
                            <w:sz w:val="20"/>
                            <w:vertAlign w:val="superscript"/>
                            <w:lang w:eastAsia="lt-LT"/>
                          </w:rPr>
                          <w:t>3</w:t>
                        </w:r>
                        <w:r>
                          <w:rPr>
                            <w:b/>
                            <w:sz w:val="20"/>
                            <w:vertAlign w:val="superscript"/>
                            <w:lang w:eastAsia="lt-LT"/>
                          </w:rPr>
                          <w:t>*</w:t>
                        </w:r>
                      </w:p>
                    </w:tc>
                  </w:tr>
                  <w:tr>
                    <w:tc>
                      <w:tcPr>
                        <w:tcW w:w="6168"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SO</w:t>
                        </w:r>
                        <w:r>
                          <w:rPr>
                            <w:sz w:val="20"/>
                            <w:vertAlign w:val="subscript"/>
                            <w:lang w:eastAsia="lt-LT"/>
                          </w:rPr>
                          <w:t>2</w:t>
                        </w:r>
                      </w:p>
                    </w:tc>
                    <w:tc>
                      <w:tcPr>
                        <w:tcW w:w="312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50 mg/Nm</w:t>
                        </w:r>
                        <w:r>
                          <w:rPr>
                            <w:sz w:val="20"/>
                            <w:vertAlign w:val="superscript"/>
                            <w:lang w:eastAsia="lt-LT"/>
                          </w:rPr>
                          <w:t>3**</w:t>
                        </w:r>
                      </w:p>
                    </w:tc>
                  </w:tr>
                  <w:tr>
                    <w:tc>
                      <w:tcPr>
                        <w:tcW w:w="6168"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BOA</w:t>
                        </w:r>
                      </w:p>
                    </w:tc>
                    <w:tc>
                      <w:tcPr>
                        <w:tcW w:w="312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10 mg/Nm</w:t>
                        </w:r>
                        <w:r>
                          <w:rPr>
                            <w:sz w:val="20"/>
                            <w:vertAlign w:val="superscript"/>
                            <w:lang w:eastAsia="lt-LT"/>
                          </w:rPr>
                          <w:t>3**</w:t>
                        </w:r>
                      </w:p>
                    </w:tc>
                  </w:tr>
                  <w:tr>
                    <w:tc>
                      <w:tcPr>
                        <w:tcW w:w="6168"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Cd + Tl</w:t>
                        </w:r>
                      </w:p>
                    </w:tc>
                    <w:tc>
                      <w:tcPr>
                        <w:tcW w:w="3120"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0,05 mg/Nm</w:t>
                        </w:r>
                        <w:r>
                          <w:rPr>
                            <w:sz w:val="20"/>
                            <w:vertAlign w:val="superscript"/>
                            <w:lang w:eastAsia="lt-LT"/>
                          </w:rPr>
                          <w:t>3</w:t>
                        </w:r>
                      </w:p>
                    </w:tc>
                  </w:tr>
                  <w:tr>
                    <w:tc>
                      <w:tcPr>
                        <w:tcW w:w="6168"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Hg</w:t>
                        </w:r>
                      </w:p>
                    </w:tc>
                    <w:tc>
                      <w:tcPr>
                        <w:tcW w:w="3120" w:type="dxa"/>
                        <w:tcBorders>
                          <w:top w:val="nil"/>
                          <w:left w:val="single" w:sz="4" w:space="0" w:color="auto"/>
                          <w:bottom w:val="single" w:sz="4"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0,05 mg/Nm</w:t>
                        </w:r>
                        <w:r>
                          <w:rPr>
                            <w:sz w:val="20"/>
                            <w:vertAlign w:val="superscript"/>
                            <w:lang w:eastAsia="lt-LT"/>
                          </w:rPr>
                          <w:t>3</w:t>
                        </w:r>
                      </w:p>
                    </w:tc>
                  </w:tr>
                  <w:tr>
                    <w:tc>
                      <w:tcPr>
                        <w:tcW w:w="6168"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Sb + As + Pb + Cr + Co + Cu + Mn + Ni + V</w:t>
                        </w:r>
                      </w:p>
                    </w:tc>
                    <w:tc>
                      <w:tcPr>
                        <w:tcW w:w="3120"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0,5 mg/Nm</w:t>
                        </w:r>
                        <w:r>
                          <w:rPr>
                            <w:sz w:val="20"/>
                            <w:vertAlign w:val="superscript"/>
                            <w:lang w:eastAsia="lt-LT"/>
                          </w:rPr>
                          <w:t>3</w:t>
                        </w:r>
                      </w:p>
                    </w:tc>
                  </w:tr>
                  <w:tr>
                    <w:tc>
                      <w:tcPr>
                        <w:tcW w:w="6168"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Dioksinai ir furanai</w:t>
                        </w:r>
                      </w:p>
                    </w:tc>
                    <w:tc>
                      <w:tcPr>
                        <w:tcW w:w="3120" w:type="dxa"/>
                        <w:tcBorders>
                          <w:top w:val="nil"/>
                          <w:left w:val="nil"/>
                          <w:bottom w:val="single" w:sz="8" w:space="0" w:color="auto"/>
                          <w:right w:val="single" w:sz="8" w:space="0" w:color="auto"/>
                        </w:tcBorders>
                        <w:tcMar>
                          <w:top w:w="0" w:type="dxa"/>
                          <w:left w:w="108" w:type="dxa"/>
                          <w:bottom w:w="0" w:type="dxa"/>
                          <w:right w:w="108" w:type="dxa"/>
                        </w:tcMar>
                      </w:tcPr>
                      <w:p>
                        <w:pPr>
                          <w:ind w:firstLine="567"/>
                          <w:jc w:val="both"/>
                          <w:rPr>
                            <w:rFonts w:ascii="Tahoma" w:hAnsi="Tahoma" w:cs="Tahoma"/>
                            <w:sz w:val="20"/>
                            <w:lang w:eastAsia="lt-LT"/>
                          </w:rPr>
                        </w:pPr>
                        <w:r>
                          <w:rPr>
                            <w:sz w:val="20"/>
                            <w:lang w:eastAsia="lt-LT"/>
                          </w:rPr>
                          <w:t>0,1 ng/Nm</w:t>
                        </w:r>
                        <w:r>
                          <w:rPr>
                            <w:sz w:val="20"/>
                            <w:vertAlign w:val="superscript"/>
                            <w:lang w:eastAsia="lt-LT"/>
                          </w:rPr>
                          <w:t>3</w:t>
                        </w:r>
                        <w:r>
                          <w:rPr>
                            <w:sz w:val="20"/>
                            <w:lang w:eastAsia="lt-LT"/>
                          </w:rPr>
                          <w:t xml:space="preserve">  </w:t>
                        </w:r>
                      </w:p>
                    </w:tc>
                  </w:tr>
                </w:tbl>
                <w:sdt>
                  <w:sdtPr>
                    <w:alias w:val="pastraipa"/>
                    <w:tag w:val="part_dfb798e7dfe3474093eee845861a2a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Lucida Sans Unicode"/>
                          <w:sz w:val="22"/>
                          <w:szCs w:val="22"/>
                          <w:lang w:eastAsia="lt-LT"/>
                        </w:rPr>
                      </w:pPr>
                      <w:r>
                        <w:rPr>
                          <w:rFonts w:eastAsia="Calibri"/>
                          <w:szCs w:val="24"/>
                        </w:rPr>
                        <w:t>* Iki 2016 m. sausio 1 d. Aplinkos apsaugos agentūra gali nustatyti išimtis dėl NOx ribinės vertės pusiau šlapio ar pusiau sauso degimo krosnies su grotelių šildytuvu (Lepol) krosnims ir ilgosioms rotacinėms kosnims su sąlyga, kad leidimas nustato ne didesnę kaip 800 mg/Nm</w:t>
                      </w:r>
                      <w:r>
                        <w:rPr>
                          <w:rFonts w:eastAsia="Calibri"/>
                          <w:szCs w:val="24"/>
                          <w:vertAlign w:val="subscript"/>
                        </w:rPr>
                        <w:t xml:space="preserve">3 </w:t>
                      </w:r>
                      <w:r>
                        <w:rPr>
                          <w:rFonts w:eastAsia="Calibri"/>
                          <w:szCs w:val="24"/>
                        </w:rPr>
                        <w:t>NOx bendrą ribinę vertę;</w:t>
                      </w:r>
                    </w:p>
                  </w:sdtContent>
                </w:sdt>
                <w:sdt>
                  <w:sdtPr>
                    <w:alias w:val="pastraipa"/>
                    <w:tag w:val="part_878ac9ee1a394f1ca25b7c54086120f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Lucida Sans Unicode"/>
                          <w:szCs w:val="24"/>
                          <w:lang w:eastAsia="lt-LT"/>
                        </w:rPr>
                      </w:pPr>
                      <w:r>
                        <w:rPr>
                          <w:rFonts w:eastAsia="Calibri"/>
                          <w:szCs w:val="24"/>
                        </w:rPr>
                        <w:t>** Aplinkos apsaugos agentūra gali nustatyti kitas SO</w:t>
                      </w:r>
                      <w:r>
                        <w:rPr>
                          <w:rFonts w:eastAsia="Calibri"/>
                          <w:szCs w:val="24"/>
                          <w:vertAlign w:val="subscript"/>
                        </w:rPr>
                        <w:t xml:space="preserve">2 </w:t>
                      </w:r>
                      <w:r>
                        <w:rPr>
                          <w:rFonts w:eastAsia="Calibri"/>
                          <w:szCs w:val="24"/>
                        </w:rPr>
                        <w:t>ir BOA ribines vertes, jei įrodoma, kad šie teršalai susidaro ne dėl atliekų deginimo.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ac700f57611e4927fda1d051299fb">
                    <w:r w:rsidRPr="00532B9F">
                      <w:rPr>
                        <w:rFonts w:ascii="Times New Roman" w:eastAsia="MS Mincho" w:hAnsi="Times New Roman"/>
                        <w:sz w:val="20"/>
                        <w:i/>
                        <w:iCs/>
                        <w:color w:val="0000FF" w:themeColor="hyperlink"/>
                        <w:u w:val="single"/>
                      </w:rPr>
                      <w:t>D1-399</w:t>
                    </w:r>
                  </w:fldSimple>
                  <w:r>
                    <w:rPr>
                      <w:rFonts w:ascii="Times New Roman" w:eastAsia="MS Mincho" w:hAnsi="Times New Roman"/>
                      <w:sz w:val="20"/>
                      <w:i/>
                      <w:iCs/>
                    </w:rPr>
                    <w:t>,
2015-05-08,
paskelbta TAR 2015-05-08, i. k. 2015-07010            </w:t>
                  </w:r>
                </w:p>
                <w:p/>
              </w:sdtContent>
            </w:sdt>
            <w:sdt>
              <w:sdtPr>
                <w:alias w:val="2 pr. 2.3 p."/>
                <w:tag w:val="part_f3bbc1fdaee44486b1c92b7ab9429ca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Lucida Sans Unicode"/>
                      <w:b/>
                      <w:bCs/>
                      <w:szCs w:val="24"/>
                      <w:lang w:eastAsia="lt-LT"/>
                    </w:rPr>
                  </w:pPr>
                  <w:sdt>
                    <w:sdtPr>
                      <w:alias w:val="Numeris"/>
                      <w:tag w:val="nr_f3bbc1fdaee44486b1c92b7ab9429ca2"/>
                      <w:lock w:val="sdtLocked"/>
                      <w:richText/>
                    </w:sdtPr>
                    <w:sdtContent>
                      <w:r>
                        <w:rPr>
                          <w:rFonts w:eastAsia="Calibri"/>
                          <w:szCs w:val="24"/>
                          <w:lang w:val="en-US"/>
                        </w:rPr>
                        <w:t>2.3</w:t>
                      </w:r>
                    </w:sdtContent>
                  </w:sdt>
                  <w:r>
                    <w:rPr>
                      <w:rFonts w:eastAsia="Calibri"/>
                      <w:szCs w:val="24"/>
                      <w:lang w:val="en-US"/>
                    </w:rPr>
                    <w:t>. Aplinkos apsaugos agentūra gali nustatyti CO išmetimo ribines vertes.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sdtContent>
            </w:sdt>
          </w:sdtContent>
        </w:sdt>
        <w:sdt>
          <w:sdtPr>
            <w:alias w:val="2 pr. 3 p."/>
            <w:tag w:val="part_af0ae9f3aed049ada32da668dc065ff7"/>
            <w:lock w:val="sdtLocked"/>
            <w:richText/>
          </w:sdtPr>
          <w:sdtContent>
            <w:p>
              <w:pPr>
                <w:widowControl w:val="0"/>
                <w:suppressAutoHyphens/>
                <w:jc w:val="center"/>
                <w:rPr>
                  <w:rFonts w:eastAsia="Lucida Sans Unicode"/>
                  <w:szCs w:val="24"/>
                  <w:lang w:eastAsia="lt-LT"/>
                </w:rPr>
              </w:pPr>
              <w:sdt>
                <w:sdtPr>
                  <w:alias w:val="Numeris"/>
                  <w:tag w:val="nr_af0ae9f3aed049ada32da668dc065ff7"/>
                  <w:lock w:val="sdtLocked"/>
                  <w:richText/>
                </w:sdtPr>
                <w:sdtContent>
                  <w:r>
                    <w:rPr>
                      <w:rFonts w:eastAsia="Lucida Sans Unicode"/>
                      <w:b/>
                      <w:bCs/>
                      <w:szCs w:val="24"/>
                      <w:lang w:eastAsia="lt-LT"/>
                    </w:rPr>
                    <w:t>3</w:t>
                  </w:r>
                </w:sdtContent>
              </w:sdt>
              <w:r>
                <w:rPr>
                  <w:rFonts w:eastAsia="Lucida Sans Unicode"/>
                  <w:b/>
                  <w:bCs/>
                  <w:szCs w:val="24"/>
                  <w:lang w:eastAsia="lt-LT"/>
                </w:rPr>
                <w:t>.</w:t>
              </w:r>
              <w:r>
                <w:rPr>
                  <w:rFonts w:eastAsia="Lucida Sans Unicode"/>
                  <w:szCs w:val="24"/>
                  <w:lang w:eastAsia="lt-LT"/>
                </w:rPr>
                <w:t xml:space="preserve"> </w:t>
              </w:r>
              <w:r>
                <w:rPr>
                  <w:rFonts w:eastAsia="Lucida Sans Unicode"/>
                  <w:b/>
                  <w:bCs/>
                  <w:szCs w:val="24"/>
                  <w:lang w:eastAsia="lt-LT"/>
                </w:rPr>
                <w:t>Specialieji reikalavimai bendro deginimo įrenginiams</w:t>
              </w:r>
            </w:p>
            <w:sdt>
              <w:sdtPr>
                <w:alias w:val="2 pr. 3.1 p."/>
                <w:tag w:val="part_ea5f32ec7b5445c2bf9d09c2d58b6319"/>
                <w:lock w:val="sdtLocked"/>
                <w:richText/>
              </w:sdtPr>
              <w:sdtContent>
                <w:p>
                  <w:pPr>
                    <w:ind w:firstLine="567"/>
                    <w:jc w:val="both"/>
                    <w:rPr>
                      <w:szCs w:val="24"/>
                      <w:lang w:eastAsia="lt-LT"/>
                    </w:rPr>
                  </w:pPr>
                  <w:sdt>
                    <w:sdtPr>
                      <w:alias w:val="Numeris"/>
                      <w:tag w:val="nr_ea5f32ec7b5445c2bf9d09c2d58b6319"/>
                      <w:lock w:val="sdtLocked"/>
                      <w:richText/>
                    </w:sdtPr>
                    <w:sdtContent>
                      <w:r>
                        <w:rPr>
                          <w:szCs w:val="24"/>
                          <w:lang w:eastAsia="lt-LT"/>
                        </w:rPr>
                        <w:t>3.1</w:t>
                      </w:r>
                    </w:sdtContent>
                  </w:sdt>
                  <w:r>
                    <w:rPr>
                      <w:szCs w:val="24"/>
                      <w:lang w:eastAsia="lt-LT"/>
                    </w:rPr>
                    <w:t>.</w:t>
                  </w:r>
                  <w:r>
                    <w:rPr>
                      <w:sz w:val="22"/>
                      <w:szCs w:val="24"/>
                      <w:lang w:eastAsia="lt-LT"/>
                    </w:rPr>
                    <w:t xml:space="preserve"> </w:t>
                  </w:r>
                  <w:r>
                    <w:rPr>
                      <w:szCs w:val="24"/>
                      <w:lang w:eastAsia="lt-LT"/>
                    </w:rPr>
                    <w:t>Išmetamųjų teršalų ribinės vertės (C</w:t>
                  </w:r>
                  <w:r>
                    <w:rPr>
                      <w:szCs w:val="24"/>
                      <w:vertAlign w:val="subscript"/>
                      <w:lang w:eastAsia="lt-LT"/>
                    </w:rPr>
                    <w:t>proc</w:t>
                  </w:r>
                  <w:r>
                    <w:rPr>
                      <w:szCs w:val="24"/>
                      <w:lang w:eastAsia="lt-LT"/>
                    </w:rPr>
                    <w:t>), išreikštos vidutine paros verte (mg/Nm</w:t>
                  </w:r>
                  <w:r>
                    <w:rPr>
                      <w:szCs w:val="24"/>
                      <w:vertAlign w:val="superscript"/>
                      <w:lang w:eastAsia="lt-LT"/>
                    </w:rPr>
                    <w:t>3</w:t>
                  </w:r>
                  <w:r>
                    <w:rPr>
                      <w:szCs w:val="24"/>
                      <w:lang w:eastAsia="lt-LT"/>
                    </w:rPr>
                    <w:t>), galioja iki:</w:t>
                  </w:r>
                </w:p>
                <w:sdt>
                  <w:sdtPr>
                    <w:alias w:val="2 pr. 3.1.1 p."/>
                    <w:tag w:val="part_44f42bcf10ae496db08dde7536989fb3"/>
                    <w:lock w:val="sdtLocked"/>
                    <w:richText/>
                  </w:sdtPr>
                  <w:sdtContent>
                    <w:p>
                      <w:pPr>
                        <w:ind w:firstLine="567"/>
                        <w:jc w:val="both"/>
                        <w:rPr>
                          <w:rFonts w:eastAsia="Calibri"/>
                          <w:color w:val="000000"/>
                          <w:szCs w:val="24"/>
                        </w:rPr>
                      </w:pPr>
                      <w:sdt>
                        <w:sdtPr>
                          <w:alias w:val="Numeris"/>
                          <w:tag w:val="nr_44f42bcf10ae496db08dde7536989fb3"/>
                          <w:lock w:val="sdtLocked"/>
                          <w:richText/>
                        </w:sdtPr>
                        <w:sdtContent>
                          <w:r>
                            <w:rPr>
                              <w:rFonts w:eastAsia="Calibri"/>
                              <w:color w:val="000000"/>
                              <w:szCs w:val="24"/>
                            </w:rPr>
                            <w:t>3.1.1</w:t>
                          </w:r>
                        </w:sdtContent>
                      </w:sdt>
                      <w:r>
                        <w:rPr>
                          <w:rFonts w:eastAsia="Calibri"/>
                          <w:color w:val="000000"/>
                          <w:szCs w:val="24"/>
                        </w:rPr>
                        <w:t>. 2015 m. gruodžio 31 d. – bendro deginimo įrenginiams, kuriems leidimas išduotas ar kurių operatoriai pateikė išsamų prašymą išduoti leidimą anksčiau nei 2013 m. balandžio 30 d., jei tokie įrenginiai pradėti eksploatuoti ne vėliau kaip 2014 m. sausio 7 d.</w:t>
                      </w:r>
                    </w:p>
                  </w:sdtContent>
                </w:sdt>
                <w:sdt>
                  <w:sdtPr>
                    <w:alias w:val="2 pr. 3.1.2 p."/>
                    <w:tag w:val="part_df2fb91bf0dd471386ebb5ccf6456e58"/>
                    <w:lock w:val="sdtLocked"/>
                    <w:richText/>
                  </w:sdtPr>
                  <w:sdtContent>
                    <w:p>
                      <w:pPr>
                        <w:ind w:firstLine="567"/>
                        <w:jc w:val="both"/>
                        <w:rPr>
                          <w:color w:val="000000"/>
                          <w:szCs w:val="24"/>
                          <w:lang w:eastAsia="lt-LT"/>
                        </w:rPr>
                      </w:pPr>
                      <w:sdt>
                        <w:sdtPr>
                          <w:alias w:val="Numeris"/>
                          <w:tag w:val="nr_df2fb91bf0dd471386ebb5ccf6456e58"/>
                          <w:lock w:val="sdtLocked"/>
                          <w:richText/>
                        </w:sdtPr>
                        <w:sdtContent>
                          <w:r>
                            <w:rPr>
                              <w:color w:val="000000"/>
                              <w:szCs w:val="24"/>
                              <w:lang w:eastAsia="lt-LT"/>
                            </w:rPr>
                            <w:t>3.1.2</w:t>
                          </w:r>
                        </w:sdtContent>
                      </w:sdt>
                      <w:r>
                        <w:rPr>
                          <w:color w:val="000000"/>
                          <w:szCs w:val="24"/>
                          <w:lang w:eastAsia="lt-LT"/>
                        </w:rPr>
                        <w:t xml:space="preserve">. </w:t>
                      </w:r>
                      <w:r>
                        <w:rPr>
                          <w:color w:val="000000"/>
                        </w:rPr>
                        <w:t>2013 m. balandžio 30 d. – 3.1.1 papunktyje nepaminėtiems kurą deginantiems įrenginiams</w:t>
                      </w:r>
                      <w:r>
                        <w:rPr>
                          <w:color w:val="000000"/>
                          <w:szCs w:val="24"/>
                          <w:lang w:eastAsia="lt-LT"/>
                        </w:rPr>
                        <w:t>.</w:t>
                      </w:r>
                    </w:p>
                    <w:p>
                      <w:pPr>
                        <w:ind w:firstLine="567"/>
                        <w:jc w:val="both"/>
                        <w:rPr>
                          <w:szCs w:val="24"/>
                          <w:lang w:eastAsia="lt-LT"/>
                        </w:rPr>
                      </w:pPr>
                      <w:r>
                        <w:t xml:space="preserve">Nustatant bendrą nominalią šiluminę kurą deginančių įrenginių galią, taikomos </w:t>
                      </w:r>
                      <w:r>
                        <w:rPr>
                          <w:color w:val="000000"/>
                        </w:rPr>
                        <w:t>Specialiuosiuose reikalavimuose dideliems kurą deginantiems įrenginiams,</w:t>
                      </w:r>
                      <w:r>
                        <w:t xml:space="preserve"> </w:t>
                      </w:r>
                      <w:r>
                        <w:rPr>
                          <w:bCs/>
                        </w:rPr>
                        <w:t>patvirtintuose</w:t>
                      </w:r>
                      <w:r>
                        <w:t xml:space="preserve"> Lietuvos Respublikos aplinkos ministro 2001 m. rugsėjo 28 d. įsakymu Nr. 486 „Dėl Specialiųjų reikalavimų dideliems kurą deginantiems įrenginiams patvirtinimo“, </w:t>
                      </w:r>
                      <w:r>
                        <w:rPr>
                          <w:bCs/>
                        </w:rPr>
                        <w:t>įtvirtintos</w:t>
                      </w:r>
                      <w:r>
                        <w:t xml:space="preserve"> jungimo taisyklės. Vidutinės pusės valandos vertės reikalingos tik apskaičiuojant vidutines paros vertes</w:t>
                      </w:r>
                      <w:r>
                        <w:rPr>
                          <w:szCs w:val="24"/>
                          <w:lang w:eastAsia="lt-LT"/>
                        </w:rPr>
                        <w:t>.</w:t>
                      </w:r>
                    </w:p>
                    <w:p>
                      <w:pPr>
                        <w:widowControl w:val="0"/>
                        <w:suppressAutoHyphens/>
                        <w:ind w:firstLine="567"/>
                        <w:jc w:val="both"/>
                        <w:rPr>
                          <w:szCs w:val="24"/>
                          <w:lang w:eastAsia="lt-LT"/>
                        </w:rPr>
                      </w:pPr>
                      <w:r>
                        <w:rPr>
                          <w:szCs w:val="24"/>
                          <w:lang w:eastAsia="lt-LT"/>
                        </w:rPr>
                        <w:t>Įrenginiams, deginantiems kietąjį kurą, taikomos šios vidutinės paros išmetamųjų teršalų ribinės vertės (C</w:t>
                      </w:r>
                      <w:r>
                        <w:rPr>
                          <w:szCs w:val="24"/>
                          <w:vertAlign w:val="subscript"/>
                          <w:lang w:eastAsia="lt-LT"/>
                        </w:rPr>
                        <w:t>PROC</w:t>
                      </w:r>
                      <w:r>
                        <w:rPr>
                          <w:szCs w:val="24"/>
                          <w:lang w:eastAsia="lt-LT"/>
                        </w:rPr>
                        <w:t xml:space="preserve"> išreikšta mg/Nm</w:t>
                      </w:r>
                      <w:r>
                        <w:rPr>
                          <w:szCs w:val="24"/>
                          <w:vertAlign w:val="superscript"/>
                          <w:lang w:eastAsia="lt-LT"/>
                        </w:rPr>
                        <w:t>3</w:t>
                      </w:r>
                      <w:r>
                        <w:rPr>
                          <w:szCs w:val="24"/>
                          <w:lang w:eastAsia="lt-LT"/>
                        </w:rPr>
                        <w:t>; standartinis O</w:t>
                      </w:r>
                      <w:r>
                        <w:rPr>
                          <w:szCs w:val="24"/>
                          <w:vertAlign w:val="subscript"/>
                          <w:lang w:eastAsia="lt-LT"/>
                        </w:rPr>
                        <w:t>2</w:t>
                      </w:r>
                      <w:r>
                        <w:rPr>
                          <w:szCs w:val="24"/>
                          <w:lang w:eastAsia="lt-LT"/>
                        </w:rPr>
                        <w:t xml:space="preserve"> kiekis – 6 %):</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02"/>
                        <w:gridCol w:w="1586"/>
                        <w:gridCol w:w="2245"/>
                        <w:gridCol w:w="2172"/>
                        <w:gridCol w:w="1465"/>
                      </w:tblGrid>
                      <w:tr>
                        <w:tc>
                          <w:tcPr>
                            <w:tcW w:w="1632" w:type="dxa"/>
                            <w:tcMar>
                              <w:top w:w="0" w:type="dxa"/>
                              <w:left w:w="108" w:type="dxa"/>
                              <w:bottom w:w="0" w:type="dxa"/>
                              <w:right w:w="108" w:type="dxa"/>
                            </w:tcMar>
                          </w:tcPr>
                          <w:p>
                            <w:pPr>
                              <w:rPr>
                                <w:rFonts w:ascii="Tahoma" w:hAnsi="Tahoma" w:cs="Tahoma"/>
                                <w:b/>
                                <w:sz w:val="20"/>
                                <w:lang w:eastAsia="lt-LT"/>
                              </w:rPr>
                            </w:pPr>
                            <w:r>
                              <w:rPr>
                                <w:b/>
                                <w:bCs/>
                                <w:sz w:val="20"/>
                                <w:lang w:eastAsia="lt-LT"/>
                              </w:rPr>
                              <w:t>Teršalai</w:t>
                            </w:r>
                          </w:p>
                        </w:tc>
                        <w:tc>
                          <w:tcPr>
                            <w:tcW w:w="1621" w:type="dxa"/>
                            <w:tcMar>
                              <w:top w:w="0" w:type="dxa"/>
                              <w:left w:w="108" w:type="dxa"/>
                              <w:bottom w:w="0" w:type="dxa"/>
                              <w:right w:w="108" w:type="dxa"/>
                            </w:tcMar>
                          </w:tcPr>
                          <w:p>
                            <w:pPr>
                              <w:rPr>
                                <w:rFonts w:ascii="Tahoma" w:hAnsi="Tahoma" w:cs="Tahoma"/>
                                <w:b/>
                                <w:sz w:val="20"/>
                                <w:lang w:eastAsia="lt-LT"/>
                              </w:rPr>
                            </w:pPr>
                            <w:r>
                              <w:rPr>
                                <w:b/>
                                <w:bCs/>
                                <w:sz w:val="20"/>
                                <w:lang w:eastAsia="lt-LT"/>
                              </w:rPr>
                              <w:t>&lt;50 MWth</w:t>
                            </w:r>
                          </w:p>
                        </w:tc>
                        <w:tc>
                          <w:tcPr>
                            <w:tcW w:w="2308" w:type="dxa"/>
                            <w:tcMar>
                              <w:top w:w="0" w:type="dxa"/>
                              <w:left w:w="108" w:type="dxa"/>
                              <w:bottom w:w="0" w:type="dxa"/>
                              <w:right w:w="108" w:type="dxa"/>
                            </w:tcMar>
                          </w:tcPr>
                          <w:p>
                            <w:pPr>
                              <w:rPr>
                                <w:rFonts w:ascii="Tahoma" w:hAnsi="Tahoma" w:cs="Tahoma"/>
                                <w:b/>
                                <w:sz w:val="20"/>
                                <w:lang w:eastAsia="lt-LT"/>
                              </w:rPr>
                            </w:pPr>
                            <w:r>
                              <w:rPr>
                                <w:b/>
                                <w:bCs/>
                                <w:sz w:val="20"/>
                                <w:lang w:eastAsia="lt-LT"/>
                              </w:rPr>
                              <w:t>Nuo 50 iki 100 MWth</w:t>
                            </w:r>
                          </w:p>
                        </w:tc>
                        <w:tc>
                          <w:tcPr>
                            <w:tcW w:w="2232" w:type="dxa"/>
                            <w:tcMar>
                              <w:top w:w="0" w:type="dxa"/>
                              <w:left w:w="108" w:type="dxa"/>
                              <w:bottom w:w="0" w:type="dxa"/>
                              <w:right w:w="108" w:type="dxa"/>
                            </w:tcMar>
                          </w:tcPr>
                          <w:p>
                            <w:pPr>
                              <w:rPr>
                                <w:rFonts w:ascii="Tahoma" w:hAnsi="Tahoma" w:cs="Tahoma"/>
                                <w:b/>
                                <w:sz w:val="20"/>
                                <w:lang w:eastAsia="lt-LT"/>
                              </w:rPr>
                            </w:pPr>
                            <w:r>
                              <w:rPr>
                                <w:b/>
                                <w:bCs/>
                                <w:sz w:val="20"/>
                                <w:lang w:eastAsia="lt-LT"/>
                              </w:rPr>
                              <w:t>Nuo 100 iki 300 MWth</w:t>
                            </w:r>
                          </w:p>
                        </w:tc>
                        <w:tc>
                          <w:tcPr>
                            <w:tcW w:w="1495" w:type="dxa"/>
                            <w:tcMar>
                              <w:top w:w="0" w:type="dxa"/>
                              <w:left w:w="108" w:type="dxa"/>
                              <w:bottom w:w="0" w:type="dxa"/>
                              <w:right w:w="108" w:type="dxa"/>
                            </w:tcMar>
                          </w:tcPr>
                          <w:p>
                            <w:pPr>
                              <w:rPr>
                                <w:rFonts w:ascii="Tahoma" w:hAnsi="Tahoma" w:cs="Tahoma"/>
                                <w:b/>
                                <w:sz w:val="20"/>
                                <w:lang w:eastAsia="lt-LT"/>
                              </w:rPr>
                            </w:pPr>
                            <w:r>
                              <w:rPr>
                                <w:b/>
                                <w:bCs/>
                                <w:sz w:val="20"/>
                                <w:lang w:eastAsia="lt-LT"/>
                              </w:rPr>
                              <w:t>&gt;300 MWth</w:t>
                            </w:r>
                          </w:p>
                        </w:tc>
                      </w:tr>
                      <w:tr>
                        <w:trPr>
                          <w:cantSplit/>
                          <w:trHeight w:val="235"/>
                        </w:trPr>
                        <w:tc>
                          <w:tcPr>
                            <w:tcW w:w="1632" w:type="dxa"/>
                            <w:tcMar>
                              <w:top w:w="0" w:type="dxa"/>
                              <w:left w:w="108" w:type="dxa"/>
                              <w:bottom w:w="0" w:type="dxa"/>
                              <w:right w:w="108" w:type="dxa"/>
                            </w:tcMar>
                          </w:tcPr>
                          <w:p>
                            <w:pPr>
                              <w:rPr>
                                <w:rFonts w:ascii="Tahoma" w:hAnsi="Tahoma" w:cs="Tahoma"/>
                                <w:sz w:val="20"/>
                                <w:lang w:eastAsia="lt-LT"/>
                              </w:rPr>
                            </w:pPr>
                            <w:r>
                              <w:rPr>
                                <w:sz w:val="20"/>
                                <w:lang w:eastAsia="lt-LT"/>
                              </w:rPr>
                              <w:t>SO</w:t>
                            </w:r>
                            <w:r>
                              <w:rPr>
                                <w:sz w:val="20"/>
                                <w:vertAlign w:val="subscript"/>
                                <w:lang w:eastAsia="lt-LT"/>
                              </w:rPr>
                              <w:t>2</w:t>
                            </w:r>
                          </w:p>
                        </w:tc>
                        <w:tc>
                          <w:tcPr>
                            <w:tcW w:w="1621" w:type="dxa"/>
                            <w:tcMar>
                              <w:top w:w="0" w:type="dxa"/>
                              <w:left w:w="108" w:type="dxa"/>
                              <w:bottom w:w="0" w:type="dxa"/>
                              <w:right w:w="108" w:type="dxa"/>
                            </w:tcMar>
                          </w:tcPr>
                          <w:p>
                            <w:pPr>
                              <w:rPr>
                                <w:rFonts w:ascii="Tahoma" w:hAnsi="Tahoma" w:cs="Tahoma"/>
                                <w:sz w:val="20"/>
                                <w:lang w:eastAsia="lt-LT"/>
                              </w:rPr>
                            </w:pPr>
                          </w:p>
                        </w:tc>
                        <w:tc>
                          <w:tcPr>
                            <w:tcW w:w="2308" w:type="dxa"/>
                            <w:tcMar>
                              <w:top w:w="0" w:type="dxa"/>
                              <w:left w:w="108" w:type="dxa"/>
                              <w:bottom w:w="0" w:type="dxa"/>
                              <w:right w:w="108" w:type="dxa"/>
                            </w:tcMar>
                          </w:tcPr>
                          <w:p>
                            <w:pPr>
                              <w:rPr>
                                <w:rFonts w:ascii="Tahoma" w:hAnsi="Tahoma" w:cs="Tahoma"/>
                                <w:sz w:val="20"/>
                                <w:lang w:eastAsia="lt-LT"/>
                              </w:rPr>
                            </w:pPr>
                            <w:r>
                              <w:rPr>
                                <w:sz w:val="20"/>
                                <w:lang w:eastAsia="lt-LT"/>
                              </w:rPr>
                              <w:t>850</w:t>
                            </w:r>
                          </w:p>
                        </w:tc>
                        <w:tc>
                          <w:tcPr>
                            <w:tcW w:w="2232" w:type="dxa"/>
                            <w:tcMar>
                              <w:top w:w="0" w:type="dxa"/>
                              <w:left w:w="108" w:type="dxa"/>
                              <w:bottom w:w="0" w:type="dxa"/>
                              <w:right w:w="108" w:type="dxa"/>
                            </w:tcMar>
                          </w:tcPr>
                          <w:p>
                            <w:pPr>
                              <w:rPr>
                                <w:rFonts w:ascii="Tahoma" w:hAnsi="Tahoma" w:cs="Tahoma"/>
                                <w:sz w:val="20"/>
                                <w:lang w:eastAsia="lt-LT"/>
                              </w:rPr>
                            </w:pPr>
                            <w:r>
                              <w:rPr>
                                <w:sz w:val="20"/>
                                <w:lang w:eastAsia="lt-LT"/>
                              </w:rPr>
                              <w:t xml:space="preserve">200 </w:t>
                            </w:r>
                          </w:p>
                        </w:tc>
                        <w:tc>
                          <w:tcPr>
                            <w:tcW w:w="1495"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632" w:type="dxa"/>
                            <w:tcMar>
                              <w:top w:w="0" w:type="dxa"/>
                              <w:left w:w="108" w:type="dxa"/>
                              <w:bottom w:w="0" w:type="dxa"/>
                              <w:right w:w="108" w:type="dxa"/>
                            </w:tcMar>
                          </w:tcPr>
                          <w:p>
                            <w:pPr>
                              <w:rPr>
                                <w:rFonts w:ascii="Tahoma" w:hAnsi="Tahoma" w:cs="Tahoma"/>
                                <w:sz w:val="20"/>
                                <w:lang w:eastAsia="lt-LT"/>
                              </w:rPr>
                            </w:pPr>
                            <w:r>
                              <w:rPr>
                                <w:sz w:val="20"/>
                                <w:lang w:eastAsia="lt-LT"/>
                              </w:rPr>
                              <w:t>NO</w:t>
                            </w:r>
                            <w:r>
                              <w:rPr>
                                <w:sz w:val="20"/>
                                <w:vertAlign w:val="subscript"/>
                                <w:lang w:eastAsia="lt-LT"/>
                              </w:rPr>
                              <w:t>x</w:t>
                            </w:r>
                          </w:p>
                        </w:tc>
                        <w:tc>
                          <w:tcPr>
                            <w:tcW w:w="1621" w:type="dxa"/>
                            <w:tcMar>
                              <w:top w:w="0" w:type="dxa"/>
                              <w:left w:w="108" w:type="dxa"/>
                              <w:bottom w:w="0" w:type="dxa"/>
                              <w:right w:w="108" w:type="dxa"/>
                            </w:tcMar>
                          </w:tcPr>
                          <w:p>
                            <w:pPr>
                              <w:rPr>
                                <w:rFonts w:ascii="Tahoma" w:hAnsi="Tahoma" w:cs="Tahoma"/>
                                <w:sz w:val="20"/>
                                <w:lang w:eastAsia="lt-LT"/>
                              </w:rPr>
                            </w:pPr>
                          </w:p>
                        </w:tc>
                        <w:tc>
                          <w:tcPr>
                            <w:tcW w:w="2308" w:type="dxa"/>
                            <w:tcMar>
                              <w:top w:w="0" w:type="dxa"/>
                              <w:left w:w="108" w:type="dxa"/>
                              <w:bottom w:w="0" w:type="dxa"/>
                              <w:right w:w="108" w:type="dxa"/>
                            </w:tcMar>
                          </w:tcPr>
                          <w:p>
                            <w:pPr>
                              <w:rPr>
                                <w:rFonts w:ascii="Tahoma" w:hAnsi="Tahoma" w:cs="Tahoma"/>
                                <w:sz w:val="20"/>
                                <w:lang w:eastAsia="lt-LT"/>
                              </w:rPr>
                            </w:pPr>
                            <w:r>
                              <w:rPr>
                                <w:sz w:val="20"/>
                                <w:lang w:eastAsia="lt-LT"/>
                              </w:rPr>
                              <w:t>400</w:t>
                            </w:r>
                          </w:p>
                        </w:tc>
                        <w:tc>
                          <w:tcPr>
                            <w:tcW w:w="2232" w:type="dxa"/>
                            <w:tcMar>
                              <w:top w:w="0" w:type="dxa"/>
                              <w:left w:w="108" w:type="dxa"/>
                              <w:bottom w:w="0" w:type="dxa"/>
                              <w:right w:w="108" w:type="dxa"/>
                            </w:tcMar>
                          </w:tcPr>
                          <w:p>
                            <w:pPr>
                              <w:rPr>
                                <w:rFonts w:ascii="Tahoma" w:hAnsi="Tahoma" w:cs="Tahoma"/>
                                <w:sz w:val="20"/>
                                <w:lang w:eastAsia="lt-LT"/>
                              </w:rPr>
                            </w:pPr>
                            <w:r>
                              <w:rPr>
                                <w:sz w:val="20"/>
                                <w:lang w:eastAsia="lt-LT"/>
                              </w:rPr>
                              <w:t>200</w:t>
                            </w:r>
                          </w:p>
                        </w:tc>
                        <w:tc>
                          <w:tcPr>
                            <w:tcW w:w="1495"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632" w:type="dxa"/>
                            <w:tcMar>
                              <w:top w:w="0" w:type="dxa"/>
                              <w:left w:w="108" w:type="dxa"/>
                              <w:bottom w:w="0" w:type="dxa"/>
                              <w:right w:w="108" w:type="dxa"/>
                            </w:tcMar>
                          </w:tcPr>
                          <w:p>
                            <w:pPr>
                              <w:rPr>
                                <w:rFonts w:ascii="Tahoma" w:hAnsi="Tahoma" w:cs="Tahoma"/>
                                <w:sz w:val="20"/>
                                <w:lang w:eastAsia="lt-LT"/>
                              </w:rPr>
                            </w:pPr>
                            <w:r>
                              <w:rPr>
                                <w:sz w:val="20"/>
                                <w:lang w:eastAsia="lt-LT"/>
                              </w:rPr>
                              <w:t>Dulkės</w:t>
                            </w:r>
                          </w:p>
                        </w:tc>
                        <w:tc>
                          <w:tcPr>
                            <w:tcW w:w="1621"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308"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232" w:type="dxa"/>
                            <w:tcMar>
                              <w:top w:w="0" w:type="dxa"/>
                              <w:left w:w="108" w:type="dxa"/>
                              <w:bottom w:w="0" w:type="dxa"/>
                              <w:right w:w="108" w:type="dxa"/>
                            </w:tcMar>
                          </w:tcPr>
                          <w:p>
                            <w:pPr>
                              <w:rPr>
                                <w:rFonts w:ascii="Tahoma" w:hAnsi="Tahoma" w:cs="Tahoma"/>
                                <w:sz w:val="20"/>
                                <w:lang w:eastAsia="lt-LT"/>
                              </w:rPr>
                            </w:pPr>
                            <w:r>
                              <w:rPr>
                                <w:sz w:val="20"/>
                                <w:lang w:eastAsia="lt-LT"/>
                              </w:rPr>
                              <w:t>30</w:t>
                            </w:r>
                          </w:p>
                        </w:tc>
                        <w:tc>
                          <w:tcPr>
                            <w:tcW w:w="1495" w:type="dxa"/>
                            <w:tcMar>
                              <w:top w:w="0" w:type="dxa"/>
                              <w:left w:w="108" w:type="dxa"/>
                              <w:bottom w:w="0" w:type="dxa"/>
                              <w:right w:w="108" w:type="dxa"/>
                            </w:tcMar>
                          </w:tcPr>
                          <w:p>
                            <w:pPr>
                              <w:rPr>
                                <w:rFonts w:ascii="Tahoma" w:hAnsi="Tahoma" w:cs="Tahoma"/>
                                <w:sz w:val="20"/>
                                <w:lang w:eastAsia="lt-LT"/>
                              </w:rPr>
                            </w:pPr>
                            <w:r>
                              <w:rPr>
                                <w:sz w:val="20"/>
                                <w:lang w:eastAsia="lt-LT"/>
                              </w:rPr>
                              <w:t>30</w:t>
                            </w:r>
                          </w:p>
                        </w:tc>
                      </w:tr>
                    </w:tbl>
                    <w:p>
                      <w:pPr>
                        <w:widowControl w:val="0"/>
                        <w:suppressAutoHyphens/>
                        <w:ind w:firstLine="567"/>
                        <w:jc w:val="both"/>
                        <w:rPr>
                          <w:szCs w:val="24"/>
                          <w:lang w:eastAsia="lt-LT"/>
                        </w:rPr>
                      </w:pPr>
                    </w:p>
                    <w:p>
                      <w:pPr>
                        <w:ind w:firstLine="567"/>
                        <w:jc w:val="both"/>
                        <w:rPr>
                          <w:rFonts w:ascii="Tahoma" w:hAnsi="Tahoma" w:cs="Tahoma"/>
                          <w:szCs w:val="24"/>
                          <w:lang w:eastAsia="lt-LT"/>
                        </w:rPr>
                      </w:pPr>
                      <w:r>
                        <w:rPr>
                          <w:color w:val="000000"/>
                        </w:rPr>
                        <w:t>Įrenginiams, deginantiems biomasę (produktai, kuriuos sudaro žemės ūkio arba miškininkystės sektoriaus augalinės medžiagos, taip pat atliekos, išvardytos Reikalavimų 4.1.1–4.1.5 papunkčiuose), taikomos šios vidutinės paros išmetamųjų teršalų ribinės vertės (C</w:t>
                      </w:r>
                      <w:r>
                        <w:rPr>
                          <w:color w:val="000000"/>
                          <w:vertAlign w:val="subscript"/>
                        </w:rPr>
                        <w:t>PROC,</w:t>
                      </w:r>
                      <w:r>
                        <w:rPr>
                          <w:color w:val="000000"/>
                        </w:rPr>
                        <w:t> išreikšta mg/Nm</w:t>
                      </w:r>
                      <w:r>
                        <w:rPr>
                          <w:color w:val="000000"/>
                          <w:vertAlign w:val="superscript"/>
                        </w:rPr>
                        <w:t>3</w:t>
                      </w:r>
                      <w:r>
                        <w:rPr>
                          <w:color w:val="000000"/>
                        </w:rPr>
                        <w:t>; standartinis O</w:t>
                      </w:r>
                      <w:r>
                        <w:rPr>
                          <w:color w:val="000000"/>
                          <w:vertAlign w:val="subscript"/>
                        </w:rPr>
                        <w:t>2</w:t>
                      </w:r>
                      <w:r>
                        <w:rPr>
                          <w:color w:val="000000"/>
                        </w:rPr>
                        <w:t> kiekis – 6 %):</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3"/>
                        <w:gridCol w:w="1550"/>
                        <w:gridCol w:w="2202"/>
                        <w:gridCol w:w="2350"/>
                        <w:gridCol w:w="1615"/>
                      </w:tblGrid>
                      <w:tr>
                        <w:tc>
                          <w:tcPr>
                            <w:tcW w:w="1306" w:type="dxa"/>
                            <w:tcMar>
                              <w:top w:w="0" w:type="dxa"/>
                              <w:left w:w="108" w:type="dxa"/>
                              <w:bottom w:w="0" w:type="dxa"/>
                              <w:right w:w="108" w:type="dxa"/>
                            </w:tcMar>
                          </w:tcPr>
                          <w:p>
                            <w:pPr>
                              <w:rPr>
                                <w:rFonts w:ascii="Tahoma" w:hAnsi="Tahoma" w:cs="Tahoma"/>
                                <w:b/>
                                <w:sz w:val="20"/>
                                <w:lang w:eastAsia="lt-LT"/>
                              </w:rPr>
                            </w:pPr>
                            <w:r>
                              <w:rPr>
                                <w:b/>
                                <w:bCs/>
                                <w:sz w:val="20"/>
                                <w:lang w:eastAsia="lt-LT"/>
                              </w:rPr>
                              <w:t>Teršalai</w:t>
                            </w:r>
                          </w:p>
                        </w:tc>
                        <w:tc>
                          <w:tcPr>
                            <w:tcW w:w="1496" w:type="dxa"/>
                            <w:tcMar>
                              <w:top w:w="0" w:type="dxa"/>
                              <w:left w:w="108" w:type="dxa"/>
                              <w:bottom w:w="0" w:type="dxa"/>
                              <w:right w:w="108" w:type="dxa"/>
                            </w:tcMar>
                          </w:tcPr>
                          <w:p>
                            <w:pPr>
                              <w:rPr>
                                <w:rFonts w:ascii="Tahoma" w:hAnsi="Tahoma" w:cs="Tahoma"/>
                                <w:b/>
                                <w:sz w:val="20"/>
                                <w:lang w:eastAsia="lt-LT"/>
                              </w:rPr>
                            </w:pPr>
                            <w:r>
                              <w:rPr>
                                <w:b/>
                                <w:bCs/>
                                <w:sz w:val="20"/>
                                <w:lang w:eastAsia="lt-LT"/>
                              </w:rPr>
                              <w:t>&lt;50 MWth</w:t>
                            </w:r>
                          </w:p>
                        </w:tc>
                        <w:tc>
                          <w:tcPr>
                            <w:tcW w:w="2126" w:type="dxa"/>
                            <w:tcMar>
                              <w:top w:w="0" w:type="dxa"/>
                              <w:left w:w="108" w:type="dxa"/>
                              <w:bottom w:w="0" w:type="dxa"/>
                              <w:right w:w="108" w:type="dxa"/>
                            </w:tcMar>
                          </w:tcPr>
                          <w:p>
                            <w:pPr>
                              <w:rPr>
                                <w:rFonts w:ascii="Tahoma" w:hAnsi="Tahoma" w:cs="Tahoma"/>
                                <w:b/>
                                <w:sz w:val="20"/>
                                <w:lang w:eastAsia="lt-LT"/>
                              </w:rPr>
                            </w:pPr>
                            <w:r>
                              <w:rPr>
                                <w:b/>
                                <w:bCs/>
                                <w:sz w:val="20"/>
                                <w:lang w:eastAsia="lt-LT"/>
                              </w:rPr>
                              <w:t>Nuo 50 iki 100 MWth</w:t>
                            </w:r>
                          </w:p>
                        </w:tc>
                        <w:tc>
                          <w:tcPr>
                            <w:tcW w:w="2268" w:type="dxa"/>
                            <w:tcMar>
                              <w:top w:w="0" w:type="dxa"/>
                              <w:left w:w="108" w:type="dxa"/>
                              <w:bottom w:w="0" w:type="dxa"/>
                              <w:right w:w="108" w:type="dxa"/>
                            </w:tcMar>
                          </w:tcPr>
                          <w:p>
                            <w:pPr>
                              <w:rPr>
                                <w:rFonts w:ascii="Tahoma" w:hAnsi="Tahoma" w:cs="Tahoma"/>
                                <w:b/>
                                <w:sz w:val="20"/>
                                <w:lang w:eastAsia="lt-LT"/>
                              </w:rPr>
                            </w:pPr>
                            <w:r>
                              <w:rPr>
                                <w:b/>
                                <w:bCs/>
                                <w:sz w:val="20"/>
                                <w:lang w:eastAsia="lt-LT"/>
                              </w:rPr>
                              <w:t>Nuo 100 iki 300 MWth</w:t>
                            </w:r>
                          </w:p>
                        </w:tc>
                        <w:tc>
                          <w:tcPr>
                            <w:tcW w:w="1559" w:type="dxa"/>
                            <w:tcMar>
                              <w:top w:w="0" w:type="dxa"/>
                              <w:left w:w="108" w:type="dxa"/>
                              <w:bottom w:w="0" w:type="dxa"/>
                              <w:right w:w="108" w:type="dxa"/>
                            </w:tcMar>
                          </w:tcPr>
                          <w:p>
                            <w:pPr>
                              <w:rPr>
                                <w:rFonts w:ascii="Tahoma" w:hAnsi="Tahoma" w:cs="Tahoma"/>
                                <w:b/>
                                <w:sz w:val="20"/>
                                <w:lang w:eastAsia="lt-LT"/>
                              </w:rPr>
                            </w:pPr>
                            <w:r>
                              <w:rPr>
                                <w:b/>
                                <w:bCs/>
                                <w:sz w:val="20"/>
                                <w:lang w:eastAsia="lt-LT"/>
                              </w:rPr>
                              <w:t>&gt;300 MWth</w:t>
                            </w:r>
                          </w:p>
                        </w:tc>
                      </w:tr>
                      <w:tr>
                        <w:tc>
                          <w:tcPr>
                            <w:tcW w:w="1306" w:type="dxa"/>
                            <w:tcMar>
                              <w:top w:w="0" w:type="dxa"/>
                              <w:left w:w="108" w:type="dxa"/>
                              <w:bottom w:w="0" w:type="dxa"/>
                              <w:right w:w="108" w:type="dxa"/>
                            </w:tcMar>
                          </w:tcPr>
                          <w:p>
                            <w:pPr>
                              <w:rPr>
                                <w:rFonts w:ascii="Tahoma" w:hAnsi="Tahoma" w:cs="Tahoma"/>
                                <w:sz w:val="20"/>
                                <w:lang w:eastAsia="lt-LT"/>
                              </w:rPr>
                            </w:pPr>
                            <w:r>
                              <w:rPr>
                                <w:sz w:val="20"/>
                                <w:lang w:eastAsia="lt-LT"/>
                              </w:rPr>
                              <w:t>SO</w:t>
                            </w:r>
                            <w:r>
                              <w:rPr>
                                <w:sz w:val="20"/>
                                <w:vertAlign w:val="subscript"/>
                                <w:lang w:eastAsia="lt-LT"/>
                              </w:rPr>
                              <w:t>2</w:t>
                            </w:r>
                          </w:p>
                        </w:tc>
                        <w:tc>
                          <w:tcPr>
                            <w:tcW w:w="1496" w:type="dxa"/>
                            <w:tcMar>
                              <w:top w:w="0" w:type="dxa"/>
                              <w:left w:w="108" w:type="dxa"/>
                              <w:bottom w:w="0" w:type="dxa"/>
                              <w:right w:w="108" w:type="dxa"/>
                            </w:tcMar>
                          </w:tcPr>
                          <w:p>
                            <w:pPr>
                              <w:rPr>
                                <w:rFonts w:ascii="Tahoma" w:hAnsi="Tahoma" w:cs="Tahoma"/>
                                <w:strike/>
                                <w:sz w:val="20"/>
                                <w:lang w:eastAsia="lt-LT"/>
                              </w:rPr>
                            </w:pPr>
                            <w:r>
                              <w:rPr>
                                <w:strike/>
                                <w:sz w:val="20"/>
                                <w:lang w:eastAsia="lt-LT"/>
                              </w:rPr>
                              <w:t>*</w:t>
                            </w:r>
                          </w:p>
                        </w:tc>
                        <w:tc>
                          <w:tcPr>
                            <w:tcW w:w="2126" w:type="dxa"/>
                            <w:tcMar>
                              <w:top w:w="0" w:type="dxa"/>
                              <w:left w:w="108" w:type="dxa"/>
                              <w:bottom w:w="0" w:type="dxa"/>
                              <w:right w:w="108" w:type="dxa"/>
                            </w:tcMar>
                          </w:tcPr>
                          <w:p>
                            <w:pPr>
                              <w:rPr>
                                <w:rFonts w:ascii="Tahoma" w:hAnsi="Tahoma" w:cs="Tahoma"/>
                                <w:sz w:val="20"/>
                                <w:lang w:eastAsia="lt-LT"/>
                              </w:rPr>
                            </w:pPr>
                            <w:r>
                              <w:rPr>
                                <w:sz w:val="20"/>
                                <w:lang w:eastAsia="lt-LT"/>
                              </w:rPr>
                              <w:t>200</w:t>
                            </w:r>
                          </w:p>
                        </w:tc>
                        <w:tc>
                          <w:tcPr>
                            <w:tcW w:w="2268" w:type="dxa"/>
                            <w:tcMar>
                              <w:top w:w="0" w:type="dxa"/>
                              <w:left w:w="108" w:type="dxa"/>
                              <w:bottom w:w="0" w:type="dxa"/>
                              <w:right w:w="108" w:type="dxa"/>
                            </w:tcMar>
                          </w:tcPr>
                          <w:p>
                            <w:pPr>
                              <w:rPr>
                                <w:rFonts w:ascii="Tahoma" w:hAnsi="Tahoma" w:cs="Tahoma"/>
                                <w:sz w:val="20"/>
                                <w:lang w:eastAsia="lt-LT"/>
                              </w:rPr>
                            </w:pPr>
                            <w:r>
                              <w:rPr>
                                <w:sz w:val="20"/>
                                <w:lang w:eastAsia="lt-LT"/>
                              </w:rPr>
                              <w:t>200</w:t>
                            </w:r>
                          </w:p>
                        </w:tc>
                        <w:tc>
                          <w:tcPr>
                            <w:tcW w:w="1559"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306" w:type="dxa"/>
                            <w:tcMar>
                              <w:top w:w="0" w:type="dxa"/>
                              <w:left w:w="108" w:type="dxa"/>
                              <w:bottom w:w="0" w:type="dxa"/>
                              <w:right w:w="108" w:type="dxa"/>
                            </w:tcMar>
                          </w:tcPr>
                          <w:p>
                            <w:pPr>
                              <w:rPr>
                                <w:rFonts w:ascii="Tahoma" w:hAnsi="Tahoma" w:cs="Tahoma"/>
                                <w:sz w:val="20"/>
                                <w:lang w:eastAsia="lt-LT"/>
                              </w:rPr>
                            </w:pPr>
                            <w:r>
                              <w:rPr>
                                <w:sz w:val="20"/>
                                <w:lang w:eastAsia="lt-LT"/>
                              </w:rPr>
                              <w:t>NO</w:t>
                            </w:r>
                            <w:r>
                              <w:rPr>
                                <w:sz w:val="20"/>
                                <w:vertAlign w:val="subscript"/>
                                <w:lang w:eastAsia="lt-LT"/>
                              </w:rPr>
                              <w:t>x</w:t>
                            </w:r>
                          </w:p>
                        </w:tc>
                        <w:tc>
                          <w:tcPr>
                            <w:tcW w:w="1496" w:type="dxa"/>
                            <w:tcMar>
                              <w:top w:w="0" w:type="dxa"/>
                              <w:left w:w="108" w:type="dxa"/>
                              <w:bottom w:w="0" w:type="dxa"/>
                              <w:right w:w="108" w:type="dxa"/>
                            </w:tcMar>
                          </w:tcPr>
                          <w:p>
                            <w:pPr>
                              <w:rPr>
                                <w:rFonts w:ascii="Tahoma" w:hAnsi="Tahoma" w:cs="Tahoma"/>
                                <w:strike/>
                                <w:sz w:val="20"/>
                                <w:lang w:eastAsia="lt-LT"/>
                              </w:rPr>
                            </w:pPr>
                            <w:r>
                              <w:rPr>
                                <w:strike/>
                                <w:sz w:val="20"/>
                                <w:lang w:eastAsia="lt-LT"/>
                              </w:rPr>
                              <w:t>*</w:t>
                            </w:r>
                          </w:p>
                        </w:tc>
                        <w:tc>
                          <w:tcPr>
                            <w:tcW w:w="2126" w:type="dxa"/>
                            <w:tcMar>
                              <w:top w:w="0" w:type="dxa"/>
                              <w:left w:w="108" w:type="dxa"/>
                              <w:bottom w:w="0" w:type="dxa"/>
                              <w:right w:w="108" w:type="dxa"/>
                            </w:tcMar>
                          </w:tcPr>
                          <w:p>
                            <w:pPr>
                              <w:rPr>
                                <w:rFonts w:ascii="Tahoma" w:hAnsi="Tahoma" w:cs="Tahoma"/>
                                <w:sz w:val="20"/>
                                <w:lang w:eastAsia="lt-LT"/>
                              </w:rPr>
                            </w:pPr>
                            <w:r>
                              <w:rPr>
                                <w:sz w:val="20"/>
                                <w:lang w:eastAsia="lt-LT"/>
                              </w:rPr>
                              <w:t>350</w:t>
                            </w:r>
                          </w:p>
                        </w:tc>
                        <w:tc>
                          <w:tcPr>
                            <w:tcW w:w="2268" w:type="dxa"/>
                            <w:tcMar>
                              <w:top w:w="0" w:type="dxa"/>
                              <w:left w:w="108" w:type="dxa"/>
                              <w:bottom w:w="0" w:type="dxa"/>
                              <w:right w:w="108" w:type="dxa"/>
                            </w:tcMar>
                          </w:tcPr>
                          <w:p>
                            <w:pPr>
                              <w:rPr>
                                <w:rFonts w:ascii="Tahoma" w:hAnsi="Tahoma" w:cs="Tahoma"/>
                                <w:sz w:val="20"/>
                                <w:lang w:eastAsia="lt-LT"/>
                              </w:rPr>
                            </w:pPr>
                            <w:r>
                              <w:rPr>
                                <w:sz w:val="20"/>
                                <w:lang w:eastAsia="lt-LT"/>
                              </w:rPr>
                              <w:t>300</w:t>
                            </w:r>
                          </w:p>
                        </w:tc>
                        <w:tc>
                          <w:tcPr>
                            <w:tcW w:w="1559"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306" w:type="dxa"/>
                            <w:tcMar>
                              <w:top w:w="0" w:type="dxa"/>
                              <w:left w:w="108" w:type="dxa"/>
                              <w:bottom w:w="0" w:type="dxa"/>
                              <w:right w:w="108" w:type="dxa"/>
                            </w:tcMar>
                          </w:tcPr>
                          <w:p>
                            <w:pPr>
                              <w:rPr>
                                <w:rFonts w:ascii="Tahoma" w:hAnsi="Tahoma" w:cs="Tahoma"/>
                                <w:sz w:val="20"/>
                                <w:lang w:eastAsia="lt-LT"/>
                              </w:rPr>
                            </w:pPr>
                            <w:r>
                              <w:rPr>
                                <w:sz w:val="20"/>
                                <w:lang w:eastAsia="lt-LT"/>
                              </w:rPr>
                              <w:t>Dulkės</w:t>
                            </w:r>
                          </w:p>
                        </w:tc>
                        <w:tc>
                          <w:tcPr>
                            <w:tcW w:w="1496"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126"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268" w:type="dxa"/>
                            <w:tcMar>
                              <w:top w:w="0" w:type="dxa"/>
                              <w:left w:w="108" w:type="dxa"/>
                              <w:bottom w:w="0" w:type="dxa"/>
                              <w:right w:w="108" w:type="dxa"/>
                            </w:tcMar>
                          </w:tcPr>
                          <w:p>
                            <w:pPr>
                              <w:rPr>
                                <w:rFonts w:ascii="Tahoma" w:hAnsi="Tahoma" w:cs="Tahoma"/>
                                <w:sz w:val="20"/>
                                <w:lang w:eastAsia="lt-LT"/>
                              </w:rPr>
                            </w:pPr>
                            <w:r>
                              <w:rPr>
                                <w:sz w:val="20"/>
                                <w:lang w:eastAsia="lt-LT"/>
                              </w:rPr>
                              <w:t>30</w:t>
                            </w:r>
                          </w:p>
                        </w:tc>
                        <w:tc>
                          <w:tcPr>
                            <w:tcW w:w="1559" w:type="dxa"/>
                            <w:tcMar>
                              <w:top w:w="0" w:type="dxa"/>
                              <w:left w:w="108" w:type="dxa"/>
                              <w:bottom w:w="0" w:type="dxa"/>
                              <w:right w:w="108" w:type="dxa"/>
                            </w:tcMar>
                          </w:tcPr>
                          <w:p>
                            <w:pPr>
                              <w:rPr>
                                <w:rFonts w:ascii="Tahoma" w:hAnsi="Tahoma" w:cs="Tahoma"/>
                                <w:sz w:val="20"/>
                                <w:lang w:eastAsia="lt-LT"/>
                              </w:rPr>
                            </w:pPr>
                            <w:r>
                              <w:rPr>
                                <w:sz w:val="20"/>
                                <w:lang w:eastAsia="lt-LT"/>
                              </w:rPr>
                              <w:t>30</w:t>
                            </w:r>
                          </w:p>
                        </w:tc>
                      </w:tr>
                    </w:tbl>
                    <w:p>
                      <w:pPr>
                        <w:ind w:firstLine="709"/>
                        <w:rPr>
                          <w:sz w:val="22"/>
                          <w:szCs w:val="24"/>
                          <w:lang w:eastAsia="lt-LT"/>
                        </w:rPr>
                      </w:pPr>
                    </w:p>
                    <w:p>
                      <w:pPr>
                        <w:ind w:firstLine="567"/>
                        <w:jc w:val="both"/>
                        <w:rPr>
                          <w:rFonts w:ascii="Tahoma" w:hAnsi="Tahoma" w:cs="Tahoma"/>
                          <w:szCs w:val="24"/>
                          <w:lang w:eastAsia="lt-LT"/>
                        </w:rPr>
                      </w:pPr>
                      <w:r>
                        <w:rPr>
                          <w:szCs w:val="24"/>
                          <w:lang w:eastAsia="lt-LT"/>
                        </w:rPr>
                        <w:t>Įrenginiams, deginantiems skystąjį kurą, taikomos šios vidutinės paros išmetamųjų teršalų ribinės vertės (C</w:t>
                      </w:r>
                      <w:r>
                        <w:rPr>
                          <w:szCs w:val="24"/>
                          <w:vertAlign w:val="subscript"/>
                          <w:lang w:eastAsia="lt-LT"/>
                        </w:rPr>
                        <w:t>PROC</w:t>
                      </w:r>
                      <w:r>
                        <w:rPr>
                          <w:szCs w:val="24"/>
                          <w:lang w:eastAsia="lt-LT"/>
                        </w:rPr>
                        <w:t xml:space="preserve"> išreikšta mg/Nm</w:t>
                      </w:r>
                      <w:r>
                        <w:rPr>
                          <w:szCs w:val="24"/>
                          <w:vertAlign w:val="superscript"/>
                          <w:lang w:eastAsia="lt-LT"/>
                        </w:rPr>
                        <w:t>3</w:t>
                      </w:r>
                      <w:r>
                        <w:rPr>
                          <w:szCs w:val="24"/>
                          <w:lang w:eastAsia="lt-LT"/>
                        </w:rPr>
                        <w:t>; standartinis O</w:t>
                      </w:r>
                      <w:r>
                        <w:rPr>
                          <w:szCs w:val="24"/>
                          <w:vertAlign w:val="subscript"/>
                          <w:lang w:eastAsia="lt-LT"/>
                        </w:rPr>
                        <w:t>2</w:t>
                      </w:r>
                      <w:r>
                        <w:rPr>
                          <w:szCs w:val="24"/>
                          <w:lang w:eastAsia="lt-LT"/>
                        </w:rPr>
                        <w:t xml:space="preserve"> kiekis – 3 %):</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97"/>
                        <w:gridCol w:w="1440"/>
                        <w:gridCol w:w="1998"/>
                        <w:gridCol w:w="2224"/>
                        <w:gridCol w:w="1711"/>
                      </w:tblGrid>
                      <w:tr>
                        <w:tc>
                          <w:tcPr>
                            <w:tcW w:w="1735" w:type="dxa"/>
                            <w:tcMar>
                              <w:top w:w="0" w:type="dxa"/>
                              <w:left w:w="108" w:type="dxa"/>
                              <w:bottom w:w="0" w:type="dxa"/>
                              <w:right w:w="108" w:type="dxa"/>
                            </w:tcMar>
                          </w:tcPr>
                          <w:p>
                            <w:pPr>
                              <w:rPr>
                                <w:rFonts w:ascii="Tahoma" w:hAnsi="Tahoma" w:cs="Tahoma"/>
                                <w:b/>
                                <w:sz w:val="20"/>
                                <w:lang w:eastAsia="lt-LT"/>
                              </w:rPr>
                            </w:pPr>
                            <w:r>
                              <w:rPr>
                                <w:b/>
                                <w:bCs/>
                                <w:sz w:val="20"/>
                                <w:lang w:eastAsia="lt-LT"/>
                              </w:rPr>
                              <w:t>Teršalai</w:t>
                            </w:r>
                          </w:p>
                        </w:tc>
                        <w:tc>
                          <w:tcPr>
                            <w:tcW w:w="1472" w:type="dxa"/>
                            <w:tcMar>
                              <w:top w:w="0" w:type="dxa"/>
                              <w:left w:w="108" w:type="dxa"/>
                              <w:bottom w:w="0" w:type="dxa"/>
                              <w:right w:w="108" w:type="dxa"/>
                            </w:tcMar>
                          </w:tcPr>
                          <w:p>
                            <w:pPr>
                              <w:rPr>
                                <w:rFonts w:ascii="Tahoma" w:hAnsi="Tahoma" w:cs="Tahoma"/>
                                <w:b/>
                                <w:sz w:val="20"/>
                                <w:lang w:eastAsia="lt-LT"/>
                              </w:rPr>
                            </w:pPr>
                            <w:r>
                              <w:rPr>
                                <w:b/>
                                <w:bCs/>
                                <w:sz w:val="20"/>
                                <w:lang w:eastAsia="lt-LT"/>
                              </w:rPr>
                              <w:t>&lt;50 MWth</w:t>
                            </w:r>
                          </w:p>
                        </w:tc>
                        <w:tc>
                          <w:tcPr>
                            <w:tcW w:w="2056" w:type="dxa"/>
                            <w:tcMar>
                              <w:top w:w="0" w:type="dxa"/>
                              <w:left w:w="108" w:type="dxa"/>
                              <w:bottom w:w="0" w:type="dxa"/>
                              <w:right w:w="108" w:type="dxa"/>
                            </w:tcMar>
                          </w:tcPr>
                          <w:p>
                            <w:pPr>
                              <w:rPr>
                                <w:rFonts w:ascii="Tahoma" w:hAnsi="Tahoma" w:cs="Tahoma"/>
                                <w:b/>
                                <w:sz w:val="20"/>
                                <w:lang w:eastAsia="lt-LT"/>
                              </w:rPr>
                            </w:pPr>
                            <w:r>
                              <w:rPr>
                                <w:b/>
                                <w:bCs/>
                                <w:sz w:val="20"/>
                                <w:lang w:eastAsia="lt-LT"/>
                              </w:rPr>
                              <w:t>Nuo 50 iki 100 MWth</w:t>
                            </w:r>
                          </w:p>
                        </w:tc>
                        <w:tc>
                          <w:tcPr>
                            <w:tcW w:w="2270" w:type="dxa"/>
                            <w:tcMar>
                              <w:top w:w="0" w:type="dxa"/>
                              <w:left w:w="108" w:type="dxa"/>
                              <w:bottom w:w="0" w:type="dxa"/>
                              <w:right w:w="108" w:type="dxa"/>
                            </w:tcMar>
                          </w:tcPr>
                          <w:p>
                            <w:pPr>
                              <w:rPr>
                                <w:rFonts w:ascii="Tahoma" w:hAnsi="Tahoma" w:cs="Tahoma"/>
                                <w:b/>
                                <w:sz w:val="20"/>
                                <w:lang w:eastAsia="lt-LT"/>
                              </w:rPr>
                            </w:pPr>
                            <w:r>
                              <w:rPr>
                                <w:b/>
                                <w:bCs/>
                                <w:sz w:val="20"/>
                                <w:lang w:eastAsia="lt-LT"/>
                              </w:rPr>
                              <w:t>Nuo 100 iki 300 MWth</w:t>
                            </w:r>
                          </w:p>
                        </w:tc>
                        <w:tc>
                          <w:tcPr>
                            <w:tcW w:w="1755" w:type="dxa"/>
                            <w:tcMar>
                              <w:top w:w="0" w:type="dxa"/>
                              <w:left w:w="108" w:type="dxa"/>
                              <w:bottom w:w="0" w:type="dxa"/>
                              <w:right w:w="108" w:type="dxa"/>
                            </w:tcMar>
                          </w:tcPr>
                          <w:p>
                            <w:pPr>
                              <w:rPr>
                                <w:rFonts w:ascii="Tahoma" w:hAnsi="Tahoma" w:cs="Tahoma"/>
                                <w:b/>
                                <w:sz w:val="20"/>
                                <w:lang w:eastAsia="lt-LT"/>
                              </w:rPr>
                            </w:pPr>
                            <w:r>
                              <w:rPr>
                                <w:b/>
                                <w:bCs/>
                                <w:sz w:val="20"/>
                                <w:lang w:eastAsia="lt-LT"/>
                              </w:rPr>
                              <w:t>&gt;300 MWth</w:t>
                            </w:r>
                          </w:p>
                        </w:tc>
                      </w:tr>
                      <w:tr>
                        <w:trPr>
                          <w:cantSplit/>
                          <w:trHeight w:val="1130"/>
                        </w:trPr>
                        <w:tc>
                          <w:tcPr>
                            <w:tcW w:w="1735" w:type="dxa"/>
                            <w:tcMar>
                              <w:top w:w="0" w:type="dxa"/>
                              <w:left w:w="108" w:type="dxa"/>
                              <w:bottom w:w="0" w:type="dxa"/>
                              <w:right w:w="108" w:type="dxa"/>
                            </w:tcMar>
                          </w:tcPr>
                          <w:p>
                            <w:pPr>
                              <w:rPr>
                                <w:rFonts w:ascii="Tahoma" w:hAnsi="Tahoma" w:cs="Tahoma"/>
                                <w:sz w:val="20"/>
                                <w:lang w:eastAsia="lt-LT"/>
                              </w:rPr>
                            </w:pPr>
                            <w:r>
                              <w:rPr>
                                <w:sz w:val="20"/>
                                <w:lang w:eastAsia="lt-LT"/>
                              </w:rPr>
                              <w:t>SO</w:t>
                            </w:r>
                            <w:r>
                              <w:rPr>
                                <w:sz w:val="20"/>
                                <w:vertAlign w:val="subscript"/>
                                <w:lang w:eastAsia="lt-LT"/>
                              </w:rPr>
                              <w:t>2</w:t>
                            </w:r>
                          </w:p>
                        </w:tc>
                        <w:tc>
                          <w:tcPr>
                            <w:tcW w:w="1472" w:type="dxa"/>
                            <w:tcMar>
                              <w:top w:w="0" w:type="dxa"/>
                              <w:left w:w="108" w:type="dxa"/>
                              <w:bottom w:w="0" w:type="dxa"/>
                              <w:right w:w="108" w:type="dxa"/>
                            </w:tcMar>
                          </w:tcPr>
                          <w:p>
                            <w:pPr>
                              <w:rPr>
                                <w:rFonts w:ascii="Tahoma" w:hAnsi="Tahoma" w:cs="Tahoma"/>
                                <w:strike/>
                                <w:sz w:val="20"/>
                                <w:lang w:eastAsia="lt-LT"/>
                              </w:rPr>
                            </w:pPr>
                          </w:p>
                        </w:tc>
                        <w:tc>
                          <w:tcPr>
                            <w:tcW w:w="2056" w:type="dxa"/>
                            <w:tcMar>
                              <w:top w:w="0" w:type="dxa"/>
                              <w:left w:w="108" w:type="dxa"/>
                              <w:bottom w:w="0" w:type="dxa"/>
                              <w:right w:w="108" w:type="dxa"/>
                            </w:tcMar>
                          </w:tcPr>
                          <w:p>
                            <w:pPr>
                              <w:rPr>
                                <w:rFonts w:ascii="Tahoma" w:hAnsi="Tahoma" w:cs="Tahoma"/>
                                <w:sz w:val="20"/>
                                <w:lang w:eastAsia="lt-LT"/>
                              </w:rPr>
                            </w:pPr>
                            <w:r>
                              <w:rPr>
                                <w:sz w:val="20"/>
                                <w:lang w:eastAsia="lt-LT"/>
                              </w:rPr>
                              <w:t>850</w:t>
                            </w:r>
                          </w:p>
                        </w:tc>
                        <w:tc>
                          <w:tcPr>
                            <w:tcW w:w="2270" w:type="dxa"/>
                            <w:tcMar>
                              <w:top w:w="0" w:type="dxa"/>
                              <w:left w:w="108" w:type="dxa"/>
                              <w:bottom w:w="0" w:type="dxa"/>
                              <w:right w:w="108" w:type="dxa"/>
                            </w:tcMar>
                          </w:tcPr>
                          <w:p>
                            <w:pPr>
                              <w:rPr>
                                <w:rFonts w:ascii="Tahoma" w:hAnsi="Tahoma" w:cs="Tahoma"/>
                                <w:sz w:val="20"/>
                                <w:lang w:eastAsia="lt-LT"/>
                              </w:rPr>
                            </w:pPr>
                            <w:r>
                              <w:rPr>
                                <w:sz w:val="20"/>
                                <w:lang w:eastAsia="lt-LT"/>
                              </w:rPr>
                              <w:t>Nuo 400</w:t>
                            </w:r>
                            <w:r>
                              <w:rPr>
                                <w:b/>
                                <w:sz w:val="20"/>
                                <w:lang w:eastAsia="lt-LT"/>
                              </w:rPr>
                              <w:t xml:space="preserve"> </w:t>
                            </w:r>
                            <w:r>
                              <w:rPr>
                                <w:sz w:val="20"/>
                                <w:lang w:eastAsia="lt-LT"/>
                              </w:rPr>
                              <w:t xml:space="preserve">iki 200 </w:t>
                            </w:r>
                          </w:p>
                          <w:p>
                            <w:pPr>
                              <w:rPr>
                                <w:rFonts w:ascii="Tahoma" w:hAnsi="Tahoma" w:cs="Tahoma"/>
                                <w:sz w:val="20"/>
                                <w:lang w:eastAsia="lt-LT"/>
                              </w:rPr>
                            </w:pPr>
                            <w:r>
                              <w:rPr>
                                <w:sz w:val="20"/>
                                <w:lang w:eastAsia="lt-LT"/>
                              </w:rPr>
                              <w:t xml:space="preserve">(tiesiogiai proporcingas </w:t>
                            </w:r>
                          </w:p>
                          <w:p>
                            <w:pPr>
                              <w:rPr>
                                <w:rFonts w:ascii="Tahoma" w:hAnsi="Tahoma" w:cs="Tahoma"/>
                                <w:sz w:val="20"/>
                                <w:lang w:eastAsia="lt-LT"/>
                              </w:rPr>
                            </w:pPr>
                            <w:r>
                              <w:rPr>
                                <w:sz w:val="20"/>
                                <w:lang w:eastAsia="lt-LT"/>
                              </w:rPr>
                              <w:t xml:space="preserve">mažėjimas didėjant </w:t>
                            </w:r>
                          </w:p>
                          <w:p>
                            <w:pPr>
                              <w:rPr>
                                <w:rFonts w:ascii="Tahoma" w:hAnsi="Tahoma" w:cs="Tahoma"/>
                                <w:sz w:val="20"/>
                                <w:lang w:eastAsia="lt-LT"/>
                              </w:rPr>
                            </w:pPr>
                            <w:r>
                              <w:rPr>
                                <w:sz w:val="20"/>
                                <w:lang w:eastAsia="lt-LT"/>
                              </w:rPr>
                              <w:t xml:space="preserve">galingumui nuo 100 iki </w:t>
                            </w:r>
                          </w:p>
                          <w:p>
                            <w:pPr>
                              <w:rPr>
                                <w:rFonts w:ascii="Tahoma" w:hAnsi="Tahoma" w:cs="Tahoma"/>
                                <w:sz w:val="20"/>
                                <w:lang w:eastAsia="lt-LT"/>
                              </w:rPr>
                            </w:pPr>
                            <w:r>
                              <w:rPr>
                                <w:sz w:val="20"/>
                                <w:lang w:eastAsia="lt-LT"/>
                              </w:rPr>
                              <w:t>300 MWth)</w:t>
                            </w:r>
                          </w:p>
                        </w:tc>
                        <w:tc>
                          <w:tcPr>
                            <w:tcW w:w="1755"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735" w:type="dxa"/>
                            <w:tcMar>
                              <w:top w:w="0" w:type="dxa"/>
                              <w:left w:w="108" w:type="dxa"/>
                              <w:bottom w:w="0" w:type="dxa"/>
                              <w:right w:w="108" w:type="dxa"/>
                            </w:tcMar>
                          </w:tcPr>
                          <w:p>
                            <w:pPr>
                              <w:rPr>
                                <w:rFonts w:ascii="Tahoma" w:hAnsi="Tahoma" w:cs="Tahoma"/>
                                <w:sz w:val="20"/>
                                <w:lang w:eastAsia="lt-LT"/>
                              </w:rPr>
                            </w:pPr>
                            <w:r>
                              <w:rPr>
                                <w:sz w:val="20"/>
                                <w:lang w:eastAsia="lt-LT"/>
                              </w:rPr>
                              <w:t>NO</w:t>
                            </w:r>
                            <w:r>
                              <w:rPr>
                                <w:sz w:val="20"/>
                                <w:vertAlign w:val="subscript"/>
                                <w:lang w:eastAsia="lt-LT"/>
                              </w:rPr>
                              <w:t>x</w:t>
                            </w:r>
                          </w:p>
                        </w:tc>
                        <w:tc>
                          <w:tcPr>
                            <w:tcW w:w="1472" w:type="dxa"/>
                            <w:tcMar>
                              <w:top w:w="0" w:type="dxa"/>
                              <w:left w:w="108" w:type="dxa"/>
                              <w:bottom w:w="0" w:type="dxa"/>
                              <w:right w:w="108" w:type="dxa"/>
                            </w:tcMar>
                          </w:tcPr>
                          <w:p>
                            <w:pPr>
                              <w:rPr>
                                <w:rFonts w:ascii="Tahoma" w:hAnsi="Tahoma" w:cs="Tahoma"/>
                                <w:strike/>
                                <w:sz w:val="20"/>
                                <w:lang w:eastAsia="lt-LT"/>
                              </w:rPr>
                            </w:pPr>
                          </w:p>
                        </w:tc>
                        <w:tc>
                          <w:tcPr>
                            <w:tcW w:w="2056" w:type="dxa"/>
                            <w:tcMar>
                              <w:top w:w="0" w:type="dxa"/>
                              <w:left w:w="108" w:type="dxa"/>
                              <w:bottom w:w="0" w:type="dxa"/>
                              <w:right w:w="108" w:type="dxa"/>
                            </w:tcMar>
                          </w:tcPr>
                          <w:p>
                            <w:pPr>
                              <w:rPr>
                                <w:rFonts w:ascii="Tahoma" w:hAnsi="Tahoma" w:cs="Tahoma"/>
                                <w:sz w:val="20"/>
                                <w:lang w:eastAsia="lt-LT"/>
                              </w:rPr>
                            </w:pPr>
                            <w:r>
                              <w:rPr>
                                <w:sz w:val="20"/>
                                <w:lang w:eastAsia="lt-LT"/>
                              </w:rPr>
                              <w:t>400</w:t>
                            </w:r>
                          </w:p>
                        </w:tc>
                        <w:tc>
                          <w:tcPr>
                            <w:tcW w:w="2270" w:type="dxa"/>
                            <w:tcMar>
                              <w:top w:w="0" w:type="dxa"/>
                              <w:left w:w="108" w:type="dxa"/>
                              <w:bottom w:w="0" w:type="dxa"/>
                              <w:right w:w="108" w:type="dxa"/>
                            </w:tcMar>
                          </w:tcPr>
                          <w:p>
                            <w:pPr>
                              <w:rPr>
                                <w:rFonts w:ascii="Tahoma" w:hAnsi="Tahoma" w:cs="Tahoma"/>
                                <w:sz w:val="20"/>
                                <w:lang w:eastAsia="lt-LT"/>
                              </w:rPr>
                            </w:pPr>
                            <w:r>
                              <w:rPr>
                                <w:sz w:val="20"/>
                                <w:lang w:eastAsia="lt-LT"/>
                              </w:rPr>
                              <w:t>200</w:t>
                            </w:r>
                          </w:p>
                        </w:tc>
                        <w:tc>
                          <w:tcPr>
                            <w:tcW w:w="1755"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735" w:type="dxa"/>
                            <w:tcMar>
                              <w:top w:w="0" w:type="dxa"/>
                              <w:left w:w="108" w:type="dxa"/>
                              <w:bottom w:w="0" w:type="dxa"/>
                              <w:right w:w="108" w:type="dxa"/>
                            </w:tcMar>
                          </w:tcPr>
                          <w:p>
                            <w:pPr>
                              <w:rPr>
                                <w:rFonts w:ascii="Tahoma" w:hAnsi="Tahoma" w:cs="Tahoma"/>
                                <w:sz w:val="20"/>
                                <w:lang w:eastAsia="lt-LT"/>
                              </w:rPr>
                            </w:pPr>
                            <w:r>
                              <w:rPr>
                                <w:sz w:val="20"/>
                                <w:lang w:eastAsia="lt-LT"/>
                              </w:rPr>
                              <w:t>Dulkės</w:t>
                            </w:r>
                          </w:p>
                        </w:tc>
                        <w:tc>
                          <w:tcPr>
                            <w:tcW w:w="1472"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056"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270" w:type="dxa"/>
                            <w:tcMar>
                              <w:top w:w="0" w:type="dxa"/>
                              <w:left w:w="108" w:type="dxa"/>
                              <w:bottom w:w="0" w:type="dxa"/>
                              <w:right w:w="108" w:type="dxa"/>
                            </w:tcMar>
                          </w:tcPr>
                          <w:p>
                            <w:pPr>
                              <w:rPr>
                                <w:rFonts w:ascii="Tahoma" w:hAnsi="Tahoma" w:cs="Tahoma"/>
                                <w:sz w:val="20"/>
                                <w:lang w:eastAsia="lt-LT"/>
                              </w:rPr>
                            </w:pPr>
                            <w:r>
                              <w:rPr>
                                <w:sz w:val="20"/>
                                <w:lang w:eastAsia="lt-LT"/>
                              </w:rPr>
                              <w:t>30</w:t>
                            </w:r>
                          </w:p>
                        </w:tc>
                        <w:tc>
                          <w:tcPr>
                            <w:tcW w:w="1755" w:type="dxa"/>
                            <w:tcMar>
                              <w:top w:w="0" w:type="dxa"/>
                              <w:left w:w="108" w:type="dxa"/>
                              <w:bottom w:w="0" w:type="dxa"/>
                              <w:right w:w="108" w:type="dxa"/>
                            </w:tcMar>
                          </w:tcPr>
                          <w:p>
                            <w:pPr>
                              <w:rPr>
                                <w:rFonts w:ascii="Tahoma" w:hAnsi="Tahoma" w:cs="Tahoma"/>
                                <w:sz w:val="20"/>
                                <w:lang w:eastAsia="lt-LT"/>
                              </w:rPr>
                            </w:pPr>
                            <w:r>
                              <w:rPr>
                                <w:sz w:val="20"/>
                                <w:lang w:eastAsia="lt-LT"/>
                              </w:rPr>
                              <w:t>30</w:t>
                            </w:r>
                          </w:p>
                        </w:tc>
                      </w:tr>
                    </w:tbl>
                    <w:p>
                      <w:pPr>
                        <w:widowControl w:val="0"/>
                        <w:suppressAutoHyphens/>
                        <w:ind w:firstLine="567"/>
                        <w:jc w:val="both"/>
                        <w:rPr>
                          <w:rFonts w:eastAsia="Lucida Sans Unicod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Content>
            </w:sdt>
            <w:sdt>
              <w:sdtPr>
                <w:alias w:val="2 pr. 3.2 p."/>
                <w:tag w:val="part_f9e5483c92354120ac06ee614a2a622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Lucida Sans Unicode"/>
                      <w:szCs w:val="24"/>
                      <w:lang w:eastAsia="lt-LT"/>
                    </w:rPr>
                  </w:pPr>
                  <w:sdt>
                    <w:sdtPr>
                      <w:alias w:val="Numeris"/>
                      <w:tag w:val="nr_f9e5483c92354120ac06ee614a2a622a"/>
                      <w:lock w:val="sdtLocked"/>
                      <w:richText/>
                    </w:sdtPr>
                    <w:sdtContent>
                      <w:r>
                        <w:rPr>
                          <w:color w:val="000000"/>
                        </w:rPr>
                        <w:t>3.2</w:t>
                      </w:r>
                    </w:sdtContent>
                  </w:sdt>
                  <w:r>
                    <w:rPr>
                      <w:color w:val="000000"/>
                    </w:rPr>
                    <w:t>. Šio priedo 3.1 papunktyje nustatytos išmetamųjų teršalų ribinės vertės netaikomos, jei teisės aktais yra ar bus nustatytos griežtesnės išmetamųjų teršalų ribinės vertės dideliems kurą deginantiems įrenginiams.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2 pr. 3.3 p."/>
                <w:tag w:val="part_0157e5ac069e4bb0a790b17de76c3548"/>
                <w:lock w:val="sdtLocked"/>
                <w:richText/>
              </w:sdtPr>
              <w:sdtContent>
                <w:p>
                  <w:pPr>
                    <w:ind w:firstLine="567"/>
                    <w:jc w:val="both"/>
                    <w:rPr>
                      <w:rFonts w:eastAsia="Calibri"/>
                      <w:szCs w:val="24"/>
                    </w:rPr>
                  </w:pPr>
                  <w:sdt>
                    <w:sdtPr>
                      <w:alias w:val="Numeris"/>
                      <w:tag w:val="nr_0157e5ac069e4bb0a790b17de76c3548"/>
                      <w:lock w:val="sdtLocked"/>
                      <w:richText/>
                    </w:sdtPr>
                    <w:sdtContent>
                      <w:r>
                        <w:rPr>
                          <w:rFonts w:eastAsia="Calibri"/>
                          <w:szCs w:val="24"/>
                        </w:rPr>
                        <w:t>3.3</w:t>
                      </w:r>
                    </w:sdtContent>
                  </w:sdt>
                  <w:r>
                    <w:rPr>
                      <w:rFonts w:eastAsia="Calibri"/>
                      <w:szCs w:val="24"/>
                    </w:rPr>
                    <w:t>. Išmetamųjų teršalų ribinės vertės (</w:t>
                  </w:r>
                  <w:r>
                    <w:rPr>
                      <w:szCs w:val="24"/>
                      <w:lang w:eastAsia="lt-LT"/>
                    </w:rPr>
                    <w:t>C</w:t>
                  </w:r>
                  <w:r>
                    <w:rPr>
                      <w:szCs w:val="24"/>
                      <w:vertAlign w:val="subscript"/>
                      <w:lang w:eastAsia="lt-LT"/>
                    </w:rPr>
                    <w:t>PROC</w:t>
                  </w:r>
                  <w:r>
                    <w:rPr>
                      <w:rFonts w:eastAsia="Calibri"/>
                      <w:szCs w:val="24"/>
                    </w:rPr>
                    <w:t>), išreikštos vidutine paros verte (mg/Nm</w:t>
                  </w:r>
                  <w:r>
                    <w:rPr>
                      <w:rFonts w:eastAsia="Calibri"/>
                      <w:szCs w:val="24"/>
                      <w:vertAlign w:val="superscript"/>
                    </w:rPr>
                    <w:t>3</w:t>
                  </w:r>
                  <w:r>
                    <w:rPr>
                      <w:rFonts w:eastAsia="Calibri"/>
                      <w:szCs w:val="24"/>
                    </w:rPr>
                    <w:t xml:space="preserve">), galioja nuo 2016 m. sausio 1 d. – kurą deginantiems įrenginiams, kuriems leidimas išduotas ar kurių ūkio subjektai pateikė išsamų prašymą išduoti leidimą anksčiau nei 2013 m. balandžio 30 d., jei tokie įrenginiai pradėti eksploatuoti ne vėliau kaip 2014 m. sausio 7 d. Kitiems kurą deginantiems įrenginiams – nuo 2013 m. balandžio 30 d. </w:t>
                  </w:r>
                </w:p>
                <w:p>
                  <w:pPr>
                    <w:ind w:firstLine="567"/>
                    <w:jc w:val="both"/>
                    <w:rPr>
                      <w:rFonts w:eastAsia="Calibri"/>
                      <w:szCs w:val="24"/>
                    </w:rPr>
                  </w:pPr>
                  <w:r>
                    <w:rPr>
                      <w:rFonts w:eastAsia="Calibri"/>
                      <w:szCs w:val="24"/>
                    </w:rPr>
                    <w:t>Nustatant kurą deginančių įrenginių bendrą nominalią šiluminę galią, taikomos Išmetamų teršalų iš didelių kurą deginančių įrenginių normose nustatytos jungimo taisyklės.</w:t>
                  </w:r>
                </w:p>
                <w:p>
                  <w:pPr>
                    <w:ind w:firstLine="567"/>
                    <w:jc w:val="both"/>
                    <w:rPr>
                      <w:rFonts w:eastAsia="Calibri"/>
                      <w:szCs w:val="24"/>
                    </w:rPr>
                  </w:pPr>
                  <w:r>
                    <w:rPr>
                      <w:rFonts w:eastAsia="Calibri"/>
                      <w:szCs w:val="24"/>
                    </w:rPr>
                    <w:t>Vidutinės pusės valandos vertės reikalingos tik apskaičiuojant vidutines dienos vertes.</w:t>
                  </w:r>
                </w:p>
                <w:sdt>
                  <w:sdtPr>
                    <w:alias w:val="2 pr. 3.3.1 p."/>
                    <w:tag w:val="part_180f7aef5fe54cf1abe3cee496776c26"/>
                    <w:lock w:val="sdtLocked"/>
                    <w:richText/>
                  </w:sdtPr>
                  <w:sdtContent>
                    <w:p>
                      <w:pPr>
                        <w:ind w:firstLine="567"/>
                        <w:jc w:val="both"/>
                        <w:rPr>
                          <w:szCs w:val="24"/>
                          <w:lang w:eastAsia="lt-LT"/>
                        </w:rPr>
                      </w:pPr>
                      <w:sdt>
                        <w:sdtPr>
                          <w:alias w:val="Numeris"/>
                          <w:tag w:val="nr_180f7aef5fe54cf1abe3cee496776c26"/>
                          <w:lock w:val="sdtLocked"/>
                          <w:richText/>
                        </w:sdtPr>
                        <w:sdtContent>
                          <w:r>
                            <w:rPr>
                              <w:szCs w:val="24"/>
                              <w:lang w:eastAsia="lt-LT"/>
                            </w:rPr>
                            <w:t>3.3.1</w:t>
                          </w:r>
                        </w:sdtContent>
                      </w:sdt>
                      <w:r>
                        <w:rPr>
                          <w:szCs w:val="24"/>
                          <w:lang w:eastAsia="lt-LT"/>
                        </w:rPr>
                        <w:t>. Į</w:t>
                      </w:r>
                      <w:r>
                        <w:rPr>
                          <w:color w:val="000000"/>
                          <w:szCs w:val="24"/>
                          <w:lang w:eastAsia="lt-LT"/>
                        </w:rPr>
                        <w:t>renginiams, kurių leidimas išduotas ar kurių ūkio subjektai pateikė išsamų prašymą išduoti leidimą anksčiau nei 2013 m. balandžio 30 d., jei tokie įrenginiai pradėti eksploatuoti ne vėliau kaip 2014 m. sausio 7 d.</w:t>
                      </w:r>
                      <w:r>
                        <w:rPr>
                          <w:szCs w:val="24"/>
                          <w:lang w:eastAsia="lt-LT"/>
                        </w:rPr>
                        <w:t>, išskyrus dujų turbinas ir dujinius variklius.</w:t>
                      </w:r>
                    </w:p>
                    <w:p>
                      <w:pPr>
                        <w:ind w:firstLine="567"/>
                        <w:jc w:val="both"/>
                        <w:rPr>
                          <w:szCs w:val="24"/>
                          <w:lang w:eastAsia="lt-LT"/>
                        </w:rPr>
                      </w:pPr>
                      <w:r>
                        <w:rPr>
                          <w:szCs w:val="24"/>
                          <w:lang w:eastAsia="lt-LT"/>
                        </w:rPr>
                        <w:t>Įrenginiams, deginantiems kietąjį kurą, išskyrus biomasę, taikomos šios vidutinės paros išmetamųjų teršalų ribinės vertės (C</w:t>
                      </w:r>
                      <w:r>
                        <w:rPr>
                          <w:szCs w:val="24"/>
                          <w:vertAlign w:val="subscript"/>
                          <w:lang w:eastAsia="lt-LT"/>
                        </w:rPr>
                        <w:t>PROC</w:t>
                      </w:r>
                      <w:r>
                        <w:rPr>
                          <w:szCs w:val="24"/>
                          <w:lang w:eastAsia="lt-LT"/>
                        </w:rPr>
                        <w:t xml:space="preserve"> išreikšta mg/Nm</w:t>
                      </w:r>
                      <w:r>
                        <w:rPr>
                          <w:szCs w:val="24"/>
                          <w:vertAlign w:val="superscript"/>
                          <w:lang w:eastAsia="lt-LT"/>
                        </w:rPr>
                        <w:t>3</w:t>
                      </w:r>
                      <w:r>
                        <w:rPr>
                          <w:szCs w:val="24"/>
                          <w:lang w:eastAsia="lt-LT"/>
                        </w:rPr>
                        <w:t>; standartinis O</w:t>
                      </w:r>
                      <w:r>
                        <w:rPr>
                          <w:szCs w:val="24"/>
                          <w:vertAlign w:val="subscript"/>
                          <w:lang w:eastAsia="lt-LT"/>
                        </w:rPr>
                        <w:t>2</w:t>
                      </w:r>
                      <w:r>
                        <w:rPr>
                          <w:szCs w:val="24"/>
                          <w:lang w:eastAsia="lt-LT"/>
                        </w:rPr>
                        <w:t xml:space="preserve"> kiekis – 6 %):</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96"/>
                        <w:gridCol w:w="1439"/>
                        <w:gridCol w:w="2060"/>
                        <w:gridCol w:w="2168"/>
                        <w:gridCol w:w="1707"/>
                      </w:tblGrid>
                      <w:tr>
                        <w:tc>
                          <w:tcPr>
                            <w:tcW w:w="1733" w:type="dxa"/>
                            <w:tcMar>
                              <w:top w:w="0" w:type="dxa"/>
                              <w:left w:w="108" w:type="dxa"/>
                              <w:bottom w:w="0" w:type="dxa"/>
                              <w:right w:w="108" w:type="dxa"/>
                            </w:tcMar>
                          </w:tcPr>
                          <w:p>
                            <w:pPr>
                              <w:rPr>
                                <w:rFonts w:ascii="Tahoma" w:hAnsi="Tahoma" w:cs="Tahoma"/>
                                <w:b/>
                                <w:sz w:val="20"/>
                                <w:lang w:eastAsia="lt-LT"/>
                              </w:rPr>
                            </w:pPr>
                            <w:r>
                              <w:rPr>
                                <w:b/>
                                <w:bCs/>
                                <w:sz w:val="20"/>
                                <w:lang w:eastAsia="lt-LT"/>
                              </w:rPr>
                              <w:t>Teršalai</w:t>
                            </w:r>
                          </w:p>
                        </w:tc>
                        <w:tc>
                          <w:tcPr>
                            <w:tcW w:w="1471" w:type="dxa"/>
                            <w:tcMar>
                              <w:top w:w="0" w:type="dxa"/>
                              <w:left w:w="108" w:type="dxa"/>
                              <w:bottom w:w="0" w:type="dxa"/>
                              <w:right w:w="108" w:type="dxa"/>
                            </w:tcMar>
                          </w:tcPr>
                          <w:p>
                            <w:pPr>
                              <w:rPr>
                                <w:rFonts w:ascii="Tahoma" w:hAnsi="Tahoma" w:cs="Tahoma"/>
                                <w:b/>
                                <w:sz w:val="20"/>
                                <w:lang w:eastAsia="lt-LT"/>
                              </w:rPr>
                            </w:pPr>
                            <w:r>
                              <w:rPr>
                                <w:b/>
                                <w:bCs/>
                                <w:sz w:val="20"/>
                                <w:lang w:eastAsia="lt-LT"/>
                              </w:rPr>
                              <w:t>&lt;50 MWth</w:t>
                            </w:r>
                          </w:p>
                        </w:tc>
                        <w:tc>
                          <w:tcPr>
                            <w:tcW w:w="2105" w:type="dxa"/>
                            <w:tcMar>
                              <w:top w:w="0" w:type="dxa"/>
                              <w:left w:w="108" w:type="dxa"/>
                              <w:bottom w:w="0" w:type="dxa"/>
                              <w:right w:w="108" w:type="dxa"/>
                            </w:tcMar>
                          </w:tcPr>
                          <w:p>
                            <w:pPr>
                              <w:rPr>
                                <w:rFonts w:ascii="Tahoma" w:hAnsi="Tahoma" w:cs="Tahoma"/>
                                <w:b/>
                                <w:sz w:val="20"/>
                                <w:lang w:eastAsia="lt-LT"/>
                              </w:rPr>
                            </w:pPr>
                            <w:r>
                              <w:rPr>
                                <w:b/>
                                <w:bCs/>
                                <w:sz w:val="20"/>
                                <w:lang w:eastAsia="lt-LT"/>
                              </w:rPr>
                              <w:t>Nuo 50 iki 100 MWth</w:t>
                            </w:r>
                          </w:p>
                        </w:tc>
                        <w:tc>
                          <w:tcPr>
                            <w:tcW w:w="2227" w:type="dxa"/>
                            <w:tcMar>
                              <w:top w:w="0" w:type="dxa"/>
                              <w:left w:w="108" w:type="dxa"/>
                              <w:bottom w:w="0" w:type="dxa"/>
                              <w:right w:w="108" w:type="dxa"/>
                            </w:tcMar>
                          </w:tcPr>
                          <w:p>
                            <w:pPr>
                              <w:rPr>
                                <w:rFonts w:ascii="Tahoma" w:hAnsi="Tahoma" w:cs="Tahoma"/>
                                <w:b/>
                                <w:sz w:val="20"/>
                                <w:lang w:eastAsia="lt-LT"/>
                              </w:rPr>
                            </w:pPr>
                            <w:r>
                              <w:rPr>
                                <w:b/>
                                <w:bCs/>
                                <w:sz w:val="20"/>
                                <w:lang w:eastAsia="lt-LT"/>
                              </w:rPr>
                              <w:t>Nuo 100 iki 300 MWth</w:t>
                            </w:r>
                          </w:p>
                        </w:tc>
                        <w:tc>
                          <w:tcPr>
                            <w:tcW w:w="1752" w:type="dxa"/>
                            <w:tcMar>
                              <w:top w:w="0" w:type="dxa"/>
                              <w:left w:w="108" w:type="dxa"/>
                              <w:bottom w:w="0" w:type="dxa"/>
                              <w:right w:w="108" w:type="dxa"/>
                            </w:tcMar>
                          </w:tcPr>
                          <w:p>
                            <w:pPr>
                              <w:rPr>
                                <w:rFonts w:ascii="Tahoma" w:hAnsi="Tahoma" w:cs="Tahoma"/>
                                <w:b/>
                                <w:sz w:val="20"/>
                                <w:lang w:eastAsia="lt-LT"/>
                              </w:rPr>
                            </w:pPr>
                            <w:r>
                              <w:rPr>
                                <w:b/>
                                <w:bCs/>
                                <w:sz w:val="20"/>
                                <w:lang w:eastAsia="lt-LT"/>
                              </w:rPr>
                              <w:t>&gt;300 MWth</w:t>
                            </w:r>
                          </w:p>
                        </w:tc>
                      </w:tr>
                      <w:tr>
                        <w:trPr>
                          <w:cantSplit/>
                          <w:trHeight w:val="410"/>
                        </w:trPr>
                        <w:tc>
                          <w:tcPr>
                            <w:tcW w:w="1733" w:type="dxa"/>
                            <w:tcMar>
                              <w:top w:w="0" w:type="dxa"/>
                              <w:left w:w="108" w:type="dxa"/>
                              <w:bottom w:w="0" w:type="dxa"/>
                              <w:right w:w="108" w:type="dxa"/>
                            </w:tcMar>
                          </w:tcPr>
                          <w:p>
                            <w:pPr>
                              <w:rPr>
                                <w:rFonts w:ascii="Tahoma" w:hAnsi="Tahoma" w:cs="Tahoma"/>
                                <w:sz w:val="20"/>
                                <w:lang w:eastAsia="lt-LT"/>
                              </w:rPr>
                            </w:pPr>
                            <w:r>
                              <w:rPr>
                                <w:sz w:val="20"/>
                                <w:lang w:eastAsia="lt-LT"/>
                              </w:rPr>
                              <w:t>SO</w:t>
                            </w:r>
                            <w:r>
                              <w:rPr>
                                <w:sz w:val="20"/>
                                <w:vertAlign w:val="subscript"/>
                                <w:lang w:eastAsia="lt-LT"/>
                              </w:rPr>
                              <w:t>2</w:t>
                            </w:r>
                          </w:p>
                        </w:tc>
                        <w:tc>
                          <w:tcPr>
                            <w:tcW w:w="1471" w:type="dxa"/>
                            <w:tcMar>
                              <w:top w:w="0" w:type="dxa"/>
                              <w:left w:w="108" w:type="dxa"/>
                              <w:bottom w:w="0" w:type="dxa"/>
                              <w:right w:w="108" w:type="dxa"/>
                            </w:tcMar>
                          </w:tcPr>
                          <w:p>
                            <w:pPr>
                              <w:rPr>
                                <w:rFonts w:ascii="Tahoma" w:hAnsi="Tahoma" w:cs="Tahoma"/>
                                <w:strike/>
                                <w:sz w:val="20"/>
                                <w:lang w:eastAsia="lt-LT"/>
                              </w:rPr>
                            </w:pPr>
                          </w:p>
                        </w:tc>
                        <w:tc>
                          <w:tcPr>
                            <w:tcW w:w="2105" w:type="dxa"/>
                            <w:tcMar>
                              <w:top w:w="0" w:type="dxa"/>
                              <w:left w:w="108" w:type="dxa"/>
                              <w:bottom w:w="0" w:type="dxa"/>
                              <w:right w:w="108" w:type="dxa"/>
                            </w:tcMar>
                          </w:tcPr>
                          <w:p>
                            <w:pPr>
                              <w:rPr>
                                <w:sz w:val="20"/>
                                <w:lang w:eastAsia="lt-LT"/>
                              </w:rPr>
                            </w:pPr>
                            <w:r>
                              <w:rPr>
                                <w:sz w:val="20"/>
                                <w:lang w:eastAsia="lt-LT"/>
                              </w:rPr>
                              <w:t>400 durpėms: 300</w:t>
                            </w:r>
                          </w:p>
                        </w:tc>
                        <w:tc>
                          <w:tcPr>
                            <w:tcW w:w="2227" w:type="dxa"/>
                            <w:tcMar>
                              <w:top w:w="0" w:type="dxa"/>
                              <w:left w:w="108" w:type="dxa"/>
                              <w:bottom w:w="0" w:type="dxa"/>
                              <w:right w:w="108" w:type="dxa"/>
                            </w:tcMar>
                          </w:tcPr>
                          <w:p>
                            <w:pPr>
                              <w:rPr>
                                <w:sz w:val="20"/>
                                <w:lang w:eastAsia="lt-LT"/>
                              </w:rPr>
                            </w:pPr>
                            <w:r>
                              <w:rPr>
                                <w:sz w:val="20"/>
                                <w:lang w:eastAsia="lt-LT"/>
                              </w:rPr>
                              <w:t>200</w:t>
                            </w:r>
                          </w:p>
                        </w:tc>
                        <w:tc>
                          <w:tcPr>
                            <w:tcW w:w="1752"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733" w:type="dxa"/>
                            <w:tcMar>
                              <w:top w:w="0" w:type="dxa"/>
                              <w:left w:w="108" w:type="dxa"/>
                              <w:bottom w:w="0" w:type="dxa"/>
                              <w:right w:w="108" w:type="dxa"/>
                            </w:tcMar>
                          </w:tcPr>
                          <w:p>
                            <w:pPr>
                              <w:rPr>
                                <w:rFonts w:ascii="Tahoma" w:hAnsi="Tahoma" w:cs="Tahoma"/>
                                <w:sz w:val="20"/>
                                <w:lang w:eastAsia="lt-LT"/>
                              </w:rPr>
                            </w:pPr>
                            <w:r>
                              <w:rPr>
                                <w:sz w:val="20"/>
                                <w:lang w:eastAsia="lt-LT"/>
                              </w:rPr>
                              <w:t>NO</w:t>
                            </w:r>
                            <w:r>
                              <w:rPr>
                                <w:sz w:val="20"/>
                                <w:vertAlign w:val="subscript"/>
                                <w:lang w:eastAsia="lt-LT"/>
                              </w:rPr>
                              <w:t>x</w:t>
                            </w:r>
                          </w:p>
                        </w:tc>
                        <w:tc>
                          <w:tcPr>
                            <w:tcW w:w="1471" w:type="dxa"/>
                            <w:tcMar>
                              <w:top w:w="0" w:type="dxa"/>
                              <w:left w:w="108" w:type="dxa"/>
                              <w:bottom w:w="0" w:type="dxa"/>
                              <w:right w:w="108" w:type="dxa"/>
                            </w:tcMar>
                          </w:tcPr>
                          <w:p>
                            <w:pPr>
                              <w:rPr>
                                <w:rFonts w:ascii="Tahoma" w:hAnsi="Tahoma" w:cs="Tahoma"/>
                                <w:strike/>
                                <w:sz w:val="20"/>
                                <w:lang w:eastAsia="lt-LT"/>
                              </w:rPr>
                            </w:pPr>
                          </w:p>
                        </w:tc>
                        <w:tc>
                          <w:tcPr>
                            <w:tcW w:w="2105" w:type="dxa"/>
                            <w:tcMar>
                              <w:top w:w="0" w:type="dxa"/>
                              <w:left w:w="108" w:type="dxa"/>
                              <w:bottom w:w="0" w:type="dxa"/>
                              <w:right w:w="108" w:type="dxa"/>
                            </w:tcMar>
                          </w:tcPr>
                          <w:p>
                            <w:pPr>
                              <w:rPr>
                                <w:sz w:val="20"/>
                                <w:lang w:eastAsia="lt-LT"/>
                              </w:rPr>
                            </w:pPr>
                            <w:r>
                              <w:rPr>
                                <w:sz w:val="20"/>
                                <w:lang w:eastAsia="lt-LT"/>
                              </w:rPr>
                              <w:t>300</w:t>
                            </w:r>
                          </w:p>
                          <w:p>
                            <w:pPr>
                              <w:rPr>
                                <w:rFonts w:ascii="Tahoma" w:hAnsi="Tahoma" w:cs="Tahoma"/>
                                <w:sz w:val="20"/>
                                <w:lang w:eastAsia="lt-LT"/>
                              </w:rPr>
                            </w:pPr>
                            <w:r>
                              <w:rPr>
                                <w:sz w:val="20"/>
                                <w:lang w:eastAsia="lt-LT"/>
                              </w:rPr>
                              <w:t>lignito milteliams: 400</w:t>
                            </w:r>
                          </w:p>
                        </w:tc>
                        <w:tc>
                          <w:tcPr>
                            <w:tcW w:w="2227" w:type="dxa"/>
                            <w:tcMar>
                              <w:top w:w="0" w:type="dxa"/>
                              <w:left w:w="108" w:type="dxa"/>
                              <w:bottom w:w="0" w:type="dxa"/>
                              <w:right w:w="108" w:type="dxa"/>
                            </w:tcMar>
                          </w:tcPr>
                          <w:p>
                            <w:pPr>
                              <w:rPr>
                                <w:rFonts w:ascii="Tahoma" w:hAnsi="Tahoma" w:cs="Tahoma"/>
                                <w:sz w:val="20"/>
                                <w:lang w:eastAsia="lt-LT"/>
                              </w:rPr>
                            </w:pPr>
                            <w:r>
                              <w:rPr>
                                <w:sz w:val="20"/>
                                <w:lang w:eastAsia="lt-LT"/>
                              </w:rPr>
                              <w:t>200</w:t>
                            </w:r>
                          </w:p>
                        </w:tc>
                        <w:tc>
                          <w:tcPr>
                            <w:tcW w:w="1752"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733" w:type="dxa"/>
                            <w:tcMar>
                              <w:top w:w="0" w:type="dxa"/>
                              <w:left w:w="108" w:type="dxa"/>
                              <w:bottom w:w="0" w:type="dxa"/>
                              <w:right w:w="108" w:type="dxa"/>
                            </w:tcMar>
                          </w:tcPr>
                          <w:p>
                            <w:pPr>
                              <w:rPr>
                                <w:rFonts w:ascii="Tahoma" w:hAnsi="Tahoma" w:cs="Tahoma"/>
                                <w:sz w:val="20"/>
                                <w:lang w:eastAsia="lt-LT"/>
                              </w:rPr>
                            </w:pPr>
                            <w:r>
                              <w:rPr>
                                <w:sz w:val="20"/>
                                <w:lang w:eastAsia="lt-LT"/>
                              </w:rPr>
                              <w:t>Dulkės</w:t>
                            </w:r>
                          </w:p>
                        </w:tc>
                        <w:tc>
                          <w:tcPr>
                            <w:tcW w:w="1471"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105" w:type="dxa"/>
                            <w:tcMar>
                              <w:top w:w="0" w:type="dxa"/>
                              <w:left w:w="108" w:type="dxa"/>
                              <w:bottom w:w="0" w:type="dxa"/>
                              <w:right w:w="108" w:type="dxa"/>
                            </w:tcMar>
                          </w:tcPr>
                          <w:p>
                            <w:pPr>
                              <w:rPr>
                                <w:rFonts w:ascii="Tahoma" w:hAnsi="Tahoma" w:cs="Tahoma"/>
                                <w:sz w:val="20"/>
                                <w:lang w:eastAsia="lt-LT"/>
                              </w:rPr>
                            </w:pPr>
                            <w:r>
                              <w:rPr>
                                <w:sz w:val="20"/>
                                <w:lang w:eastAsia="lt-LT"/>
                              </w:rPr>
                              <w:t>30</w:t>
                            </w:r>
                          </w:p>
                        </w:tc>
                        <w:tc>
                          <w:tcPr>
                            <w:tcW w:w="2227" w:type="dxa"/>
                            <w:tcMar>
                              <w:top w:w="0" w:type="dxa"/>
                              <w:left w:w="108" w:type="dxa"/>
                              <w:bottom w:w="0" w:type="dxa"/>
                              <w:right w:w="108" w:type="dxa"/>
                            </w:tcMar>
                          </w:tcPr>
                          <w:p>
                            <w:pPr>
                              <w:rPr>
                                <w:sz w:val="20"/>
                                <w:lang w:eastAsia="lt-LT"/>
                              </w:rPr>
                            </w:pPr>
                            <w:r>
                              <w:rPr>
                                <w:sz w:val="20"/>
                                <w:lang w:eastAsia="lt-LT"/>
                              </w:rPr>
                              <w:t>25</w:t>
                            </w:r>
                          </w:p>
                          <w:p>
                            <w:pPr>
                              <w:rPr>
                                <w:rFonts w:ascii="Tahoma" w:hAnsi="Tahoma" w:cs="Tahoma"/>
                                <w:sz w:val="20"/>
                                <w:lang w:eastAsia="lt-LT"/>
                              </w:rPr>
                            </w:pPr>
                            <w:r>
                              <w:rPr>
                                <w:sz w:val="20"/>
                                <w:lang w:eastAsia="lt-LT"/>
                              </w:rPr>
                              <w:t>Durpėms –</w:t>
                            </w:r>
                            <w:r>
                              <w:rPr>
                                <w:szCs w:val="24"/>
                                <w:lang w:eastAsia="lt-LT"/>
                              </w:rPr>
                              <w:t xml:space="preserve"> </w:t>
                            </w:r>
                            <w:r>
                              <w:rPr>
                                <w:sz w:val="20"/>
                                <w:lang w:eastAsia="lt-LT"/>
                              </w:rPr>
                              <w:t>20</w:t>
                            </w:r>
                          </w:p>
                        </w:tc>
                        <w:tc>
                          <w:tcPr>
                            <w:tcW w:w="1752" w:type="dxa"/>
                            <w:tcMar>
                              <w:top w:w="0" w:type="dxa"/>
                              <w:left w:w="108" w:type="dxa"/>
                              <w:bottom w:w="0" w:type="dxa"/>
                              <w:right w:w="108" w:type="dxa"/>
                            </w:tcMar>
                          </w:tcPr>
                          <w:p>
                            <w:pPr>
                              <w:rPr>
                                <w:rFonts w:ascii="Tahoma" w:hAnsi="Tahoma" w:cs="Tahoma"/>
                                <w:sz w:val="20"/>
                                <w:lang w:eastAsia="lt-LT"/>
                              </w:rPr>
                            </w:pPr>
                            <w:r>
                              <w:rPr>
                                <w:sz w:val="20"/>
                                <w:lang w:eastAsia="lt-LT"/>
                              </w:rPr>
                              <w:t>20</w:t>
                            </w:r>
                          </w:p>
                        </w:tc>
                      </w:tr>
                    </w:tbl>
                    <w:p>
                      <w:pPr>
                        <w:ind w:firstLine="709"/>
                        <w:rPr>
                          <w:szCs w:val="24"/>
                          <w:lang w:eastAsia="lt-LT"/>
                        </w:rPr>
                      </w:pPr>
                    </w:p>
                    <w:p>
                      <w:pPr>
                        <w:ind w:firstLine="567"/>
                        <w:jc w:val="both"/>
                        <w:rPr>
                          <w:szCs w:val="24"/>
                          <w:lang w:eastAsia="lt-LT"/>
                        </w:rPr>
                      </w:pPr>
                      <w:r>
                        <w:rPr>
                          <w:szCs w:val="24"/>
                          <w:lang w:eastAsia="lt-LT"/>
                        </w:rPr>
                        <w:t>Įrenginiams, deginantiems biomasę, taikomos šios vidutinės paros išmetamųjų teršalų ribinės vertės (C</w:t>
                      </w:r>
                      <w:r>
                        <w:rPr>
                          <w:szCs w:val="24"/>
                          <w:vertAlign w:val="subscript"/>
                          <w:lang w:eastAsia="lt-LT"/>
                        </w:rPr>
                        <w:t>PROC</w:t>
                      </w:r>
                      <w:r>
                        <w:rPr>
                          <w:szCs w:val="24"/>
                          <w:lang w:eastAsia="lt-LT"/>
                        </w:rPr>
                        <w:t xml:space="preserve"> išreikšta mg/Nm</w:t>
                      </w:r>
                      <w:r>
                        <w:rPr>
                          <w:szCs w:val="24"/>
                          <w:vertAlign w:val="superscript"/>
                          <w:lang w:eastAsia="lt-LT"/>
                        </w:rPr>
                        <w:t>3</w:t>
                      </w:r>
                      <w:r>
                        <w:rPr>
                          <w:szCs w:val="24"/>
                          <w:lang w:eastAsia="lt-LT"/>
                        </w:rPr>
                        <w:t>; standartinis O</w:t>
                      </w:r>
                      <w:r>
                        <w:rPr>
                          <w:szCs w:val="24"/>
                          <w:vertAlign w:val="subscript"/>
                          <w:lang w:eastAsia="lt-LT"/>
                        </w:rPr>
                        <w:t>2</w:t>
                      </w:r>
                      <w:r>
                        <w:rPr>
                          <w:szCs w:val="24"/>
                          <w:lang w:eastAsia="lt-LT"/>
                        </w:rPr>
                        <w:t xml:space="preserve"> kiekis – 6 %):</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10"/>
                        <w:gridCol w:w="1453"/>
                        <w:gridCol w:w="2019"/>
                        <w:gridCol w:w="2160"/>
                        <w:gridCol w:w="1728"/>
                      </w:tblGrid>
                      <w:tr>
                        <w:tc>
                          <w:tcPr>
                            <w:tcW w:w="1744" w:type="dxa"/>
                            <w:tcMar>
                              <w:top w:w="0" w:type="dxa"/>
                              <w:left w:w="108" w:type="dxa"/>
                              <w:bottom w:w="0" w:type="dxa"/>
                              <w:right w:w="108" w:type="dxa"/>
                            </w:tcMar>
                          </w:tcPr>
                          <w:p>
                            <w:pPr>
                              <w:rPr>
                                <w:rFonts w:ascii="Tahoma" w:hAnsi="Tahoma" w:cs="Tahoma"/>
                                <w:b/>
                                <w:sz w:val="20"/>
                                <w:lang w:eastAsia="lt-LT"/>
                              </w:rPr>
                            </w:pPr>
                            <w:r>
                              <w:rPr>
                                <w:b/>
                                <w:bCs/>
                                <w:sz w:val="20"/>
                                <w:lang w:eastAsia="lt-LT"/>
                              </w:rPr>
                              <w:t>Teršalai</w:t>
                            </w:r>
                          </w:p>
                        </w:tc>
                        <w:tc>
                          <w:tcPr>
                            <w:tcW w:w="1482" w:type="dxa"/>
                            <w:tcMar>
                              <w:top w:w="0" w:type="dxa"/>
                              <w:left w:w="108" w:type="dxa"/>
                              <w:bottom w:w="0" w:type="dxa"/>
                              <w:right w:w="108" w:type="dxa"/>
                            </w:tcMar>
                          </w:tcPr>
                          <w:p>
                            <w:pPr>
                              <w:rPr>
                                <w:rFonts w:ascii="Tahoma" w:hAnsi="Tahoma" w:cs="Tahoma"/>
                                <w:b/>
                                <w:sz w:val="20"/>
                                <w:lang w:eastAsia="lt-LT"/>
                              </w:rPr>
                            </w:pPr>
                            <w:r>
                              <w:rPr>
                                <w:b/>
                                <w:bCs/>
                                <w:sz w:val="20"/>
                                <w:lang w:eastAsia="lt-LT"/>
                              </w:rPr>
                              <w:t>&lt;50 MWth</w:t>
                            </w:r>
                          </w:p>
                        </w:tc>
                        <w:tc>
                          <w:tcPr>
                            <w:tcW w:w="2073" w:type="dxa"/>
                            <w:tcMar>
                              <w:top w:w="0" w:type="dxa"/>
                              <w:left w:w="108" w:type="dxa"/>
                              <w:bottom w:w="0" w:type="dxa"/>
                              <w:right w:w="108" w:type="dxa"/>
                            </w:tcMar>
                          </w:tcPr>
                          <w:p>
                            <w:pPr>
                              <w:rPr>
                                <w:rFonts w:ascii="Tahoma" w:hAnsi="Tahoma" w:cs="Tahoma"/>
                                <w:b/>
                                <w:sz w:val="20"/>
                                <w:lang w:eastAsia="lt-LT"/>
                              </w:rPr>
                            </w:pPr>
                            <w:r>
                              <w:rPr>
                                <w:b/>
                                <w:bCs/>
                                <w:sz w:val="20"/>
                                <w:lang w:eastAsia="lt-LT"/>
                              </w:rPr>
                              <w:t>Nuo 50 iki 100 MWth</w:t>
                            </w:r>
                          </w:p>
                        </w:tc>
                        <w:tc>
                          <w:tcPr>
                            <w:tcW w:w="2220" w:type="dxa"/>
                            <w:tcMar>
                              <w:top w:w="0" w:type="dxa"/>
                              <w:left w:w="108" w:type="dxa"/>
                              <w:bottom w:w="0" w:type="dxa"/>
                              <w:right w:w="108" w:type="dxa"/>
                            </w:tcMar>
                          </w:tcPr>
                          <w:p>
                            <w:pPr>
                              <w:rPr>
                                <w:rFonts w:ascii="Tahoma" w:hAnsi="Tahoma" w:cs="Tahoma"/>
                                <w:b/>
                                <w:sz w:val="20"/>
                                <w:lang w:eastAsia="lt-LT"/>
                              </w:rPr>
                            </w:pPr>
                            <w:r>
                              <w:rPr>
                                <w:b/>
                                <w:bCs/>
                                <w:sz w:val="20"/>
                                <w:lang w:eastAsia="lt-LT"/>
                              </w:rPr>
                              <w:t>Nuo 100 iki 300 MWth</w:t>
                            </w:r>
                          </w:p>
                        </w:tc>
                        <w:tc>
                          <w:tcPr>
                            <w:tcW w:w="1769" w:type="dxa"/>
                            <w:tcMar>
                              <w:top w:w="0" w:type="dxa"/>
                              <w:left w:w="108" w:type="dxa"/>
                              <w:bottom w:w="0" w:type="dxa"/>
                              <w:right w:w="108" w:type="dxa"/>
                            </w:tcMar>
                          </w:tcPr>
                          <w:p>
                            <w:pPr>
                              <w:rPr>
                                <w:rFonts w:ascii="Tahoma" w:hAnsi="Tahoma" w:cs="Tahoma"/>
                                <w:b/>
                                <w:sz w:val="20"/>
                                <w:lang w:eastAsia="lt-LT"/>
                              </w:rPr>
                            </w:pPr>
                            <w:r>
                              <w:rPr>
                                <w:b/>
                                <w:bCs/>
                                <w:sz w:val="20"/>
                                <w:lang w:eastAsia="lt-LT"/>
                              </w:rPr>
                              <w:t>&gt;300 MWth</w:t>
                            </w:r>
                          </w:p>
                        </w:tc>
                      </w:tr>
                      <w:tr>
                        <w:trPr>
                          <w:cantSplit/>
                          <w:trHeight w:val="215"/>
                        </w:trPr>
                        <w:tc>
                          <w:tcPr>
                            <w:tcW w:w="1744" w:type="dxa"/>
                            <w:tcMar>
                              <w:top w:w="0" w:type="dxa"/>
                              <w:left w:w="108" w:type="dxa"/>
                              <w:bottom w:w="0" w:type="dxa"/>
                              <w:right w:w="108" w:type="dxa"/>
                            </w:tcMar>
                          </w:tcPr>
                          <w:p>
                            <w:pPr>
                              <w:rPr>
                                <w:rFonts w:ascii="Tahoma" w:hAnsi="Tahoma" w:cs="Tahoma"/>
                                <w:sz w:val="20"/>
                                <w:lang w:eastAsia="lt-LT"/>
                              </w:rPr>
                            </w:pPr>
                            <w:r>
                              <w:rPr>
                                <w:sz w:val="20"/>
                                <w:lang w:eastAsia="lt-LT"/>
                              </w:rPr>
                              <w:t>SO</w:t>
                            </w:r>
                            <w:r>
                              <w:rPr>
                                <w:sz w:val="20"/>
                                <w:vertAlign w:val="subscript"/>
                                <w:lang w:eastAsia="lt-LT"/>
                              </w:rPr>
                              <w:t>2</w:t>
                            </w:r>
                          </w:p>
                        </w:tc>
                        <w:tc>
                          <w:tcPr>
                            <w:tcW w:w="1482" w:type="dxa"/>
                            <w:tcMar>
                              <w:top w:w="0" w:type="dxa"/>
                              <w:left w:w="108" w:type="dxa"/>
                              <w:bottom w:w="0" w:type="dxa"/>
                              <w:right w:w="108" w:type="dxa"/>
                            </w:tcMar>
                          </w:tcPr>
                          <w:p>
                            <w:pPr>
                              <w:rPr>
                                <w:rFonts w:ascii="Tahoma" w:hAnsi="Tahoma" w:cs="Tahoma"/>
                                <w:strike/>
                                <w:sz w:val="20"/>
                                <w:lang w:eastAsia="lt-LT"/>
                              </w:rPr>
                            </w:pPr>
                          </w:p>
                        </w:tc>
                        <w:tc>
                          <w:tcPr>
                            <w:tcW w:w="2073" w:type="dxa"/>
                            <w:tcMar>
                              <w:top w:w="0" w:type="dxa"/>
                              <w:left w:w="108" w:type="dxa"/>
                              <w:bottom w:w="0" w:type="dxa"/>
                              <w:right w:w="108" w:type="dxa"/>
                            </w:tcMar>
                          </w:tcPr>
                          <w:p>
                            <w:pPr>
                              <w:rPr>
                                <w:sz w:val="20"/>
                                <w:lang w:eastAsia="lt-LT"/>
                              </w:rPr>
                            </w:pPr>
                            <w:r>
                              <w:rPr>
                                <w:sz w:val="20"/>
                                <w:lang w:eastAsia="lt-LT"/>
                              </w:rPr>
                              <w:t>200</w:t>
                            </w:r>
                          </w:p>
                        </w:tc>
                        <w:tc>
                          <w:tcPr>
                            <w:tcW w:w="2220" w:type="dxa"/>
                            <w:tcMar>
                              <w:top w:w="0" w:type="dxa"/>
                              <w:left w:w="108" w:type="dxa"/>
                              <w:bottom w:w="0" w:type="dxa"/>
                              <w:right w:w="108" w:type="dxa"/>
                            </w:tcMar>
                          </w:tcPr>
                          <w:p>
                            <w:pPr>
                              <w:rPr>
                                <w:sz w:val="20"/>
                                <w:lang w:eastAsia="lt-LT"/>
                              </w:rPr>
                            </w:pPr>
                            <w:r>
                              <w:rPr>
                                <w:sz w:val="20"/>
                                <w:lang w:eastAsia="lt-LT"/>
                              </w:rPr>
                              <w:t>200</w:t>
                            </w:r>
                          </w:p>
                        </w:tc>
                        <w:tc>
                          <w:tcPr>
                            <w:tcW w:w="1769"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744" w:type="dxa"/>
                            <w:tcMar>
                              <w:top w:w="0" w:type="dxa"/>
                              <w:left w:w="108" w:type="dxa"/>
                              <w:bottom w:w="0" w:type="dxa"/>
                              <w:right w:w="108" w:type="dxa"/>
                            </w:tcMar>
                          </w:tcPr>
                          <w:p>
                            <w:pPr>
                              <w:rPr>
                                <w:rFonts w:ascii="Tahoma" w:hAnsi="Tahoma" w:cs="Tahoma"/>
                                <w:sz w:val="20"/>
                                <w:lang w:eastAsia="lt-LT"/>
                              </w:rPr>
                            </w:pPr>
                            <w:r>
                              <w:rPr>
                                <w:sz w:val="20"/>
                                <w:lang w:eastAsia="lt-LT"/>
                              </w:rPr>
                              <w:t>NO</w:t>
                            </w:r>
                            <w:r>
                              <w:rPr>
                                <w:sz w:val="20"/>
                                <w:vertAlign w:val="subscript"/>
                                <w:lang w:eastAsia="lt-LT"/>
                              </w:rPr>
                              <w:t>x</w:t>
                            </w:r>
                          </w:p>
                        </w:tc>
                        <w:tc>
                          <w:tcPr>
                            <w:tcW w:w="1482" w:type="dxa"/>
                            <w:tcMar>
                              <w:top w:w="0" w:type="dxa"/>
                              <w:left w:w="108" w:type="dxa"/>
                              <w:bottom w:w="0" w:type="dxa"/>
                              <w:right w:w="108" w:type="dxa"/>
                            </w:tcMar>
                          </w:tcPr>
                          <w:p>
                            <w:pPr>
                              <w:rPr>
                                <w:rFonts w:ascii="Tahoma" w:hAnsi="Tahoma" w:cs="Tahoma"/>
                                <w:strike/>
                                <w:sz w:val="20"/>
                                <w:lang w:eastAsia="lt-LT"/>
                              </w:rPr>
                            </w:pPr>
                          </w:p>
                        </w:tc>
                        <w:tc>
                          <w:tcPr>
                            <w:tcW w:w="2073" w:type="dxa"/>
                            <w:tcMar>
                              <w:top w:w="0" w:type="dxa"/>
                              <w:left w:w="108" w:type="dxa"/>
                              <w:bottom w:w="0" w:type="dxa"/>
                              <w:right w:w="108" w:type="dxa"/>
                            </w:tcMar>
                          </w:tcPr>
                          <w:p>
                            <w:pPr>
                              <w:rPr>
                                <w:sz w:val="20"/>
                                <w:lang w:eastAsia="lt-LT"/>
                              </w:rPr>
                            </w:pPr>
                            <w:r>
                              <w:rPr>
                                <w:sz w:val="20"/>
                                <w:lang w:eastAsia="lt-LT"/>
                              </w:rPr>
                              <w:t>300</w:t>
                            </w:r>
                          </w:p>
                        </w:tc>
                        <w:tc>
                          <w:tcPr>
                            <w:tcW w:w="2220" w:type="dxa"/>
                            <w:tcMar>
                              <w:top w:w="0" w:type="dxa"/>
                              <w:left w:w="108" w:type="dxa"/>
                              <w:bottom w:w="0" w:type="dxa"/>
                              <w:right w:w="108" w:type="dxa"/>
                            </w:tcMar>
                          </w:tcPr>
                          <w:p>
                            <w:pPr>
                              <w:rPr>
                                <w:rFonts w:ascii="Tahoma" w:hAnsi="Tahoma" w:cs="Tahoma"/>
                                <w:sz w:val="20"/>
                                <w:lang w:eastAsia="lt-LT"/>
                              </w:rPr>
                            </w:pPr>
                            <w:r>
                              <w:rPr>
                                <w:sz w:val="20"/>
                                <w:lang w:eastAsia="lt-LT"/>
                              </w:rPr>
                              <w:t>250</w:t>
                            </w:r>
                          </w:p>
                        </w:tc>
                        <w:tc>
                          <w:tcPr>
                            <w:tcW w:w="1769"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744" w:type="dxa"/>
                            <w:tcMar>
                              <w:top w:w="0" w:type="dxa"/>
                              <w:left w:w="108" w:type="dxa"/>
                              <w:bottom w:w="0" w:type="dxa"/>
                              <w:right w:w="108" w:type="dxa"/>
                            </w:tcMar>
                          </w:tcPr>
                          <w:p>
                            <w:pPr>
                              <w:rPr>
                                <w:rFonts w:ascii="Tahoma" w:hAnsi="Tahoma" w:cs="Tahoma"/>
                                <w:sz w:val="20"/>
                                <w:lang w:eastAsia="lt-LT"/>
                              </w:rPr>
                            </w:pPr>
                            <w:r>
                              <w:rPr>
                                <w:sz w:val="20"/>
                                <w:lang w:eastAsia="lt-LT"/>
                              </w:rPr>
                              <w:t>Dulkės</w:t>
                            </w:r>
                          </w:p>
                        </w:tc>
                        <w:tc>
                          <w:tcPr>
                            <w:tcW w:w="1482"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073" w:type="dxa"/>
                            <w:tcMar>
                              <w:top w:w="0" w:type="dxa"/>
                              <w:left w:w="108" w:type="dxa"/>
                              <w:bottom w:w="0" w:type="dxa"/>
                              <w:right w:w="108" w:type="dxa"/>
                            </w:tcMar>
                          </w:tcPr>
                          <w:p>
                            <w:pPr>
                              <w:rPr>
                                <w:rFonts w:ascii="Tahoma" w:hAnsi="Tahoma" w:cs="Tahoma"/>
                                <w:sz w:val="20"/>
                                <w:lang w:eastAsia="lt-LT"/>
                              </w:rPr>
                            </w:pPr>
                            <w:r>
                              <w:rPr>
                                <w:sz w:val="20"/>
                                <w:lang w:eastAsia="lt-LT"/>
                              </w:rPr>
                              <w:t>30</w:t>
                            </w:r>
                          </w:p>
                        </w:tc>
                        <w:tc>
                          <w:tcPr>
                            <w:tcW w:w="2220" w:type="dxa"/>
                            <w:tcMar>
                              <w:top w:w="0" w:type="dxa"/>
                              <w:left w:w="108" w:type="dxa"/>
                              <w:bottom w:w="0" w:type="dxa"/>
                              <w:right w:w="108" w:type="dxa"/>
                            </w:tcMar>
                          </w:tcPr>
                          <w:p>
                            <w:pPr>
                              <w:rPr>
                                <w:rFonts w:ascii="Tahoma" w:hAnsi="Tahoma" w:cs="Tahoma"/>
                                <w:sz w:val="20"/>
                                <w:lang w:eastAsia="lt-LT"/>
                              </w:rPr>
                            </w:pPr>
                            <w:r>
                              <w:rPr>
                                <w:sz w:val="20"/>
                                <w:lang w:eastAsia="lt-LT"/>
                              </w:rPr>
                              <w:t>20</w:t>
                            </w:r>
                          </w:p>
                        </w:tc>
                        <w:tc>
                          <w:tcPr>
                            <w:tcW w:w="1769" w:type="dxa"/>
                            <w:tcMar>
                              <w:top w:w="0" w:type="dxa"/>
                              <w:left w:w="108" w:type="dxa"/>
                              <w:bottom w:w="0" w:type="dxa"/>
                              <w:right w:w="108" w:type="dxa"/>
                            </w:tcMar>
                          </w:tcPr>
                          <w:p>
                            <w:pPr>
                              <w:rPr>
                                <w:rFonts w:ascii="Tahoma" w:hAnsi="Tahoma" w:cs="Tahoma"/>
                                <w:sz w:val="20"/>
                                <w:lang w:eastAsia="lt-LT"/>
                              </w:rPr>
                            </w:pPr>
                            <w:r>
                              <w:rPr>
                                <w:sz w:val="20"/>
                                <w:lang w:eastAsia="lt-LT"/>
                              </w:rPr>
                              <w:t>20</w:t>
                            </w:r>
                          </w:p>
                        </w:tc>
                      </w:tr>
                    </w:tbl>
                    <w:p>
                      <w:pPr>
                        <w:ind w:firstLine="709"/>
                        <w:rPr>
                          <w:szCs w:val="24"/>
                          <w:lang w:eastAsia="lt-LT"/>
                        </w:rPr>
                      </w:pPr>
                    </w:p>
                    <w:p>
                      <w:pPr>
                        <w:ind w:firstLine="567"/>
                        <w:jc w:val="both"/>
                        <w:rPr>
                          <w:szCs w:val="24"/>
                          <w:lang w:eastAsia="lt-LT"/>
                        </w:rPr>
                      </w:pPr>
                      <w:r>
                        <w:rPr>
                          <w:szCs w:val="24"/>
                          <w:lang w:eastAsia="lt-LT"/>
                        </w:rPr>
                        <w:t>Įrenginiams, deginantiems skystąjį kurą, taikomos šios vidutinės paros išmetamųjų teršalų ribinės vertės (C</w:t>
                      </w:r>
                      <w:r>
                        <w:rPr>
                          <w:szCs w:val="24"/>
                          <w:vertAlign w:val="subscript"/>
                          <w:lang w:eastAsia="lt-LT"/>
                        </w:rPr>
                        <w:t>PROC</w:t>
                      </w:r>
                      <w:r>
                        <w:rPr>
                          <w:szCs w:val="24"/>
                          <w:lang w:eastAsia="lt-LT"/>
                        </w:rPr>
                        <w:t xml:space="preserve"> išreikšta mg/Nm</w:t>
                      </w:r>
                      <w:r>
                        <w:rPr>
                          <w:szCs w:val="24"/>
                          <w:vertAlign w:val="superscript"/>
                          <w:lang w:eastAsia="lt-LT"/>
                        </w:rPr>
                        <w:t>3</w:t>
                      </w:r>
                      <w:r>
                        <w:rPr>
                          <w:szCs w:val="24"/>
                          <w:lang w:eastAsia="lt-LT"/>
                        </w:rPr>
                        <w:t>; standartinis O</w:t>
                      </w:r>
                      <w:r>
                        <w:rPr>
                          <w:szCs w:val="24"/>
                          <w:vertAlign w:val="subscript"/>
                          <w:lang w:eastAsia="lt-LT"/>
                        </w:rPr>
                        <w:t>2</w:t>
                      </w:r>
                      <w:r>
                        <w:rPr>
                          <w:szCs w:val="24"/>
                          <w:lang w:eastAsia="lt-LT"/>
                        </w:rPr>
                        <w:t xml:space="preserve"> kiekis – 3 %):</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12"/>
                        <w:gridCol w:w="1452"/>
                        <w:gridCol w:w="2019"/>
                        <w:gridCol w:w="2160"/>
                        <w:gridCol w:w="1727"/>
                      </w:tblGrid>
                      <w:tr>
                        <w:tc>
                          <w:tcPr>
                            <w:tcW w:w="1746" w:type="dxa"/>
                            <w:tcMar>
                              <w:top w:w="0" w:type="dxa"/>
                              <w:left w:w="108" w:type="dxa"/>
                              <w:bottom w:w="0" w:type="dxa"/>
                              <w:right w:w="108" w:type="dxa"/>
                            </w:tcMar>
                          </w:tcPr>
                          <w:p>
                            <w:pPr>
                              <w:rPr>
                                <w:rFonts w:ascii="Tahoma" w:hAnsi="Tahoma" w:cs="Tahoma"/>
                                <w:b/>
                                <w:sz w:val="20"/>
                                <w:lang w:eastAsia="lt-LT"/>
                              </w:rPr>
                            </w:pPr>
                            <w:r>
                              <w:rPr>
                                <w:b/>
                                <w:bCs/>
                                <w:sz w:val="20"/>
                                <w:lang w:eastAsia="lt-LT"/>
                              </w:rPr>
                              <w:t>Teršalai</w:t>
                            </w:r>
                          </w:p>
                        </w:tc>
                        <w:tc>
                          <w:tcPr>
                            <w:tcW w:w="1481" w:type="dxa"/>
                            <w:tcMar>
                              <w:top w:w="0" w:type="dxa"/>
                              <w:left w:w="108" w:type="dxa"/>
                              <w:bottom w:w="0" w:type="dxa"/>
                              <w:right w:w="108" w:type="dxa"/>
                            </w:tcMar>
                          </w:tcPr>
                          <w:p>
                            <w:pPr>
                              <w:rPr>
                                <w:rFonts w:ascii="Tahoma" w:hAnsi="Tahoma" w:cs="Tahoma"/>
                                <w:b/>
                                <w:sz w:val="20"/>
                                <w:lang w:eastAsia="lt-LT"/>
                              </w:rPr>
                            </w:pPr>
                            <w:r>
                              <w:rPr>
                                <w:b/>
                                <w:bCs/>
                                <w:sz w:val="20"/>
                                <w:lang w:eastAsia="lt-LT"/>
                              </w:rPr>
                              <w:t>&lt;50 MWth</w:t>
                            </w:r>
                          </w:p>
                        </w:tc>
                        <w:tc>
                          <w:tcPr>
                            <w:tcW w:w="2073" w:type="dxa"/>
                            <w:tcMar>
                              <w:top w:w="0" w:type="dxa"/>
                              <w:left w:w="108" w:type="dxa"/>
                              <w:bottom w:w="0" w:type="dxa"/>
                              <w:right w:w="108" w:type="dxa"/>
                            </w:tcMar>
                          </w:tcPr>
                          <w:p>
                            <w:pPr>
                              <w:rPr>
                                <w:rFonts w:ascii="Tahoma" w:hAnsi="Tahoma" w:cs="Tahoma"/>
                                <w:b/>
                                <w:sz w:val="20"/>
                                <w:lang w:eastAsia="lt-LT"/>
                              </w:rPr>
                            </w:pPr>
                            <w:r>
                              <w:rPr>
                                <w:b/>
                                <w:bCs/>
                                <w:sz w:val="20"/>
                                <w:lang w:eastAsia="lt-LT"/>
                              </w:rPr>
                              <w:t>Nuo 50 iki 100 MWth</w:t>
                            </w:r>
                          </w:p>
                        </w:tc>
                        <w:tc>
                          <w:tcPr>
                            <w:tcW w:w="2220" w:type="dxa"/>
                            <w:tcMar>
                              <w:top w:w="0" w:type="dxa"/>
                              <w:left w:w="108" w:type="dxa"/>
                              <w:bottom w:w="0" w:type="dxa"/>
                              <w:right w:w="108" w:type="dxa"/>
                            </w:tcMar>
                          </w:tcPr>
                          <w:p>
                            <w:pPr>
                              <w:rPr>
                                <w:rFonts w:ascii="Tahoma" w:hAnsi="Tahoma" w:cs="Tahoma"/>
                                <w:b/>
                                <w:sz w:val="20"/>
                                <w:lang w:eastAsia="lt-LT"/>
                              </w:rPr>
                            </w:pPr>
                            <w:r>
                              <w:rPr>
                                <w:b/>
                                <w:bCs/>
                                <w:sz w:val="20"/>
                                <w:lang w:eastAsia="lt-LT"/>
                              </w:rPr>
                              <w:t>Nuo 100 iki 300 MWth</w:t>
                            </w:r>
                          </w:p>
                        </w:tc>
                        <w:tc>
                          <w:tcPr>
                            <w:tcW w:w="1768" w:type="dxa"/>
                            <w:tcMar>
                              <w:top w:w="0" w:type="dxa"/>
                              <w:left w:w="108" w:type="dxa"/>
                              <w:bottom w:w="0" w:type="dxa"/>
                              <w:right w:w="108" w:type="dxa"/>
                            </w:tcMar>
                          </w:tcPr>
                          <w:p>
                            <w:pPr>
                              <w:rPr>
                                <w:rFonts w:ascii="Tahoma" w:hAnsi="Tahoma" w:cs="Tahoma"/>
                                <w:b/>
                                <w:sz w:val="20"/>
                                <w:lang w:eastAsia="lt-LT"/>
                              </w:rPr>
                            </w:pPr>
                            <w:r>
                              <w:rPr>
                                <w:b/>
                                <w:bCs/>
                                <w:sz w:val="20"/>
                                <w:lang w:eastAsia="lt-LT"/>
                              </w:rPr>
                              <w:t>&gt;300 MWth</w:t>
                            </w:r>
                          </w:p>
                        </w:tc>
                      </w:tr>
                      <w:tr>
                        <w:trPr>
                          <w:cantSplit/>
                          <w:trHeight w:val="194"/>
                        </w:trPr>
                        <w:tc>
                          <w:tcPr>
                            <w:tcW w:w="1746" w:type="dxa"/>
                            <w:tcMar>
                              <w:top w:w="0" w:type="dxa"/>
                              <w:left w:w="108" w:type="dxa"/>
                              <w:bottom w:w="0" w:type="dxa"/>
                              <w:right w:w="108" w:type="dxa"/>
                            </w:tcMar>
                          </w:tcPr>
                          <w:p>
                            <w:pPr>
                              <w:rPr>
                                <w:rFonts w:ascii="Tahoma" w:hAnsi="Tahoma" w:cs="Tahoma"/>
                                <w:sz w:val="20"/>
                                <w:lang w:eastAsia="lt-LT"/>
                              </w:rPr>
                            </w:pPr>
                            <w:r>
                              <w:rPr>
                                <w:sz w:val="20"/>
                                <w:lang w:eastAsia="lt-LT"/>
                              </w:rPr>
                              <w:t>SO</w:t>
                            </w:r>
                            <w:r>
                              <w:rPr>
                                <w:sz w:val="20"/>
                                <w:vertAlign w:val="subscript"/>
                                <w:lang w:eastAsia="lt-LT"/>
                              </w:rPr>
                              <w:t>2</w:t>
                            </w:r>
                          </w:p>
                        </w:tc>
                        <w:tc>
                          <w:tcPr>
                            <w:tcW w:w="1481" w:type="dxa"/>
                            <w:tcMar>
                              <w:top w:w="0" w:type="dxa"/>
                              <w:left w:w="108" w:type="dxa"/>
                              <w:bottom w:w="0" w:type="dxa"/>
                              <w:right w:w="108" w:type="dxa"/>
                            </w:tcMar>
                          </w:tcPr>
                          <w:p>
                            <w:pPr>
                              <w:rPr>
                                <w:rFonts w:ascii="Tahoma" w:hAnsi="Tahoma" w:cs="Tahoma"/>
                                <w:strike/>
                                <w:sz w:val="20"/>
                                <w:lang w:eastAsia="lt-LT"/>
                              </w:rPr>
                            </w:pPr>
                          </w:p>
                        </w:tc>
                        <w:tc>
                          <w:tcPr>
                            <w:tcW w:w="2073" w:type="dxa"/>
                            <w:tcMar>
                              <w:top w:w="0" w:type="dxa"/>
                              <w:left w:w="108" w:type="dxa"/>
                              <w:bottom w:w="0" w:type="dxa"/>
                              <w:right w:w="108" w:type="dxa"/>
                            </w:tcMar>
                          </w:tcPr>
                          <w:p>
                            <w:pPr>
                              <w:rPr>
                                <w:sz w:val="20"/>
                                <w:lang w:eastAsia="lt-LT"/>
                              </w:rPr>
                            </w:pPr>
                            <w:r>
                              <w:rPr>
                                <w:sz w:val="20"/>
                                <w:lang w:eastAsia="lt-LT"/>
                              </w:rPr>
                              <w:t>350</w:t>
                            </w:r>
                          </w:p>
                        </w:tc>
                        <w:tc>
                          <w:tcPr>
                            <w:tcW w:w="2220" w:type="dxa"/>
                            <w:tcMar>
                              <w:top w:w="0" w:type="dxa"/>
                              <w:left w:w="108" w:type="dxa"/>
                              <w:bottom w:w="0" w:type="dxa"/>
                              <w:right w:w="108" w:type="dxa"/>
                            </w:tcMar>
                          </w:tcPr>
                          <w:p>
                            <w:pPr>
                              <w:rPr>
                                <w:sz w:val="20"/>
                                <w:lang w:eastAsia="lt-LT"/>
                              </w:rPr>
                            </w:pPr>
                            <w:r>
                              <w:rPr>
                                <w:sz w:val="20"/>
                                <w:lang w:eastAsia="lt-LT"/>
                              </w:rPr>
                              <w:t>250</w:t>
                            </w:r>
                          </w:p>
                        </w:tc>
                        <w:tc>
                          <w:tcPr>
                            <w:tcW w:w="1768" w:type="dxa"/>
                            <w:tcMar>
                              <w:top w:w="0" w:type="dxa"/>
                              <w:left w:w="108" w:type="dxa"/>
                              <w:bottom w:w="0" w:type="dxa"/>
                              <w:right w:w="108" w:type="dxa"/>
                            </w:tcMar>
                          </w:tcPr>
                          <w:p>
                            <w:pPr>
                              <w:rPr>
                                <w:rFonts w:ascii="Tahoma" w:hAnsi="Tahoma" w:cs="Tahoma"/>
                                <w:sz w:val="20"/>
                                <w:lang w:eastAsia="lt-LT"/>
                              </w:rPr>
                            </w:pPr>
                            <w:r>
                              <w:rPr>
                                <w:sz w:val="20"/>
                                <w:lang w:eastAsia="lt-LT"/>
                              </w:rPr>
                              <w:t>200</w:t>
                            </w:r>
                          </w:p>
                        </w:tc>
                      </w:tr>
                      <w:tr>
                        <w:tc>
                          <w:tcPr>
                            <w:tcW w:w="1746" w:type="dxa"/>
                            <w:tcMar>
                              <w:top w:w="0" w:type="dxa"/>
                              <w:left w:w="108" w:type="dxa"/>
                              <w:bottom w:w="0" w:type="dxa"/>
                              <w:right w:w="108" w:type="dxa"/>
                            </w:tcMar>
                          </w:tcPr>
                          <w:p>
                            <w:pPr>
                              <w:rPr>
                                <w:rFonts w:ascii="Tahoma" w:hAnsi="Tahoma" w:cs="Tahoma"/>
                                <w:sz w:val="20"/>
                                <w:lang w:eastAsia="lt-LT"/>
                              </w:rPr>
                            </w:pPr>
                            <w:r>
                              <w:rPr>
                                <w:sz w:val="20"/>
                                <w:lang w:eastAsia="lt-LT"/>
                              </w:rPr>
                              <w:t>NO</w:t>
                            </w:r>
                            <w:r>
                              <w:rPr>
                                <w:sz w:val="20"/>
                                <w:vertAlign w:val="subscript"/>
                                <w:lang w:eastAsia="lt-LT"/>
                              </w:rPr>
                              <w:t>x</w:t>
                            </w:r>
                          </w:p>
                        </w:tc>
                        <w:tc>
                          <w:tcPr>
                            <w:tcW w:w="1481" w:type="dxa"/>
                            <w:tcMar>
                              <w:top w:w="0" w:type="dxa"/>
                              <w:left w:w="108" w:type="dxa"/>
                              <w:bottom w:w="0" w:type="dxa"/>
                              <w:right w:w="108" w:type="dxa"/>
                            </w:tcMar>
                          </w:tcPr>
                          <w:p>
                            <w:pPr>
                              <w:rPr>
                                <w:rFonts w:ascii="Tahoma" w:hAnsi="Tahoma" w:cs="Tahoma"/>
                                <w:strike/>
                                <w:sz w:val="20"/>
                                <w:lang w:eastAsia="lt-LT"/>
                              </w:rPr>
                            </w:pPr>
                          </w:p>
                        </w:tc>
                        <w:tc>
                          <w:tcPr>
                            <w:tcW w:w="2073" w:type="dxa"/>
                            <w:tcMar>
                              <w:top w:w="0" w:type="dxa"/>
                              <w:left w:w="108" w:type="dxa"/>
                              <w:bottom w:w="0" w:type="dxa"/>
                              <w:right w:w="108" w:type="dxa"/>
                            </w:tcMar>
                          </w:tcPr>
                          <w:p>
                            <w:pPr>
                              <w:rPr>
                                <w:sz w:val="20"/>
                                <w:lang w:eastAsia="lt-LT"/>
                              </w:rPr>
                            </w:pPr>
                            <w:r>
                              <w:rPr>
                                <w:sz w:val="20"/>
                                <w:lang w:eastAsia="lt-LT"/>
                              </w:rPr>
                              <w:t>400</w:t>
                            </w:r>
                          </w:p>
                        </w:tc>
                        <w:tc>
                          <w:tcPr>
                            <w:tcW w:w="2220" w:type="dxa"/>
                            <w:tcMar>
                              <w:top w:w="0" w:type="dxa"/>
                              <w:left w:w="108" w:type="dxa"/>
                              <w:bottom w:w="0" w:type="dxa"/>
                              <w:right w:w="108" w:type="dxa"/>
                            </w:tcMar>
                          </w:tcPr>
                          <w:p>
                            <w:pPr>
                              <w:rPr>
                                <w:rFonts w:ascii="Tahoma" w:hAnsi="Tahoma" w:cs="Tahoma"/>
                                <w:sz w:val="20"/>
                                <w:lang w:eastAsia="lt-LT"/>
                              </w:rPr>
                            </w:pPr>
                            <w:r>
                              <w:rPr>
                                <w:sz w:val="20"/>
                                <w:lang w:eastAsia="lt-LT"/>
                              </w:rPr>
                              <w:t>200</w:t>
                            </w:r>
                          </w:p>
                        </w:tc>
                        <w:tc>
                          <w:tcPr>
                            <w:tcW w:w="1768" w:type="dxa"/>
                            <w:tcMar>
                              <w:top w:w="0" w:type="dxa"/>
                              <w:left w:w="108" w:type="dxa"/>
                              <w:bottom w:w="0" w:type="dxa"/>
                              <w:right w:w="108" w:type="dxa"/>
                            </w:tcMar>
                          </w:tcPr>
                          <w:p>
                            <w:pPr>
                              <w:rPr>
                                <w:rFonts w:ascii="Tahoma" w:hAnsi="Tahoma" w:cs="Tahoma"/>
                                <w:sz w:val="20"/>
                                <w:lang w:eastAsia="lt-LT"/>
                              </w:rPr>
                            </w:pPr>
                            <w:r>
                              <w:rPr>
                                <w:sz w:val="20"/>
                                <w:lang w:eastAsia="lt-LT"/>
                              </w:rPr>
                              <w:t>150</w:t>
                            </w:r>
                          </w:p>
                        </w:tc>
                      </w:tr>
                      <w:tr>
                        <w:tc>
                          <w:tcPr>
                            <w:tcW w:w="1746" w:type="dxa"/>
                            <w:tcMar>
                              <w:top w:w="0" w:type="dxa"/>
                              <w:left w:w="108" w:type="dxa"/>
                              <w:bottom w:w="0" w:type="dxa"/>
                              <w:right w:w="108" w:type="dxa"/>
                            </w:tcMar>
                          </w:tcPr>
                          <w:p>
                            <w:pPr>
                              <w:rPr>
                                <w:rFonts w:ascii="Tahoma" w:hAnsi="Tahoma" w:cs="Tahoma"/>
                                <w:sz w:val="20"/>
                                <w:lang w:eastAsia="lt-LT"/>
                              </w:rPr>
                            </w:pPr>
                            <w:r>
                              <w:rPr>
                                <w:sz w:val="20"/>
                                <w:lang w:eastAsia="lt-LT"/>
                              </w:rPr>
                              <w:t>Dulkės</w:t>
                            </w:r>
                          </w:p>
                        </w:tc>
                        <w:tc>
                          <w:tcPr>
                            <w:tcW w:w="1481"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073" w:type="dxa"/>
                            <w:tcMar>
                              <w:top w:w="0" w:type="dxa"/>
                              <w:left w:w="108" w:type="dxa"/>
                              <w:bottom w:w="0" w:type="dxa"/>
                              <w:right w:w="108" w:type="dxa"/>
                            </w:tcMar>
                          </w:tcPr>
                          <w:p>
                            <w:pPr>
                              <w:rPr>
                                <w:rFonts w:ascii="Tahoma" w:hAnsi="Tahoma" w:cs="Tahoma"/>
                                <w:sz w:val="20"/>
                                <w:lang w:eastAsia="lt-LT"/>
                              </w:rPr>
                            </w:pPr>
                            <w:r>
                              <w:rPr>
                                <w:sz w:val="20"/>
                                <w:lang w:eastAsia="lt-LT"/>
                              </w:rPr>
                              <w:t>30</w:t>
                            </w:r>
                          </w:p>
                        </w:tc>
                        <w:tc>
                          <w:tcPr>
                            <w:tcW w:w="2220" w:type="dxa"/>
                            <w:tcMar>
                              <w:top w:w="0" w:type="dxa"/>
                              <w:left w:w="108" w:type="dxa"/>
                              <w:bottom w:w="0" w:type="dxa"/>
                              <w:right w:w="108" w:type="dxa"/>
                            </w:tcMar>
                          </w:tcPr>
                          <w:p>
                            <w:pPr>
                              <w:rPr>
                                <w:rFonts w:ascii="Tahoma" w:hAnsi="Tahoma" w:cs="Tahoma"/>
                                <w:sz w:val="20"/>
                                <w:lang w:eastAsia="lt-LT"/>
                              </w:rPr>
                            </w:pPr>
                            <w:r>
                              <w:rPr>
                                <w:sz w:val="20"/>
                                <w:lang w:eastAsia="lt-LT"/>
                              </w:rPr>
                              <w:t>25</w:t>
                            </w:r>
                          </w:p>
                        </w:tc>
                        <w:tc>
                          <w:tcPr>
                            <w:tcW w:w="1768" w:type="dxa"/>
                            <w:tcMar>
                              <w:top w:w="0" w:type="dxa"/>
                              <w:left w:w="108" w:type="dxa"/>
                              <w:bottom w:w="0" w:type="dxa"/>
                              <w:right w:w="108" w:type="dxa"/>
                            </w:tcMar>
                          </w:tcPr>
                          <w:p>
                            <w:pPr>
                              <w:rPr>
                                <w:rFonts w:ascii="Tahoma" w:hAnsi="Tahoma" w:cs="Tahoma"/>
                                <w:sz w:val="20"/>
                                <w:lang w:eastAsia="lt-LT"/>
                              </w:rPr>
                            </w:pPr>
                            <w:r>
                              <w:rPr>
                                <w:sz w:val="20"/>
                                <w:lang w:eastAsia="lt-LT"/>
                              </w:rPr>
                              <w:t>20</w:t>
                            </w:r>
                          </w:p>
                        </w:tc>
                      </w:tr>
                    </w:tbl>
                    <w:p/>
                  </w:sdtContent>
                </w:sdt>
                <w:sdt>
                  <w:sdtPr>
                    <w:alias w:val="2 pr. 3.3.2 p."/>
                    <w:tag w:val="part_0a54aa28f0824ba5ab7f32186715e5bf"/>
                    <w:lock w:val="sdtLocked"/>
                    <w:richText/>
                  </w:sdtPr>
                  <w:sdtContent>
                    <w:p>
                      <w:pPr>
                        <w:ind w:firstLine="567"/>
                        <w:jc w:val="both"/>
                        <w:rPr>
                          <w:szCs w:val="24"/>
                          <w:lang w:eastAsia="lt-LT"/>
                        </w:rPr>
                      </w:pPr>
                      <w:sdt>
                        <w:sdtPr>
                          <w:alias w:val="Numeris"/>
                          <w:tag w:val="nr_0a54aa28f0824ba5ab7f32186715e5bf"/>
                          <w:lock w:val="sdtLocked"/>
                          <w:richText/>
                        </w:sdtPr>
                        <w:sdtContent>
                          <w:r>
                            <w:rPr>
                              <w:szCs w:val="24"/>
                              <w:lang w:eastAsia="lt-LT"/>
                            </w:rPr>
                            <w:t>3.3.2</w:t>
                          </w:r>
                        </w:sdtContent>
                      </w:sdt>
                      <w:r>
                        <w:rPr>
                          <w:szCs w:val="24"/>
                          <w:lang w:eastAsia="lt-LT"/>
                        </w:rPr>
                        <w:t xml:space="preserve">. </w:t>
                      </w:r>
                      <w:r>
                        <w:rPr>
                          <w:color w:val="000000"/>
                        </w:rPr>
                        <w:t xml:space="preserve">3.3.1 </w:t>
                      </w:r>
                      <w:r>
                        <w:rPr>
                          <w:bCs/>
                          <w:color w:val="000000"/>
                        </w:rPr>
                        <w:t xml:space="preserve">papunktyje </w:t>
                      </w:r>
                      <w:r>
                        <w:rPr>
                          <w:color w:val="000000"/>
                        </w:rPr>
                        <w:t>nenurodytiems kurą deginantiems įrenginiams, išskyrus dujų turbinas ir dujinius variklius</w:t>
                      </w:r>
                      <w:r>
                        <w:rPr>
                          <w:szCs w:val="24"/>
                          <w:lang w:eastAsia="lt-LT"/>
                        </w:rPr>
                        <w:t>.</w:t>
                      </w:r>
                    </w:p>
                    <w:p>
                      <w:pPr>
                        <w:ind w:firstLine="567"/>
                        <w:jc w:val="both"/>
                        <w:rPr>
                          <w:szCs w:val="24"/>
                          <w:lang w:eastAsia="lt-LT"/>
                        </w:rPr>
                      </w:pPr>
                    </w:p>
                    <w:p>
                      <w:pPr>
                        <w:ind w:firstLine="567"/>
                        <w:jc w:val="both"/>
                        <w:rPr>
                          <w:szCs w:val="24"/>
                          <w:lang w:eastAsia="lt-LT"/>
                        </w:rPr>
                      </w:pPr>
                      <w:r>
                        <w:rPr>
                          <w:szCs w:val="24"/>
                          <w:lang w:eastAsia="lt-LT"/>
                        </w:rPr>
                        <w:t>Įrenginiams, deginantiems kietąjį kurą, išskyrus biomasę, taikomos šios vidutinės paros išmetamųjų teršalų ribinės vertės (C</w:t>
                      </w:r>
                      <w:r>
                        <w:rPr>
                          <w:szCs w:val="24"/>
                          <w:vertAlign w:val="subscript"/>
                          <w:lang w:eastAsia="lt-LT"/>
                        </w:rPr>
                        <w:t>PROC</w:t>
                      </w:r>
                      <w:r>
                        <w:rPr>
                          <w:szCs w:val="24"/>
                          <w:lang w:eastAsia="lt-LT"/>
                        </w:rPr>
                        <w:t xml:space="preserve"> išreikšta mg/Nm</w:t>
                      </w:r>
                      <w:r>
                        <w:rPr>
                          <w:szCs w:val="24"/>
                          <w:vertAlign w:val="superscript"/>
                          <w:lang w:eastAsia="lt-LT"/>
                        </w:rPr>
                        <w:t>3</w:t>
                      </w:r>
                      <w:r>
                        <w:rPr>
                          <w:szCs w:val="24"/>
                          <w:lang w:eastAsia="lt-LT"/>
                        </w:rPr>
                        <w:t>; standartinis O</w:t>
                      </w:r>
                      <w:r>
                        <w:rPr>
                          <w:szCs w:val="24"/>
                          <w:vertAlign w:val="subscript"/>
                          <w:lang w:eastAsia="lt-LT"/>
                        </w:rPr>
                        <w:t>2</w:t>
                      </w:r>
                      <w:r>
                        <w:rPr>
                          <w:szCs w:val="24"/>
                          <w:lang w:eastAsia="lt-LT"/>
                        </w:rPr>
                        <w:t xml:space="preserve"> kiekis – 6 %):</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56"/>
                        <w:gridCol w:w="1405"/>
                        <w:gridCol w:w="1978"/>
                        <w:gridCol w:w="2172"/>
                        <w:gridCol w:w="1859"/>
                      </w:tblGrid>
                      <w:tr>
                        <w:tc>
                          <w:tcPr>
                            <w:tcW w:w="1762" w:type="dxa"/>
                            <w:tcMar>
                              <w:top w:w="0" w:type="dxa"/>
                              <w:left w:w="108" w:type="dxa"/>
                              <w:bottom w:w="0" w:type="dxa"/>
                              <w:right w:w="108" w:type="dxa"/>
                            </w:tcMar>
                          </w:tcPr>
                          <w:p>
                            <w:pPr>
                              <w:rPr>
                                <w:rFonts w:ascii="Tahoma" w:hAnsi="Tahoma" w:cs="Tahoma"/>
                                <w:b/>
                                <w:sz w:val="20"/>
                                <w:lang w:eastAsia="lt-LT"/>
                              </w:rPr>
                            </w:pPr>
                            <w:r>
                              <w:rPr>
                                <w:b/>
                                <w:bCs/>
                                <w:sz w:val="20"/>
                                <w:lang w:eastAsia="lt-LT"/>
                              </w:rPr>
                              <w:t>Teršalai</w:t>
                            </w:r>
                          </w:p>
                        </w:tc>
                        <w:tc>
                          <w:tcPr>
                            <w:tcW w:w="1494" w:type="dxa"/>
                            <w:tcMar>
                              <w:top w:w="0" w:type="dxa"/>
                              <w:left w:w="108" w:type="dxa"/>
                              <w:bottom w:w="0" w:type="dxa"/>
                              <w:right w:w="108" w:type="dxa"/>
                            </w:tcMar>
                          </w:tcPr>
                          <w:p>
                            <w:pPr>
                              <w:rPr>
                                <w:rFonts w:ascii="Tahoma" w:hAnsi="Tahoma" w:cs="Tahoma"/>
                                <w:b/>
                                <w:sz w:val="20"/>
                                <w:lang w:eastAsia="lt-LT"/>
                              </w:rPr>
                            </w:pPr>
                            <w:r>
                              <w:rPr>
                                <w:b/>
                                <w:bCs/>
                                <w:sz w:val="20"/>
                                <w:lang w:eastAsia="lt-LT"/>
                              </w:rPr>
                              <w:t>&lt;50 MWth</w:t>
                            </w:r>
                          </w:p>
                        </w:tc>
                        <w:tc>
                          <w:tcPr>
                            <w:tcW w:w="2123" w:type="dxa"/>
                            <w:tcMar>
                              <w:top w:w="0" w:type="dxa"/>
                              <w:left w:w="108" w:type="dxa"/>
                              <w:bottom w:w="0" w:type="dxa"/>
                              <w:right w:w="108" w:type="dxa"/>
                            </w:tcMar>
                          </w:tcPr>
                          <w:p>
                            <w:pPr>
                              <w:rPr>
                                <w:rFonts w:ascii="Tahoma" w:hAnsi="Tahoma" w:cs="Tahoma"/>
                                <w:b/>
                                <w:sz w:val="20"/>
                                <w:lang w:eastAsia="lt-LT"/>
                              </w:rPr>
                            </w:pPr>
                            <w:r>
                              <w:rPr>
                                <w:b/>
                                <w:bCs/>
                                <w:sz w:val="20"/>
                                <w:lang w:eastAsia="lt-LT"/>
                              </w:rPr>
                              <w:t>Nuo 50 iki 100 MWth</w:t>
                            </w:r>
                          </w:p>
                        </w:tc>
                        <w:tc>
                          <w:tcPr>
                            <w:tcW w:w="2306" w:type="dxa"/>
                            <w:tcMar>
                              <w:top w:w="0" w:type="dxa"/>
                              <w:left w:w="108" w:type="dxa"/>
                              <w:bottom w:w="0" w:type="dxa"/>
                              <w:right w:w="108" w:type="dxa"/>
                            </w:tcMar>
                          </w:tcPr>
                          <w:p>
                            <w:pPr>
                              <w:rPr>
                                <w:rFonts w:ascii="Tahoma" w:hAnsi="Tahoma" w:cs="Tahoma"/>
                                <w:b/>
                                <w:sz w:val="20"/>
                                <w:lang w:eastAsia="lt-LT"/>
                              </w:rPr>
                            </w:pPr>
                            <w:r>
                              <w:rPr>
                                <w:b/>
                                <w:bCs/>
                                <w:sz w:val="20"/>
                                <w:lang w:eastAsia="lt-LT"/>
                              </w:rPr>
                              <w:t>Nuo 100 iki 300 MWth</w:t>
                            </w:r>
                          </w:p>
                        </w:tc>
                        <w:tc>
                          <w:tcPr>
                            <w:tcW w:w="1921" w:type="dxa"/>
                            <w:tcMar>
                              <w:top w:w="0" w:type="dxa"/>
                              <w:left w:w="108" w:type="dxa"/>
                              <w:bottom w:w="0" w:type="dxa"/>
                              <w:right w:w="108" w:type="dxa"/>
                            </w:tcMar>
                          </w:tcPr>
                          <w:p>
                            <w:pPr>
                              <w:rPr>
                                <w:rFonts w:ascii="Tahoma" w:hAnsi="Tahoma" w:cs="Tahoma"/>
                                <w:b/>
                                <w:sz w:val="20"/>
                                <w:lang w:eastAsia="lt-LT"/>
                              </w:rPr>
                            </w:pPr>
                            <w:r>
                              <w:rPr>
                                <w:b/>
                                <w:bCs/>
                                <w:sz w:val="20"/>
                                <w:lang w:eastAsia="lt-LT"/>
                              </w:rPr>
                              <w:t>&gt;300 MWth</w:t>
                            </w:r>
                          </w:p>
                        </w:tc>
                      </w:tr>
                      <w:tr>
                        <w:trPr>
                          <w:cantSplit/>
                          <w:trHeight w:val="194"/>
                        </w:trPr>
                        <w:tc>
                          <w:tcPr>
                            <w:tcW w:w="1762" w:type="dxa"/>
                            <w:tcMar>
                              <w:top w:w="0" w:type="dxa"/>
                              <w:left w:w="108" w:type="dxa"/>
                              <w:bottom w:w="0" w:type="dxa"/>
                              <w:right w:w="108" w:type="dxa"/>
                            </w:tcMar>
                          </w:tcPr>
                          <w:p>
                            <w:pPr>
                              <w:rPr>
                                <w:rFonts w:ascii="Tahoma" w:hAnsi="Tahoma" w:cs="Tahoma"/>
                                <w:sz w:val="20"/>
                                <w:lang w:eastAsia="lt-LT"/>
                              </w:rPr>
                            </w:pPr>
                            <w:r>
                              <w:rPr>
                                <w:sz w:val="20"/>
                                <w:lang w:eastAsia="lt-LT"/>
                              </w:rPr>
                              <w:t>SO</w:t>
                            </w:r>
                            <w:r>
                              <w:rPr>
                                <w:sz w:val="20"/>
                                <w:vertAlign w:val="subscript"/>
                                <w:lang w:eastAsia="lt-LT"/>
                              </w:rPr>
                              <w:t>2</w:t>
                            </w:r>
                          </w:p>
                        </w:tc>
                        <w:tc>
                          <w:tcPr>
                            <w:tcW w:w="1494" w:type="dxa"/>
                            <w:tcMar>
                              <w:top w:w="0" w:type="dxa"/>
                              <w:left w:w="108" w:type="dxa"/>
                              <w:bottom w:w="0" w:type="dxa"/>
                              <w:right w:w="108" w:type="dxa"/>
                            </w:tcMar>
                          </w:tcPr>
                          <w:p>
                            <w:pPr>
                              <w:rPr>
                                <w:rFonts w:ascii="Tahoma" w:hAnsi="Tahoma" w:cs="Tahoma"/>
                                <w:strike/>
                                <w:sz w:val="20"/>
                                <w:lang w:eastAsia="lt-LT"/>
                              </w:rPr>
                            </w:pPr>
                          </w:p>
                        </w:tc>
                        <w:tc>
                          <w:tcPr>
                            <w:tcW w:w="2123" w:type="dxa"/>
                            <w:tcMar>
                              <w:top w:w="0" w:type="dxa"/>
                              <w:left w:w="108" w:type="dxa"/>
                              <w:bottom w:w="0" w:type="dxa"/>
                              <w:right w:w="108" w:type="dxa"/>
                            </w:tcMar>
                          </w:tcPr>
                          <w:p>
                            <w:pPr>
                              <w:rPr>
                                <w:sz w:val="20"/>
                                <w:lang w:eastAsia="lt-LT"/>
                              </w:rPr>
                            </w:pPr>
                            <w:r>
                              <w:rPr>
                                <w:sz w:val="20"/>
                                <w:lang w:eastAsia="lt-LT"/>
                              </w:rPr>
                              <w:t>400</w:t>
                            </w:r>
                          </w:p>
                          <w:p>
                            <w:pPr>
                              <w:rPr>
                                <w:sz w:val="20"/>
                                <w:lang w:eastAsia="lt-LT"/>
                              </w:rPr>
                            </w:pPr>
                            <w:r>
                              <w:rPr>
                                <w:sz w:val="20"/>
                                <w:lang w:eastAsia="lt-LT"/>
                              </w:rPr>
                              <w:t>durpėms: 300</w:t>
                            </w:r>
                          </w:p>
                        </w:tc>
                        <w:tc>
                          <w:tcPr>
                            <w:tcW w:w="2306" w:type="dxa"/>
                            <w:tcMar>
                              <w:top w:w="0" w:type="dxa"/>
                              <w:left w:w="108" w:type="dxa"/>
                              <w:bottom w:w="0" w:type="dxa"/>
                              <w:right w:w="108" w:type="dxa"/>
                            </w:tcMar>
                          </w:tcPr>
                          <w:p>
                            <w:pPr>
                              <w:rPr>
                                <w:sz w:val="20"/>
                                <w:lang w:eastAsia="lt-LT"/>
                              </w:rPr>
                            </w:pPr>
                            <w:r>
                              <w:rPr>
                                <w:sz w:val="20"/>
                                <w:lang w:eastAsia="lt-LT"/>
                              </w:rPr>
                              <w:t>200</w:t>
                            </w:r>
                          </w:p>
                          <w:p>
                            <w:pPr>
                              <w:rPr>
                                <w:sz w:val="20"/>
                                <w:lang w:eastAsia="lt-LT"/>
                              </w:rPr>
                            </w:pPr>
                            <w:r>
                              <w:rPr>
                                <w:sz w:val="20"/>
                                <w:lang w:eastAsia="lt-LT"/>
                              </w:rPr>
                              <w:t xml:space="preserve">durpėms </w:t>
                            </w:r>
                            <w:r>
                              <w:rPr>
                                <w:szCs w:val="24"/>
                                <w:lang w:eastAsia="lt-LT"/>
                              </w:rPr>
                              <w:t xml:space="preserve">– </w:t>
                            </w:r>
                            <w:r>
                              <w:rPr>
                                <w:sz w:val="20"/>
                                <w:lang w:eastAsia="lt-LT"/>
                              </w:rPr>
                              <w:t xml:space="preserve">300,  jei taikomas degimas verdančiame </w:t>
                            </w:r>
                          </w:p>
                          <w:p>
                            <w:pPr>
                              <w:rPr>
                                <w:sz w:val="20"/>
                                <w:lang w:eastAsia="lt-LT"/>
                              </w:rPr>
                            </w:pPr>
                            <w:r>
                              <w:rPr>
                                <w:sz w:val="20"/>
                                <w:lang w:eastAsia="lt-LT"/>
                              </w:rPr>
                              <w:t xml:space="preserve">sluoksnyje </w:t>
                            </w:r>
                            <w:r>
                              <w:rPr>
                                <w:szCs w:val="24"/>
                                <w:lang w:eastAsia="lt-LT"/>
                              </w:rPr>
                              <w:t xml:space="preserve">– </w:t>
                            </w:r>
                            <w:r>
                              <w:rPr>
                                <w:sz w:val="20"/>
                                <w:lang w:eastAsia="lt-LT"/>
                              </w:rPr>
                              <w:t>250</w:t>
                            </w:r>
                          </w:p>
                        </w:tc>
                        <w:tc>
                          <w:tcPr>
                            <w:tcW w:w="1921" w:type="dxa"/>
                            <w:tcMar>
                              <w:top w:w="0" w:type="dxa"/>
                              <w:left w:w="108" w:type="dxa"/>
                              <w:bottom w:w="0" w:type="dxa"/>
                              <w:right w:w="108" w:type="dxa"/>
                            </w:tcMar>
                          </w:tcPr>
                          <w:p>
                            <w:pPr>
                              <w:rPr>
                                <w:sz w:val="20"/>
                                <w:lang w:eastAsia="lt-LT"/>
                              </w:rPr>
                            </w:pPr>
                            <w:r>
                              <w:rPr>
                                <w:sz w:val="20"/>
                                <w:lang w:eastAsia="lt-LT"/>
                              </w:rPr>
                              <w:t>150</w:t>
                            </w:r>
                          </w:p>
                          <w:p>
                            <w:pPr>
                              <w:rPr>
                                <w:sz w:val="20"/>
                                <w:lang w:eastAsia="lt-LT"/>
                              </w:rPr>
                            </w:pPr>
                            <w:r>
                              <w:rPr>
                                <w:sz w:val="20"/>
                                <w:lang w:eastAsia="lt-LT"/>
                              </w:rPr>
                              <w:t>Kai taikomas cirkuliuojančio verdančio sluoksnio degimas arba degimas verdančiame sluoksnyje esant slėgiui;</w:t>
                            </w:r>
                          </w:p>
                          <w:p>
                            <w:pPr>
                              <w:ind w:firstLine="55"/>
                              <w:rPr>
                                <w:sz w:val="20"/>
                                <w:lang w:eastAsia="lt-LT"/>
                              </w:rPr>
                            </w:pPr>
                            <w:r>
                              <w:rPr>
                                <w:sz w:val="20"/>
                                <w:lang w:eastAsia="lt-LT"/>
                              </w:rPr>
                              <w:t>kaip deginamos durpės:</w:t>
                            </w:r>
                          </w:p>
                          <w:p>
                            <w:pPr>
                              <w:ind w:firstLine="55"/>
                              <w:rPr>
                                <w:sz w:val="20"/>
                                <w:lang w:eastAsia="lt-LT"/>
                              </w:rPr>
                            </w:pPr>
                            <w:r>
                              <w:rPr>
                                <w:sz w:val="20"/>
                                <w:lang w:eastAsia="lt-LT"/>
                              </w:rPr>
                              <w:t>visų rūšių degimui verdančiame sluoksnyje – 200</w:t>
                            </w:r>
                          </w:p>
                        </w:tc>
                      </w:tr>
                      <w:tr>
                        <w:tc>
                          <w:tcPr>
                            <w:tcW w:w="1762" w:type="dxa"/>
                            <w:tcMar>
                              <w:top w:w="0" w:type="dxa"/>
                              <w:left w:w="108" w:type="dxa"/>
                              <w:bottom w:w="0" w:type="dxa"/>
                              <w:right w:w="108" w:type="dxa"/>
                            </w:tcMar>
                          </w:tcPr>
                          <w:p>
                            <w:pPr>
                              <w:rPr>
                                <w:rFonts w:ascii="Tahoma" w:hAnsi="Tahoma" w:cs="Tahoma"/>
                                <w:sz w:val="20"/>
                                <w:lang w:eastAsia="lt-LT"/>
                              </w:rPr>
                            </w:pPr>
                            <w:r>
                              <w:rPr>
                                <w:sz w:val="20"/>
                                <w:lang w:eastAsia="lt-LT"/>
                              </w:rPr>
                              <w:t>NO</w:t>
                            </w:r>
                            <w:r>
                              <w:rPr>
                                <w:sz w:val="20"/>
                                <w:vertAlign w:val="subscript"/>
                                <w:lang w:eastAsia="lt-LT"/>
                              </w:rPr>
                              <w:t>x</w:t>
                            </w:r>
                          </w:p>
                        </w:tc>
                        <w:tc>
                          <w:tcPr>
                            <w:tcW w:w="1494" w:type="dxa"/>
                            <w:tcMar>
                              <w:top w:w="0" w:type="dxa"/>
                              <w:left w:w="108" w:type="dxa"/>
                              <w:bottom w:w="0" w:type="dxa"/>
                              <w:right w:w="108" w:type="dxa"/>
                            </w:tcMar>
                          </w:tcPr>
                          <w:p>
                            <w:pPr>
                              <w:rPr>
                                <w:rFonts w:ascii="Tahoma" w:hAnsi="Tahoma" w:cs="Tahoma"/>
                                <w:strike/>
                                <w:sz w:val="20"/>
                                <w:lang w:eastAsia="lt-LT"/>
                              </w:rPr>
                            </w:pPr>
                          </w:p>
                        </w:tc>
                        <w:tc>
                          <w:tcPr>
                            <w:tcW w:w="2123" w:type="dxa"/>
                            <w:tcMar>
                              <w:top w:w="0" w:type="dxa"/>
                              <w:left w:w="108" w:type="dxa"/>
                              <w:bottom w:w="0" w:type="dxa"/>
                              <w:right w:w="108" w:type="dxa"/>
                            </w:tcMar>
                          </w:tcPr>
                          <w:p>
                            <w:pPr>
                              <w:rPr>
                                <w:sz w:val="20"/>
                                <w:lang w:eastAsia="lt-LT"/>
                              </w:rPr>
                            </w:pPr>
                            <w:r>
                              <w:rPr>
                                <w:sz w:val="20"/>
                                <w:lang w:eastAsia="lt-LT"/>
                              </w:rPr>
                              <w:t xml:space="preserve">300 </w:t>
                            </w:r>
                          </w:p>
                          <w:p>
                            <w:pPr>
                              <w:rPr>
                                <w:sz w:val="20"/>
                                <w:lang w:eastAsia="lt-LT"/>
                              </w:rPr>
                            </w:pPr>
                            <w:r>
                              <w:rPr>
                                <w:sz w:val="20"/>
                                <w:lang w:eastAsia="lt-LT"/>
                              </w:rPr>
                              <w:t>Durpėms – 250</w:t>
                            </w:r>
                          </w:p>
                        </w:tc>
                        <w:tc>
                          <w:tcPr>
                            <w:tcW w:w="2306" w:type="dxa"/>
                            <w:tcMar>
                              <w:top w:w="0" w:type="dxa"/>
                              <w:left w:w="108" w:type="dxa"/>
                              <w:bottom w:w="0" w:type="dxa"/>
                              <w:right w:w="108" w:type="dxa"/>
                            </w:tcMar>
                          </w:tcPr>
                          <w:p>
                            <w:pPr>
                              <w:rPr>
                                <w:rFonts w:ascii="Tahoma" w:hAnsi="Tahoma" w:cs="Tahoma"/>
                                <w:sz w:val="20"/>
                                <w:lang w:eastAsia="lt-LT"/>
                              </w:rPr>
                            </w:pPr>
                            <w:r>
                              <w:rPr>
                                <w:sz w:val="20"/>
                                <w:lang w:eastAsia="lt-LT"/>
                              </w:rPr>
                              <w:t>200</w:t>
                            </w:r>
                          </w:p>
                        </w:tc>
                        <w:tc>
                          <w:tcPr>
                            <w:tcW w:w="1921" w:type="dxa"/>
                            <w:tcMar>
                              <w:top w:w="0" w:type="dxa"/>
                              <w:left w:w="108" w:type="dxa"/>
                              <w:bottom w:w="0" w:type="dxa"/>
                              <w:right w:w="108" w:type="dxa"/>
                            </w:tcMar>
                          </w:tcPr>
                          <w:p>
                            <w:pPr>
                              <w:rPr>
                                <w:sz w:val="20"/>
                                <w:lang w:eastAsia="lt-LT"/>
                              </w:rPr>
                            </w:pPr>
                            <w:r>
                              <w:rPr>
                                <w:sz w:val="20"/>
                                <w:lang w:eastAsia="lt-LT"/>
                              </w:rPr>
                              <w:t>150</w:t>
                            </w:r>
                          </w:p>
                          <w:p>
                            <w:pPr>
                              <w:rPr>
                                <w:rFonts w:ascii="Tahoma" w:hAnsi="Tahoma" w:cs="Tahoma"/>
                                <w:sz w:val="20"/>
                                <w:lang w:eastAsia="lt-LT"/>
                              </w:rPr>
                            </w:pPr>
                            <w:r>
                              <w:rPr>
                                <w:sz w:val="20"/>
                                <w:lang w:eastAsia="lt-LT"/>
                              </w:rPr>
                              <w:t>deginant lignito miltelius – 200</w:t>
                            </w:r>
                          </w:p>
                        </w:tc>
                      </w:tr>
                      <w:tr>
                        <w:tc>
                          <w:tcPr>
                            <w:tcW w:w="1762" w:type="dxa"/>
                            <w:tcMar>
                              <w:top w:w="0" w:type="dxa"/>
                              <w:left w:w="108" w:type="dxa"/>
                              <w:bottom w:w="0" w:type="dxa"/>
                              <w:right w:w="108" w:type="dxa"/>
                            </w:tcMar>
                          </w:tcPr>
                          <w:p>
                            <w:pPr>
                              <w:rPr>
                                <w:rFonts w:ascii="Tahoma" w:hAnsi="Tahoma" w:cs="Tahoma"/>
                                <w:sz w:val="20"/>
                                <w:lang w:eastAsia="lt-LT"/>
                              </w:rPr>
                            </w:pPr>
                            <w:r>
                              <w:rPr>
                                <w:sz w:val="20"/>
                                <w:lang w:eastAsia="lt-LT"/>
                              </w:rPr>
                              <w:t>Dulkės</w:t>
                            </w:r>
                          </w:p>
                        </w:tc>
                        <w:tc>
                          <w:tcPr>
                            <w:tcW w:w="1494"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123" w:type="dxa"/>
                            <w:tcMar>
                              <w:top w:w="0" w:type="dxa"/>
                              <w:left w:w="108" w:type="dxa"/>
                              <w:bottom w:w="0" w:type="dxa"/>
                              <w:right w:w="108" w:type="dxa"/>
                            </w:tcMar>
                          </w:tcPr>
                          <w:p>
                            <w:pPr>
                              <w:rPr>
                                <w:rFonts w:ascii="Tahoma" w:hAnsi="Tahoma" w:cs="Tahoma"/>
                                <w:sz w:val="20"/>
                                <w:lang w:eastAsia="lt-LT"/>
                              </w:rPr>
                            </w:pPr>
                            <w:r>
                              <w:rPr>
                                <w:sz w:val="20"/>
                                <w:lang w:eastAsia="lt-LT"/>
                              </w:rPr>
                              <w:t>20</w:t>
                            </w:r>
                          </w:p>
                        </w:tc>
                        <w:tc>
                          <w:tcPr>
                            <w:tcW w:w="2306" w:type="dxa"/>
                            <w:tcMar>
                              <w:top w:w="0" w:type="dxa"/>
                              <w:left w:w="108" w:type="dxa"/>
                              <w:bottom w:w="0" w:type="dxa"/>
                              <w:right w:w="108" w:type="dxa"/>
                            </w:tcMar>
                          </w:tcPr>
                          <w:p>
                            <w:pPr>
                              <w:rPr>
                                <w:rFonts w:ascii="Tahoma" w:hAnsi="Tahoma" w:cs="Tahoma"/>
                                <w:sz w:val="20"/>
                                <w:lang w:eastAsia="lt-LT"/>
                              </w:rPr>
                            </w:pPr>
                            <w:r>
                              <w:rPr>
                                <w:sz w:val="20"/>
                                <w:lang w:eastAsia="lt-LT"/>
                              </w:rPr>
                              <w:t>20</w:t>
                            </w:r>
                          </w:p>
                        </w:tc>
                        <w:tc>
                          <w:tcPr>
                            <w:tcW w:w="1921" w:type="dxa"/>
                            <w:tcMar>
                              <w:top w:w="0" w:type="dxa"/>
                              <w:left w:w="108" w:type="dxa"/>
                              <w:bottom w:w="0" w:type="dxa"/>
                              <w:right w:w="108" w:type="dxa"/>
                            </w:tcMar>
                          </w:tcPr>
                          <w:p>
                            <w:pPr>
                              <w:rPr>
                                <w:sz w:val="20"/>
                                <w:lang w:eastAsia="lt-LT"/>
                              </w:rPr>
                            </w:pPr>
                            <w:r>
                              <w:rPr>
                                <w:sz w:val="20"/>
                                <w:lang w:eastAsia="lt-LT"/>
                              </w:rPr>
                              <w:t>10</w:t>
                            </w:r>
                          </w:p>
                          <w:p>
                            <w:pPr>
                              <w:rPr>
                                <w:rFonts w:ascii="Tahoma" w:hAnsi="Tahoma" w:cs="Tahoma"/>
                                <w:sz w:val="20"/>
                                <w:lang w:eastAsia="lt-LT"/>
                              </w:rPr>
                            </w:pPr>
                            <w:r>
                              <w:rPr>
                                <w:sz w:val="20"/>
                                <w:lang w:eastAsia="lt-LT"/>
                              </w:rPr>
                              <w:t>Durpėms – 20</w:t>
                            </w:r>
                          </w:p>
                        </w:tc>
                      </w:tr>
                    </w:tbl>
                    <w:p>
                      <w:pPr>
                        <w:ind w:firstLine="709"/>
                        <w:rPr>
                          <w:szCs w:val="24"/>
                          <w:lang w:eastAsia="lt-LT"/>
                        </w:rPr>
                      </w:pPr>
                    </w:p>
                    <w:p>
                      <w:pPr>
                        <w:ind w:firstLine="567"/>
                        <w:jc w:val="both"/>
                        <w:rPr>
                          <w:szCs w:val="24"/>
                          <w:lang w:eastAsia="lt-LT"/>
                        </w:rPr>
                      </w:pPr>
                      <w:r>
                        <w:rPr>
                          <w:szCs w:val="24"/>
                          <w:lang w:eastAsia="lt-LT"/>
                        </w:rPr>
                        <w:t>Įrenginiams, deginantiems biomasę, taikomos šios vidutinės paros išmetamųjų teršalų ribinės vertės (C</w:t>
                      </w:r>
                      <w:r>
                        <w:rPr>
                          <w:szCs w:val="24"/>
                          <w:vertAlign w:val="subscript"/>
                          <w:lang w:eastAsia="lt-LT"/>
                        </w:rPr>
                        <w:t>PROC</w:t>
                      </w:r>
                      <w:r>
                        <w:rPr>
                          <w:szCs w:val="24"/>
                          <w:lang w:eastAsia="lt-LT"/>
                        </w:rPr>
                        <w:t xml:space="preserve"> išreikšta mg/Nm</w:t>
                      </w:r>
                      <w:r>
                        <w:rPr>
                          <w:szCs w:val="24"/>
                          <w:vertAlign w:val="superscript"/>
                          <w:lang w:eastAsia="lt-LT"/>
                        </w:rPr>
                        <w:t>3</w:t>
                      </w:r>
                      <w:r>
                        <w:rPr>
                          <w:szCs w:val="24"/>
                          <w:lang w:eastAsia="lt-LT"/>
                        </w:rPr>
                        <w:t>; standartinis O</w:t>
                      </w:r>
                      <w:r>
                        <w:rPr>
                          <w:szCs w:val="24"/>
                          <w:vertAlign w:val="subscript"/>
                          <w:lang w:eastAsia="lt-LT"/>
                        </w:rPr>
                        <w:t>2</w:t>
                      </w:r>
                      <w:r>
                        <w:rPr>
                          <w:szCs w:val="24"/>
                          <w:lang w:eastAsia="lt-LT"/>
                        </w:rPr>
                        <w:t xml:space="preserve"> kiekis – 6 %):</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83"/>
                        <w:gridCol w:w="1429"/>
                        <w:gridCol w:w="1976"/>
                        <w:gridCol w:w="2113"/>
                        <w:gridCol w:w="1869"/>
                      </w:tblGrid>
                      <w:tr>
                        <w:tc>
                          <w:tcPr>
                            <w:tcW w:w="1787" w:type="dxa"/>
                            <w:tcMar>
                              <w:top w:w="0" w:type="dxa"/>
                              <w:left w:w="108" w:type="dxa"/>
                              <w:bottom w:w="0" w:type="dxa"/>
                              <w:right w:w="108" w:type="dxa"/>
                            </w:tcMar>
                          </w:tcPr>
                          <w:p>
                            <w:pPr>
                              <w:rPr>
                                <w:rFonts w:ascii="Tahoma" w:hAnsi="Tahoma" w:cs="Tahoma"/>
                                <w:b/>
                                <w:sz w:val="20"/>
                                <w:lang w:eastAsia="lt-LT"/>
                              </w:rPr>
                            </w:pPr>
                            <w:r>
                              <w:rPr>
                                <w:b/>
                                <w:bCs/>
                                <w:sz w:val="20"/>
                                <w:lang w:eastAsia="lt-LT"/>
                              </w:rPr>
                              <w:t>Teršalai</w:t>
                            </w:r>
                          </w:p>
                        </w:tc>
                        <w:tc>
                          <w:tcPr>
                            <w:tcW w:w="1516" w:type="dxa"/>
                            <w:tcMar>
                              <w:top w:w="0" w:type="dxa"/>
                              <w:left w:w="108" w:type="dxa"/>
                              <w:bottom w:w="0" w:type="dxa"/>
                              <w:right w:w="108" w:type="dxa"/>
                            </w:tcMar>
                          </w:tcPr>
                          <w:p>
                            <w:pPr>
                              <w:rPr>
                                <w:rFonts w:ascii="Tahoma" w:hAnsi="Tahoma" w:cs="Tahoma"/>
                                <w:b/>
                                <w:sz w:val="20"/>
                                <w:lang w:eastAsia="lt-LT"/>
                              </w:rPr>
                            </w:pPr>
                            <w:r>
                              <w:rPr>
                                <w:b/>
                                <w:bCs/>
                                <w:sz w:val="20"/>
                                <w:lang w:eastAsia="lt-LT"/>
                              </w:rPr>
                              <w:t>&lt;50 MWth</w:t>
                            </w:r>
                          </w:p>
                        </w:tc>
                        <w:tc>
                          <w:tcPr>
                            <w:tcW w:w="2137" w:type="dxa"/>
                            <w:tcMar>
                              <w:top w:w="0" w:type="dxa"/>
                              <w:left w:w="108" w:type="dxa"/>
                              <w:bottom w:w="0" w:type="dxa"/>
                              <w:right w:w="108" w:type="dxa"/>
                            </w:tcMar>
                          </w:tcPr>
                          <w:p>
                            <w:pPr>
                              <w:rPr>
                                <w:rFonts w:ascii="Tahoma" w:hAnsi="Tahoma" w:cs="Tahoma"/>
                                <w:b/>
                                <w:sz w:val="20"/>
                                <w:lang w:eastAsia="lt-LT"/>
                              </w:rPr>
                            </w:pPr>
                            <w:r>
                              <w:rPr>
                                <w:b/>
                                <w:bCs/>
                                <w:sz w:val="20"/>
                                <w:lang w:eastAsia="lt-LT"/>
                              </w:rPr>
                              <w:t>Nuo 50 iki 100 MWth</w:t>
                            </w:r>
                          </w:p>
                        </w:tc>
                        <w:tc>
                          <w:tcPr>
                            <w:tcW w:w="2292" w:type="dxa"/>
                            <w:tcMar>
                              <w:top w:w="0" w:type="dxa"/>
                              <w:left w:w="108" w:type="dxa"/>
                              <w:bottom w:w="0" w:type="dxa"/>
                              <w:right w:w="108" w:type="dxa"/>
                            </w:tcMar>
                          </w:tcPr>
                          <w:p>
                            <w:pPr>
                              <w:rPr>
                                <w:rFonts w:ascii="Tahoma" w:hAnsi="Tahoma" w:cs="Tahoma"/>
                                <w:b/>
                                <w:sz w:val="20"/>
                                <w:lang w:eastAsia="lt-LT"/>
                              </w:rPr>
                            </w:pPr>
                            <w:r>
                              <w:rPr>
                                <w:b/>
                                <w:bCs/>
                                <w:sz w:val="20"/>
                                <w:lang w:eastAsia="lt-LT"/>
                              </w:rPr>
                              <w:t>Nuo 100 iki 300 MWth</w:t>
                            </w:r>
                          </w:p>
                        </w:tc>
                        <w:tc>
                          <w:tcPr>
                            <w:tcW w:w="2015" w:type="dxa"/>
                            <w:tcMar>
                              <w:top w:w="0" w:type="dxa"/>
                              <w:left w:w="108" w:type="dxa"/>
                              <w:bottom w:w="0" w:type="dxa"/>
                              <w:right w:w="108" w:type="dxa"/>
                            </w:tcMar>
                          </w:tcPr>
                          <w:p>
                            <w:pPr>
                              <w:rPr>
                                <w:rFonts w:ascii="Tahoma" w:hAnsi="Tahoma" w:cs="Tahoma"/>
                                <w:b/>
                                <w:sz w:val="20"/>
                                <w:lang w:eastAsia="lt-LT"/>
                              </w:rPr>
                            </w:pPr>
                            <w:r>
                              <w:rPr>
                                <w:b/>
                                <w:bCs/>
                                <w:sz w:val="20"/>
                                <w:lang w:eastAsia="lt-LT"/>
                              </w:rPr>
                              <w:t>&gt;300 MWth</w:t>
                            </w:r>
                          </w:p>
                        </w:tc>
                      </w:tr>
                      <w:tr>
                        <w:trPr>
                          <w:cantSplit/>
                          <w:trHeight w:val="194"/>
                        </w:trPr>
                        <w:tc>
                          <w:tcPr>
                            <w:tcW w:w="1787" w:type="dxa"/>
                            <w:tcMar>
                              <w:top w:w="0" w:type="dxa"/>
                              <w:left w:w="108" w:type="dxa"/>
                              <w:bottom w:w="0" w:type="dxa"/>
                              <w:right w:w="108" w:type="dxa"/>
                            </w:tcMar>
                          </w:tcPr>
                          <w:p>
                            <w:pPr>
                              <w:rPr>
                                <w:rFonts w:ascii="Tahoma" w:hAnsi="Tahoma" w:cs="Tahoma"/>
                                <w:sz w:val="20"/>
                                <w:lang w:eastAsia="lt-LT"/>
                              </w:rPr>
                            </w:pPr>
                            <w:r>
                              <w:rPr>
                                <w:sz w:val="20"/>
                                <w:lang w:eastAsia="lt-LT"/>
                              </w:rPr>
                              <w:t>SO</w:t>
                            </w:r>
                            <w:r>
                              <w:rPr>
                                <w:sz w:val="20"/>
                                <w:vertAlign w:val="subscript"/>
                                <w:lang w:eastAsia="lt-LT"/>
                              </w:rPr>
                              <w:t>2</w:t>
                            </w:r>
                          </w:p>
                        </w:tc>
                        <w:tc>
                          <w:tcPr>
                            <w:tcW w:w="1516" w:type="dxa"/>
                            <w:tcMar>
                              <w:top w:w="0" w:type="dxa"/>
                              <w:left w:w="108" w:type="dxa"/>
                              <w:bottom w:w="0" w:type="dxa"/>
                              <w:right w:w="108" w:type="dxa"/>
                            </w:tcMar>
                          </w:tcPr>
                          <w:p>
                            <w:pPr>
                              <w:rPr>
                                <w:rFonts w:ascii="Tahoma" w:hAnsi="Tahoma" w:cs="Tahoma"/>
                                <w:strike/>
                                <w:sz w:val="20"/>
                                <w:lang w:eastAsia="lt-LT"/>
                              </w:rPr>
                            </w:pPr>
                          </w:p>
                        </w:tc>
                        <w:tc>
                          <w:tcPr>
                            <w:tcW w:w="2137" w:type="dxa"/>
                            <w:tcMar>
                              <w:top w:w="0" w:type="dxa"/>
                              <w:left w:w="108" w:type="dxa"/>
                              <w:bottom w:w="0" w:type="dxa"/>
                              <w:right w:w="108" w:type="dxa"/>
                            </w:tcMar>
                          </w:tcPr>
                          <w:p>
                            <w:pPr>
                              <w:rPr>
                                <w:sz w:val="20"/>
                                <w:lang w:eastAsia="lt-LT"/>
                              </w:rPr>
                            </w:pPr>
                            <w:r>
                              <w:rPr>
                                <w:sz w:val="20"/>
                                <w:lang w:eastAsia="lt-LT"/>
                              </w:rPr>
                              <w:t>200</w:t>
                            </w:r>
                          </w:p>
                        </w:tc>
                        <w:tc>
                          <w:tcPr>
                            <w:tcW w:w="2292" w:type="dxa"/>
                            <w:tcMar>
                              <w:top w:w="0" w:type="dxa"/>
                              <w:left w:w="108" w:type="dxa"/>
                              <w:bottom w:w="0" w:type="dxa"/>
                              <w:right w:w="108" w:type="dxa"/>
                            </w:tcMar>
                          </w:tcPr>
                          <w:p>
                            <w:pPr>
                              <w:rPr>
                                <w:sz w:val="20"/>
                                <w:lang w:eastAsia="lt-LT"/>
                              </w:rPr>
                            </w:pPr>
                            <w:r>
                              <w:rPr>
                                <w:sz w:val="20"/>
                                <w:lang w:eastAsia="lt-LT"/>
                              </w:rPr>
                              <w:t>200</w:t>
                            </w:r>
                          </w:p>
                        </w:tc>
                        <w:tc>
                          <w:tcPr>
                            <w:tcW w:w="2015" w:type="dxa"/>
                            <w:tcMar>
                              <w:top w:w="0" w:type="dxa"/>
                              <w:left w:w="108" w:type="dxa"/>
                              <w:bottom w:w="0" w:type="dxa"/>
                              <w:right w:w="108" w:type="dxa"/>
                            </w:tcMar>
                          </w:tcPr>
                          <w:p>
                            <w:pPr>
                              <w:rPr>
                                <w:sz w:val="20"/>
                                <w:lang w:eastAsia="lt-LT"/>
                              </w:rPr>
                            </w:pPr>
                            <w:r>
                              <w:rPr>
                                <w:sz w:val="20"/>
                                <w:lang w:eastAsia="lt-LT"/>
                              </w:rPr>
                              <w:t>150</w:t>
                            </w:r>
                          </w:p>
                        </w:tc>
                      </w:tr>
                      <w:tr>
                        <w:tc>
                          <w:tcPr>
                            <w:tcW w:w="1787" w:type="dxa"/>
                            <w:tcMar>
                              <w:top w:w="0" w:type="dxa"/>
                              <w:left w:w="108" w:type="dxa"/>
                              <w:bottom w:w="0" w:type="dxa"/>
                              <w:right w:w="108" w:type="dxa"/>
                            </w:tcMar>
                          </w:tcPr>
                          <w:p>
                            <w:pPr>
                              <w:rPr>
                                <w:rFonts w:ascii="Tahoma" w:hAnsi="Tahoma" w:cs="Tahoma"/>
                                <w:sz w:val="20"/>
                                <w:lang w:eastAsia="lt-LT"/>
                              </w:rPr>
                            </w:pPr>
                            <w:r>
                              <w:rPr>
                                <w:sz w:val="20"/>
                                <w:lang w:eastAsia="lt-LT"/>
                              </w:rPr>
                              <w:t>NO</w:t>
                            </w:r>
                            <w:r>
                              <w:rPr>
                                <w:sz w:val="20"/>
                                <w:vertAlign w:val="subscript"/>
                                <w:lang w:eastAsia="lt-LT"/>
                              </w:rPr>
                              <w:t>x</w:t>
                            </w:r>
                          </w:p>
                        </w:tc>
                        <w:tc>
                          <w:tcPr>
                            <w:tcW w:w="1516" w:type="dxa"/>
                            <w:tcMar>
                              <w:top w:w="0" w:type="dxa"/>
                              <w:left w:w="108" w:type="dxa"/>
                              <w:bottom w:w="0" w:type="dxa"/>
                              <w:right w:w="108" w:type="dxa"/>
                            </w:tcMar>
                          </w:tcPr>
                          <w:p>
                            <w:pPr>
                              <w:rPr>
                                <w:rFonts w:ascii="Tahoma" w:hAnsi="Tahoma" w:cs="Tahoma"/>
                                <w:strike/>
                                <w:sz w:val="20"/>
                                <w:lang w:eastAsia="lt-LT"/>
                              </w:rPr>
                            </w:pPr>
                          </w:p>
                        </w:tc>
                        <w:tc>
                          <w:tcPr>
                            <w:tcW w:w="2137" w:type="dxa"/>
                            <w:tcMar>
                              <w:top w:w="0" w:type="dxa"/>
                              <w:left w:w="108" w:type="dxa"/>
                              <w:bottom w:w="0" w:type="dxa"/>
                              <w:right w:w="108" w:type="dxa"/>
                            </w:tcMar>
                          </w:tcPr>
                          <w:p>
                            <w:pPr>
                              <w:rPr>
                                <w:sz w:val="20"/>
                                <w:lang w:eastAsia="lt-LT"/>
                              </w:rPr>
                            </w:pPr>
                            <w:r>
                              <w:rPr>
                                <w:sz w:val="20"/>
                                <w:lang w:eastAsia="lt-LT"/>
                              </w:rPr>
                              <w:t>250</w:t>
                            </w:r>
                          </w:p>
                        </w:tc>
                        <w:tc>
                          <w:tcPr>
                            <w:tcW w:w="2292" w:type="dxa"/>
                            <w:tcMar>
                              <w:top w:w="0" w:type="dxa"/>
                              <w:left w:w="108" w:type="dxa"/>
                              <w:bottom w:w="0" w:type="dxa"/>
                              <w:right w:w="108" w:type="dxa"/>
                            </w:tcMar>
                          </w:tcPr>
                          <w:p>
                            <w:pPr>
                              <w:rPr>
                                <w:rFonts w:ascii="Tahoma" w:hAnsi="Tahoma" w:cs="Tahoma"/>
                                <w:sz w:val="20"/>
                                <w:lang w:eastAsia="lt-LT"/>
                              </w:rPr>
                            </w:pPr>
                            <w:r>
                              <w:rPr>
                                <w:sz w:val="20"/>
                                <w:lang w:eastAsia="lt-LT"/>
                              </w:rPr>
                              <w:t>200</w:t>
                            </w:r>
                          </w:p>
                        </w:tc>
                        <w:tc>
                          <w:tcPr>
                            <w:tcW w:w="2015" w:type="dxa"/>
                            <w:tcMar>
                              <w:top w:w="0" w:type="dxa"/>
                              <w:left w:w="108" w:type="dxa"/>
                              <w:bottom w:w="0" w:type="dxa"/>
                              <w:right w:w="108" w:type="dxa"/>
                            </w:tcMar>
                          </w:tcPr>
                          <w:p>
                            <w:pPr>
                              <w:rPr>
                                <w:sz w:val="20"/>
                                <w:lang w:eastAsia="lt-LT"/>
                              </w:rPr>
                            </w:pPr>
                            <w:r>
                              <w:rPr>
                                <w:sz w:val="20"/>
                                <w:lang w:eastAsia="lt-LT"/>
                              </w:rPr>
                              <w:t>150</w:t>
                            </w:r>
                          </w:p>
                        </w:tc>
                      </w:tr>
                      <w:tr>
                        <w:tc>
                          <w:tcPr>
                            <w:tcW w:w="1787" w:type="dxa"/>
                            <w:tcMar>
                              <w:top w:w="0" w:type="dxa"/>
                              <w:left w:w="108" w:type="dxa"/>
                              <w:bottom w:w="0" w:type="dxa"/>
                              <w:right w:w="108" w:type="dxa"/>
                            </w:tcMar>
                          </w:tcPr>
                          <w:p>
                            <w:pPr>
                              <w:rPr>
                                <w:rFonts w:ascii="Tahoma" w:hAnsi="Tahoma" w:cs="Tahoma"/>
                                <w:sz w:val="20"/>
                                <w:lang w:eastAsia="lt-LT"/>
                              </w:rPr>
                            </w:pPr>
                            <w:r>
                              <w:rPr>
                                <w:sz w:val="20"/>
                                <w:lang w:eastAsia="lt-LT"/>
                              </w:rPr>
                              <w:t>Dulkės</w:t>
                            </w:r>
                          </w:p>
                        </w:tc>
                        <w:tc>
                          <w:tcPr>
                            <w:tcW w:w="1516"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137" w:type="dxa"/>
                            <w:tcMar>
                              <w:top w:w="0" w:type="dxa"/>
                              <w:left w:w="108" w:type="dxa"/>
                              <w:bottom w:w="0" w:type="dxa"/>
                              <w:right w:w="108" w:type="dxa"/>
                            </w:tcMar>
                          </w:tcPr>
                          <w:p>
                            <w:pPr>
                              <w:rPr>
                                <w:rFonts w:ascii="Tahoma" w:hAnsi="Tahoma" w:cs="Tahoma"/>
                                <w:sz w:val="20"/>
                                <w:lang w:eastAsia="lt-LT"/>
                              </w:rPr>
                            </w:pPr>
                            <w:r>
                              <w:rPr>
                                <w:sz w:val="20"/>
                                <w:lang w:eastAsia="lt-LT"/>
                              </w:rPr>
                              <w:t>20</w:t>
                            </w:r>
                          </w:p>
                        </w:tc>
                        <w:tc>
                          <w:tcPr>
                            <w:tcW w:w="2292" w:type="dxa"/>
                            <w:tcMar>
                              <w:top w:w="0" w:type="dxa"/>
                              <w:left w:w="108" w:type="dxa"/>
                              <w:bottom w:w="0" w:type="dxa"/>
                              <w:right w:w="108" w:type="dxa"/>
                            </w:tcMar>
                          </w:tcPr>
                          <w:p>
                            <w:pPr>
                              <w:rPr>
                                <w:rFonts w:ascii="Tahoma" w:hAnsi="Tahoma" w:cs="Tahoma"/>
                                <w:sz w:val="20"/>
                                <w:lang w:eastAsia="lt-LT"/>
                              </w:rPr>
                            </w:pPr>
                            <w:r>
                              <w:rPr>
                                <w:sz w:val="20"/>
                                <w:lang w:eastAsia="lt-LT"/>
                              </w:rPr>
                              <w:t>20</w:t>
                            </w:r>
                          </w:p>
                        </w:tc>
                        <w:tc>
                          <w:tcPr>
                            <w:tcW w:w="2015" w:type="dxa"/>
                            <w:tcMar>
                              <w:top w:w="0" w:type="dxa"/>
                              <w:left w:w="108" w:type="dxa"/>
                              <w:bottom w:w="0" w:type="dxa"/>
                              <w:right w:w="108" w:type="dxa"/>
                            </w:tcMar>
                          </w:tcPr>
                          <w:p>
                            <w:pPr>
                              <w:rPr>
                                <w:rFonts w:ascii="Tahoma" w:hAnsi="Tahoma" w:cs="Tahoma"/>
                                <w:sz w:val="20"/>
                                <w:lang w:eastAsia="lt-LT"/>
                              </w:rPr>
                            </w:pPr>
                            <w:r>
                              <w:rPr>
                                <w:sz w:val="20"/>
                                <w:lang w:eastAsia="lt-LT"/>
                              </w:rPr>
                              <w:t>20</w:t>
                            </w:r>
                          </w:p>
                        </w:tc>
                      </w:tr>
                    </w:tbl>
                    <w:p>
                      <w:pPr>
                        <w:ind w:firstLine="709"/>
                        <w:rPr>
                          <w:szCs w:val="24"/>
                          <w:lang w:eastAsia="lt-LT"/>
                        </w:rPr>
                      </w:pPr>
                    </w:p>
                    <w:p>
                      <w:pPr>
                        <w:ind w:firstLine="567"/>
                        <w:jc w:val="both"/>
                        <w:rPr>
                          <w:szCs w:val="24"/>
                          <w:lang w:eastAsia="lt-LT"/>
                        </w:rPr>
                      </w:pPr>
                      <w:r>
                        <w:rPr>
                          <w:szCs w:val="24"/>
                          <w:lang w:eastAsia="lt-LT"/>
                        </w:rPr>
                        <w:t>Įrenginiams, deginantiems skystąjį kurą, taikomos šios vidutinės paros išmetamųjų teršalų ribinės vertės (C</w:t>
                      </w:r>
                      <w:r>
                        <w:rPr>
                          <w:szCs w:val="24"/>
                          <w:vertAlign w:val="subscript"/>
                          <w:lang w:eastAsia="lt-LT"/>
                        </w:rPr>
                        <w:t>PROC</w:t>
                      </w:r>
                      <w:r>
                        <w:rPr>
                          <w:szCs w:val="24"/>
                          <w:lang w:eastAsia="lt-LT"/>
                        </w:rPr>
                        <w:t xml:space="preserve"> išreikšta mg/Nm</w:t>
                      </w:r>
                      <w:r>
                        <w:rPr>
                          <w:szCs w:val="24"/>
                          <w:vertAlign w:val="superscript"/>
                          <w:lang w:eastAsia="lt-LT"/>
                        </w:rPr>
                        <w:t>3</w:t>
                      </w:r>
                      <w:r>
                        <w:rPr>
                          <w:szCs w:val="24"/>
                          <w:lang w:eastAsia="lt-LT"/>
                        </w:rPr>
                        <w:t>; standartinis O</w:t>
                      </w:r>
                      <w:r>
                        <w:rPr>
                          <w:szCs w:val="24"/>
                          <w:vertAlign w:val="subscript"/>
                          <w:lang w:eastAsia="lt-LT"/>
                        </w:rPr>
                        <w:t>2</w:t>
                      </w:r>
                      <w:r>
                        <w:rPr>
                          <w:szCs w:val="24"/>
                          <w:lang w:eastAsia="lt-LT"/>
                        </w:rPr>
                        <w:t xml:space="preserve"> kiekis – 3 %):</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83"/>
                        <w:gridCol w:w="1429"/>
                        <w:gridCol w:w="1976"/>
                        <w:gridCol w:w="2113"/>
                        <w:gridCol w:w="1869"/>
                      </w:tblGrid>
                      <w:tr>
                        <w:tc>
                          <w:tcPr>
                            <w:tcW w:w="1787" w:type="dxa"/>
                            <w:tcMar>
                              <w:top w:w="0" w:type="dxa"/>
                              <w:left w:w="108" w:type="dxa"/>
                              <w:bottom w:w="0" w:type="dxa"/>
                              <w:right w:w="108" w:type="dxa"/>
                            </w:tcMar>
                          </w:tcPr>
                          <w:p>
                            <w:pPr>
                              <w:rPr>
                                <w:rFonts w:ascii="Tahoma" w:hAnsi="Tahoma" w:cs="Tahoma"/>
                                <w:b/>
                                <w:sz w:val="20"/>
                                <w:lang w:eastAsia="lt-LT"/>
                              </w:rPr>
                            </w:pPr>
                            <w:r>
                              <w:rPr>
                                <w:b/>
                                <w:bCs/>
                                <w:sz w:val="20"/>
                                <w:lang w:eastAsia="lt-LT"/>
                              </w:rPr>
                              <w:t>Teršalai</w:t>
                            </w:r>
                          </w:p>
                        </w:tc>
                        <w:tc>
                          <w:tcPr>
                            <w:tcW w:w="1516" w:type="dxa"/>
                            <w:tcMar>
                              <w:top w:w="0" w:type="dxa"/>
                              <w:left w:w="108" w:type="dxa"/>
                              <w:bottom w:w="0" w:type="dxa"/>
                              <w:right w:w="108" w:type="dxa"/>
                            </w:tcMar>
                          </w:tcPr>
                          <w:p>
                            <w:pPr>
                              <w:rPr>
                                <w:rFonts w:ascii="Tahoma" w:hAnsi="Tahoma" w:cs="Tahoma"/>
                                <w:b/>
                                <w:sz w:val="20"/>
                                <w:lang w:eastAsia="lt-LT"/>
                              </w:rPr>
                            </w:pPr>
                            <w:r>
                              <w:rPr>
                                <w:b/>
                                <w:bCs/>
                                <w:sz w:val="20"/>
                                <w:lang w:eastAsia="lt-LT"/>
                              </w:rPr>
                              <w:t>&lt;50 MWth</w:t>
                            </w:r>
                          </w:p>
                        </w:tc>
                        <w:tc>
                          <w:tcPr>
                            <w:tcW w:w="2137" w:type="dxa"/>
                            <w:tcMar>
                              <w:top w:w="0" w:type="dxa"/>
                              <w:left w:w="108" w:type="dxa"/>
                              <w:bottom w:w="0" w:type="dxa"/>
                              <w:right w:w="108" w:type="dxa"/>
                            </w:tcMar>
                          </w:tcPr>
                          <w:p>
                            <w:pPr>
                              <w:rPr>
                                <w:rFonts w:ascii="Tahoma" w:hAnsi="Tahoma" w:cs="Tahoma"/>
                                <w:b/>
                                <w:sz w:val="20"/>
                                <w:lang w:eastAsia="lt-LT"/>
                              </w:rPr>
                            </w:pPr>
                            <w:r>
                              <w:rPr>
                                <w:b/>
                                <w:bCs/>
                                <w:sz w:val="20"/>
                                <w:lang w:eastAsia="lt-LT"/>
                              </w:rPr>
                              <w:t>Nuo 50 iki 100 MWth</w:t>
                            </w:r>
                          </w:p>
                        </w:tc>
                        <w:tc>
                          <w:tcPr>
                            <w:tcW w:w="2292" w:type="dxa"/>
                            <w:tcMar>
                              <w:top w:w="0" w:type="dxa"/>
                              <w:left w:w="108" w:type="dxa"/>
                              <w:bottom w:w="0" w:type="dxa"/>
                              <w:right w:w="108" w:type="dxa"/>
                            </w:tcMar>
                          </w:tcPr>
                          <w:p>
                            <w:pPr>
                              <w:rPr>
                                <w:rFonts w:ascii="Tahoma" w:hAnsi="Tahoma" w:cs="Tahoma"/>
                                <w:b/>
                                <w:sz w:val="20"/>
                                <w:lang w:eastAsia="lt-LT"/>
                              </w:rPr>
                            </w:pPr>
                            <w:r>
                              <w:rPr>
                                <w:b/>
                                <w:bCs/>
                                <w:sz w:val="20"/>
                                <w:lang w:eastAsia="lt-LT"/>
                              </w:rPr>
                              <w:t>Nuo 100 iki 300 MWth</w:t>
                            </w:r>
                          </w:p>
                        </w:tc>
                        <w:tc>
                          <w:tcPr>
                            <w:tcW w:w="2015" w:type="dxa"/>
                            <w:tcMar>
                              <w:top w:w="0" w:type="dxa"/>
                              <w:left w:w="108" w:type="dxa"/>
                              <w:bottom w:w="0" w:type="dxa"/>
                              <w:right w:w="108" w:type="dxa"/>
                            </w:tcMar>
                          </w:tcPr>
                          <w:p>
                            <w:pPr>
                              <w:rPr>
                                <w:rFonts w:ascii="Tahoma" w:hAnsi="Tahoma" w:cs="Tahoma"/>
                                <w:b/>
                                <w:sz w:val="20"/>
                                <w:lang w:eastAsia="lt-LT"/>
                              </w:rPr>
                            </w:pPr>
                            <w:r>
                              <w:rPr>
                                <w:b/>
                                <w:bCs/>
                                <w:sz w:val="20"/>
                                <w:lang w:eastAsia="lt-LT"/>
                              </w:rPr>
                              <w:t>&gt;300 MWth</w:t>
                            </w:r>
                          </w:p>
                        </w:tc>
                      </w:tr>
                      <w:tr>
                        <w:trPr>
                          <w:cantSplit/>
                          <w:trHeight w:val="194"/>
                        </w:trPr>
                        <w:tc>
                          <w:tcPr>
                            <w:tcW w:w="1787" w:type="dxa"/>
                            <w:tcMar>
                              <w:top w:w="0" w:type="dxa"/>
                              <w:left w:w="108" w:type="dxa"/>
                              <w:bottom w:w="0" w:type="dxa"/>
                              <w:right w:w="108" w:type="dxa"/>
                            </w:tcMar>
                          </w:tcPr>
                          <w:p>
                            <w:pPr>
                              <w:rPr>
                                <w:rFonts w:ascii="Tahoma" w:hAnsi="Tahoma" w:cs="Tahoma"/>
                                <w:sz w:val="20"/>
                                <w:lang w:eastAsia="lt-LT"/>
                              </w:rPr>
                            </w:pPr>
                            <w:r>
                              <w:rPr>
                                <w:sz w:val="20"/>
                                <w:lang w:eastAsia="lt-LT"/>
                              </w:rPr>
                              <w:t>SO</w:t>
                            </w:r>
                            <w:r>
                              <w:rPr>
                                <w:sz w:val="20"/>
                                <w:vertAlign w:val="subscript"/>
                                <w:lang w:eastAsia="lt-LT"/>
                              </w:rPr>
                              <w:t>2</w:t>
                            </w:r>
                          </w:p>
                        </w:tc>
                        <w:tc>
                          <w:tcPr>
                            <w:tcW w:w="1516" w:type="dxa"/>
                            <w:tcMar>
                              <w:top w:w="0" w:type="dxa"/>
                              <w:left w:w="108" w:type="dxa"/>
                              <w:bottom w:w="0" w:type="dxa"/>
                              <w:right w:w="108" w:type="dxa"/>
                            </w:tcMar>
                          </w:tcPr>
                          <w:p>
                            <w:pPr>
                              <w:rPr>
                                <w:rFonts w:ascii="Tahoma" w:hAnsi="Tahoma" w:cs="Tahoma"/>
                                <w:strike/>
                                <w:sz w:val="20"/>
                                <w:lang w:eastAsia="lt-LT"/>
                              </w:rPr>
                            </w:pPr>
                          </w:p>
                        </w:tc>
                        <w:tc>
                          <w:tcPr>
                            <w:tcW w:w="2137" w:type="dxa"/>
                            <w:tcMar>
                              <w:top w:w="0" w:type="dxa"/>
                              <w:left w:w="108" w:type="dxa"/>
                              <w:bottom w:w="0" w:type="dxa"/>
                              <w:right w:w="108" w:type="dxa"/>
                            </w:tcMar>
                          </w:tcPr>
                          <w:p>
                            <w:pPr>
                              <w:rPr>
                                <w:sz w:val="20"/>
                                <w:lang w:eastAsia="lt-LT"/>
                              </w:rPr>
                            </w:pPr>
                            <w:r>
                              <w:rPr>
                                <w:sz w:val="20"/>
                                <w:lang w:eastAsia="lt-LT"/>
                              </w:rPr>
                              <w:t>350</w:t>
                            </w:r>
                          </w:p>
                        </w:tc>
                        <w:tc>
                          <w:tcPr>
                            <w:tcW w:w="2292" w:type="dxa"/>
                            <w:tcMar>
                              <w:top w:w="0" w:type="dxa"/>
                              <w:left w:w="108" w:type="dxa"/>
                              <w:bottom w:w="0" w:type="dxa"/>
                              <w:right w:w="108" w:type="dxa"/>
                            </w:tcMar>
                          </w:tcPr>
                          <w:p>
                            <w:pPr>
                              <w:rPr>
                                <w:sz w:val="20"/>
                                <w:lang w:eastAsia="lt-LT"/>
                              </w:rPr>
                            </w:pPr>
                            <w:r>
                              <w:rPr>
                                <w:sz w:val="20"/>
                                <w:lang w:eastAsia="lt-LT"/>
                              </w:rPr>
                              <w:t>200</w:t>
                            </w:r>
                          </w:p>
                        </w:tc>
                        <w:tc>
                          <w:tcPr>
                            <w:tcW w:w="2015" w:type="dxa"/>
                            <w:tcMar>
                              <w:top w:w="0" w:type="dxa"/>
                              <w:left w:w="108" w:type="dxa"/>
                              <w:bottom w:w="0" w:type="dxa"/>
                              <w:right w:w="108" w:type="dxa"/>
                            </w:tcMar>
                          </w:tcPr>
                          <w:p>
                            <w:pPr>
                              <w:rPr>
                                <w:sz w:val="20"/>
                                <w:lang w:eastAsia="lt-LT"/>
                              </w:rPr>
                            </w:pPr>
                            <w:r>
                              <w:rPr>
                                <w:sz w:val="20"/>
                                <w:lang w:eastAsia="lt-LT"/>
                              </w:rPr>
                              <w:t>150</w:t>
                            </w:r>
                          </w:p>
                        </w:tc>
                      </w:tr>
                      <w:tr>
                        <w:tc>
                          <w:tcPr>
                            <w:tcW w:w="1787" w:type="dxa"/>
                            <w:tcMar>
                              <w:top w:w="0" w:type="dxa"/>
                              <w:left w:w="108" w:type="dxa"/>
                              <w:bottom w:w="0" w:type="dxa"/>
                              <w:right w:w="108" w:type="dxa"/>
                            </w:tcMar>
                          </w:tcPr>
                          <w:p>
                            <w:pPr>
                              <w:rPr>
                                <w:rFonts w:ascii="Tahoma" w:hAnsi="Tahoma" w:cs="Tahoma"/>
                                <w:sz w:val="20"/>
                                <w:lang w:eastAsia="lt-LT"/>
                              </w:rPr>
                            </w:pPr>
                            <w:r>
                              <w:rPr>
                                <w:sz w:val="20"/>
                                <w:lang w:eastAsia="lt-LT"/>
                              </w:rPr>
                              <w:t>NO</w:t>
                            </w:r>
                            <w:r>
                              <w:rPr>
                                <w:sz w:val="20"/>
                                <w:vertAlign w:val="subscript"/>
                                <w:lang w:eastAsia="lt-LT"/>
                              </w:rPr>
                              <w:t>x</w:t>
                            </w:r>
                          </w:p>
                        </w:tc>
                        <w:tc>
                          <w:tcPr>
                            <w:tcW w:w="1516" w:type="dxa"/>
                            <w:tcMar>
                              <w:top w:w="0" w:type="dxa"/>
                              <w:left w:w="108" w:type="dxa"/>
                              <w:bottom w:w="0" w:type="dxa"/>
                              <w:right w:w="108" w:type="dxa"/>
                            </w:tcMar>
                          </w:tcPr>
                          <w:p>
                            <w:pPr>
                              <w:rPr>
                                <w:rFonts w:ascii="Tahoma" w:hAnsi="Tahoma" w:cs="Tahoma"/>
                                <w:strike/>
                                <w:sz w:val="20"/>
                                <w:lang w:eastAsia="lt-LT"/>
                              </w:rPr>
                            </w:pPr>
                          </w:p>
                        </w:tc>
                        <w:tc>
                          <w:tcPr>
                            <w:tcW w:w="2137" w:type="dxa"/>
                            <w:tcMar>
                              <w:top w:w="0" w:type="dxa"/>
                              <w:left w:w="108" w:type="dxa"/>
                              <w:bottom w:w="0" w:type="dxa"/>
                              <w:right w:w="108" w:type="dxa"/>
                            </w:tcMar>
                          </w:tcPr>
                          <w:p>
                            <w:pPr>
                              <w:rPr>
                                <w:sz w:val="20"/>
                                <w:lang w:eastAsia="lt-LT"/>
                              </w:rPr>
                            </w:pPr>
                            <w:r>
                              <w:rPr>
                                <w:sz w:val="20"/>
                                <w:lang w:eastAsia="lt-LT"/>
                              </w:rPr>
                              <w:t>300</w:t>
                            </w:r>
                          </w:p>
                        </w:tc>
                        <w:tc>
                          <w:tcPr>
                            <w:tcW w:w="2292" w:type="dxa"/>
                            <w:tcMar>
                              <w:top w:w="0" w:type="dxa"/>
                              <w:left w:w="108" w:type="dxa"/>
                              <w:bottom w:w="0" w:type="dxa"/>
                              <w:right w:w="108" w:type="dxa"/>
                            </w:tcMar>
                          </w:tcPr>
                          <w:p>
                            <w:pPr>
                              <w:rPr>
                                <w:rFonts w:ascii="Tahoma" w:hAnsi="Tahoma" w:cs="Tahoma"/>
                                <w:sz w:val="20"/>
                                <w:lang w:eastAsia="lt-LT"/>
                              </w:rPr>
                            </w:pPr>
                            <w:r>
                              <w:rPr>
                                <w:sz w:val="20"/>
                                <w:lang w:eastAsia="lt-LT"/>
                              </w:rPr>
                              <w:t>150</w:t>
                            </w:r>
                          </w:p>
                        </w:tc>
                        <w:tc>
                          <w:tcPr>
                            <w:tcW w:w="2015" w:type="dxa"/>
                            <w:tcMar>
                              <w:top w:w="0" w:type="dxa"/>
                              <w:left w:w="108" w:type="dxa"/>
                              <w:bottom w:w="0" w:type="dxa"/>
                              <w:right w:w="108" w:type="dxa"/>
                            </w:tcMar>
                          </w:tcPr>
                          <w:p>
                            <w:pPr>
                              <w:rPr>
                                <w:sz w:val="20"/>
                                <w:lang w:eastAsia="lt-LT"/>
                              </w:rPr>
                            </w:pPr>
                            <w:r>
                              <w:rPr>
                                <w:sz w:val="20"/>
                                <w:lang w:eastAsia="lt-LT"/>
                              </w:rPr>
                              <w:t>100</w:t>
                            </w:r>
                          </w:p>
                        </w:tc>
                      </w:tr>
                      <w:tr>
                        <w:tc>
                          <w:tcPr>
                            <w:tcW w:w="1787" w:type="dxa"/>
                            <w:tcMar>
                              <w:top w:w="0" w:type="dxa"/>
                              <w:left w:w="108" w:type="dxa"/>
                              <w:bottom w:w="0" w:type="dxa"/>
                              <w:right w:w="108" w:type="dxa"/>
                            </w:tcMar>
                          </w:tcPr>
                          <w:p>
                            <w:pPr>
                              <w:rPr>
                                <w:rFonts w:ascii="Tahoma" w:hAnsi="Tahoma" w:cs="Tahoma"/>
                                <w:sz w:val="20"/>
                                <w:lang w:eastAsia="lt-LT"/>
                              </w:rPr>
                            </w:pPr>
                            <w:r>
                              <w:rPr>
                                <w:sz w:val="20"/>
                                <w:lang w:eastAsia="lt-LT"/>
                              </w:rPr>
                              <w:t>Dulkės</w:t>
                            </w:r>
                          </w:p>
                        </w:tc>
                        <w:tc>
                          <w:tcPr>
                            <w:tcW w:w="1516" w:type="dxa"/>
                            <w:tcMar>
                              <w:top w:w="0" w:type="dxa"/>
                              <w:left w:w="108" w:type="dxa"/>
                              <w:bottom w:w="0" w:type="dxa"/>
                              <w:right w:w="108" w:type="dxa"/>
                            </w:tcMar>
                          </w:tcPr>
                          <w:p>
                            <w:pPr>
                              <w:rPr>
                                <w:rFonts w:ascii="Tahoma" w:hAnsi="Tahoma" w:cs="Tahoma"/>
                                <w:sz w:val="20"/>
                                <w:lang w:eastAsia="lt-LT"/>
                              </w:rPr>
                            </w:pPr>
                            <w:r>
                              <w:rPr>
                                <w:sz w:val="20"/>
                                <w:lang w:eastAsia="lt-LT"/>
                              </w:rPr>
                              <w:t>50</w:t>
                            </w:r>
                          </w:p>
                        </w:tc>
                        <w:tc>
                          <w:tcPr>
                            <w:tcW w:w="2137" w:type="dxa"/>
                            <w:tcMar>
                              <w:top w:w="0" w:type="dxa"/>
                              <w:left w:w="108" w:type="dxa"/>
                              <w:bottom w:w="0" w:type="dxa"/>
                              <w:right w:w="108" w:type="dxa"/>
                            </w:tcMar>
                          </w:tcPr>
                          <w:p>
                            <w:pPr>
                              <w:rPr>
                                <w:rFonts w:ascii="Tahoma" w:hAnsi="Tahoma" w:cs="Tahoma"/>
                                <w:sz w:val="20"/>
                                <w:lang w:eastAsia="lt-LT"/>
                              </w:rPr>
                            </w:pPr>
                            <w:r>
                              <w:rPr>
                                <w:sz w:val="20"/>
                                <w:lang w:eastAsia="lt-LT"/>
                              </w:rPr>
                              <w:t>20</w:t>
                            </w:r>
                          </w:p>
                        </w:tc>
                        <w:tc>
                          <w:tcPr>
                            <w:tcW w:w="2292" w:type="dxa"/>
                            <w:tcMar>
                              <w:top w:w="0" w:type="dxa"/>
                              <w:left w:w="108" w:type="dxa"/>
                              <w:bottom w:w="0" w:type="dxa"/>
                              <w:right w:w="108" w:type="dxa"/>
                            </w:tcMar>
                          </w:tcPr>
                          <w:p>
                            <w:pPr>
                              <w:rPr>
                                <w:rFonts w:ascii="Tahoma" w:hAnsi="Tahoma" w:cs="Tahoma"/>
                                <w:sz w:val="20"/>
                                <w:lang w:eastAsia="lt-LT"/>
                              </w:rPr>
                            </w:pPr>
                            <w:r>
                              <w:rPr>
                                <w:sz w:val="20"/>
                                <w:lang w:eastAsia="lt-LT"/>
                              </w:rPr>
                              <w:t>20</w:t>
                            </w:r>
                          </w:p>
                        </w:tc>
                        <w:tc>
                          <w:tcPr>
                            <w:tcW w:w="2015" w:type="dxa"/>
                            <w:tcMar>
                              <w:top w:w="0" w:type="dxa"/>
                              <w:left w:w="108" w:type="dxa"/>
                              <w:bottom w:w="0" w:type="dxa"/>
                              <w:right w:w="108" w:type="dxa"/>
                            </w:tcMar>
                          </w:tcPr>
                          <w:p>
                            <w:pPr>
                              <w:rPr>
                                <w:rFonts w:ascii="Tahoma" w:hAnsi="Tahoma" w:cs="Tahoma"/>
                                <w:sz w:val="20"/>
                                <w:lang w:eastAsia="lt-LT"/>
                              </w:rPr>
                            </w:pPr>
                            <w:r>
                              <w:rPr>
                                <w:sz w:val="20"/>
                                <w:lang w:eastAsia="lt-LT"/>
                              </w:rPr>
                              <w:t>10</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Content>
            </w:sdt>
            <w:sdt>
              <w:sdtPr>
                <w:alias w:val="2 pr. 3.4 p."/>
                <w:tag w:val="part_e4fa07f35f0847bd998545bcfc10ed38"/>
                <w:lock w:val="sdtLocked"/>
                <w:richText/>
              </w:sdtPr>
              <w:sdtContent>
                <w:p>
                  <w:pPr>
                    <w:ind w:firstLine="567"/>
                    <w:jc w:val="both"/>
                    <w:rPr>
                      <w:szCs w:val="24"/>
                      <w:lang w:eastAsia="lt-LT"/>
                    </w:rPr>
                  </w:pPr>
                  <w:sdt>
                    <w:sdtPr>
                      <w:alias w:val="Numeris"/>
                      <w:tag w:val="nr_e4fa07f35f0847bd998545bcfc10ed38"/>
                      <w:lock w:val="sdtLocked"/>
                      <w:richText/>
                    </w:sdtPr>
                    <w:sdtContent>
                      <w:r>
                        <w:rPr>
                          <w:szCs w:val="24"/>
                          <w:lang w:eastAsia="lt-LT"/>
                        </w:rPr>
                        <w:t>3.4</w:t>
                      </w:r>
                    </w:sdtContent>
                  </w:sdt>
                  <w:r>
                    <w:rPr>
                      <w:szCs w:val="24"/>
                      <w:lang w:eastAsia="lt-LT"/>
                    </w:rPr>
                    <w:t>.</w:t>
                  </w:r>
                  <w:r>
                    <w:rPr>
                      <w:b/>
                      <w:szCs w:val="24"/>
                      <w:lang w:eastAsia="lt-LT"/>
                    </w:rPr>
                    <w:t xml:space="preserve"> </w:t>
                  </w:r>
                  <w:r>
                    <w:rPr>
                      <w:szCs w:val="24"/>
                      <w:lang w:eastAsia="lt-LT"/>
                    </w:rPr>
                    <w:t>Visiems šio priedo trečioje dalyje paminėtiems įrenginiams taikomos šios bendrosios išmetamųjų teršalų ribinės vertės:</w:t>
                  </w:r>
                </w:p>
                <w:sdt>
                  <w:sdtPr>
                    <w:alias w:val="2 pr. 3.4.1 p."/>
                    <w:tag w:val="part_33f86afb4e584174a5457b961b1e9665"/>
                    <w:lock w:val="sdtLocked"/>
                    <w:richText/>
                  </w:sdtPr>
                  <w:sdtContent>
                    <w:p>
                      <w:pPr>
                        <w:ind w:firstLine="567"/>
                        <w:jc w:val="both"/>
                        <w:rPr>
                          <w:szCs w:val="24"/>
                          <w:lang w:eastAsia="lt-LT"/>
                        </w:rPr>
                      </w:pPr>
                      <w:sdt>
                        <w:sdtPr>
                          <w:alias w:val="Numeris"/>
                          <w:tag w:val="nr_33f86afb4e584174a5457b961b1e9665"/>
                          <w:lock w:val="sdtLocked"/>
                          <w:richText/>
                        </w:sdtPr>
                        <w:sdtContent>
                          <w:r>
                            <w:rPr>
                              <w:szCs w:val="24"/>
                              <w:lang w:eastAsia="lt-LT"/>
                            </w:rPr>
                            <w:t>3.4.1</w:t>
                          </w:r>
                        </w:sdtContent>
                      </w:sdt>
                      <w:r>
                        <w:rPr>
                          <w:szCs w:val="24"/>
                          <w:lang w:eastAsia="lt-LT"/>
                        </w:rPr>
                        <w:t xml:space="preserve">. </w:t>
                      </w:r>
                      <w:r>
                        <w:rPr>
                          <w:color w:val="000000"/>
                        </w:rPr>
                        <w:t>išmetamųjų teršalų ribinės vertės, išreikštos mg/Nm</w:t>
                      </w:r>
                      <w:r>
                        <w:rPr>
                          <w:color w:val="000000"/>
                          <w:vertAlign w:val="superscript"/>
                        </w:rPr>
                        <w:t>3</w:t>
                      </w:r>
                      <w:r>
                        <w:rPr>
                          <w:color w:val="000000"/>
                        </w:rPr>
                        <w:t>; standartinis O</w:t>
                      </w:r>
                      <w:r>
                        <w:rPr>
                          <w:color w:val="000000"/>
                          <w:vertAlign w:val="subscript"/>
                        </w:rPr>
                        <w:t>2</w:t>
                      </w:r>
                      <w:r>
                        <w:rPr>
                          <w:color w:val="000000"/>
                        </w:rPr>
                        <w:t> kiekis – 6 %,  skystojo kuro – 3 %; 0,5–8 valandų laikotarpiu paimtų ėminių vidutinės vertės</w:t>
                      </w:r>
                      <w:r>
                        <w:rPr>
                          <w:szCs w:val="24"/>
                          <w:lang w:eastAsia="lt-LT"/>
                        </w:rPr>
                        <w:t>:</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4"/>
                        <w:gridCol w:w="4786"/>
                      </w:tblGrid>
                      <w:tr>
                        <w:tc>
                          <w:tcPr>
                            <w:tcW w:w="4536"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b/>
                                <w:bCs/>
                                <w:sz w:val="20"/>
                                <w:lang w:eastAsia="lt-LT"/>
                              </w:rPr>
                              <w:t>Teršalas</w:t>
                            </w:r>
                          </w:p>
                        </w:tc>
                        <w:tc>
                          <w:tcPr>
                            <w:tcW w:w="5103"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b/>
                                <w:bCs/>
                                <w:sz w:val="20"/>
                                <w:lang w:eastAsia="lt-LT"/>
                              </w:rPr>
                              <w:t>C</w:t>
                            </w:r>
                          </w:p>
                        </w:tc>
                      </w:tr>
                      <w:tr>
                        <w:tc>
                          <w:tcPr>
                            <w:tcW w:w="4536"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Cd + Tl</w:t>
                            </w:r>
                          </w:p>
                        </w:tc>
                        <w:tc>
                          <w:tcPr>
                            <w:tcW w:w="5103"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sz w:val="20"/>
                                <w:lang w:eastAsia="lt-LT"/>
                              </w:rPr>
                              <w:t>0,05</w:t>
                            </w:r>
                          </w:p>
                        </w:tc>
                      </w:tr>
                      <w:tr>
                        <w:tc>
                          <w:tcPr>
                            <w:tcW w:w="4536"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Hg</w:t>
                            </w:r>
                          </w:p>
                        </w:tc>
                        <w:tc>
                          <w:tcPr>
                            <w:tcW w:w="5103"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sz w:val="20"/>
                                <w:lang w:eastAsia="lt-LT"/>
                              </w:rPr>
                              <w:t>0,05</w:t>
                            </w:r>
                          </w:p>
                        </w:tc>
                      </w:tr>
                      <w:tr>
                        <w:tc>
                          <w:tcPr>
                            <w:tcW w:w="4536"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pacing w:val="-4"/>
                                <w:sz w:val="20"/>
                                <w:lang w:eastAsia="lt-LT"/>
                              </w:rPr>
                              <w:t>Sb + As + PB + Cr + Co + Cu + Mn + Ni + V</w:t>
                            </w:r>
                          </w:p>
                        </w:tc>
                        <w:tc>
                          <w:tcPr>
                            <w:tcW w:w="5103"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sz w:val="20"/>
                                <w:lang w:eastAsia="lt-LT"/>
                              </w:rPr>
                              <w:t>0,5</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2 pr. 3.4.2 p."/>
                    <w:tag w:val="part_1f76ad2ce4cb477dacc5d8325a31c94d"/>
                    <w:lock w:val="sdtLocked"/>
                    <w:richText/>
                  </w:sdtPr>
                  <w:sdtContent>
                    <w:p>
                      <w:pPr>
                        <w:ind w:firstLine="567"/>
                        <w:jc w:val="both"/>
                        <w:rPr>
                          <w:szCs w:val="24"/>
                          <w:lang w:eastAsia="lt-LT"/>
                        </w:rPr>
                      </w:pPr>
                      <w:sdt>
                        <w:sdtPr>
                          <w:alias w:val="Numeris"/>
                          <w:tag w:val="nr_1f76ad2ce4cb477dacc5d8325a31c94d"/>
                          <w:lock w:val="sdtLocked"/>
                          <w:richText/>
                        </w:sdtPr>
                        <w:sdtContent>
                          <w:r>
                            <w:rPr>
                              <w:spacing w:val="-4"/>
                              <w:szCs w:val="24"/>
                              <w:lang w:eastAsia="lt-LT"/>
                            </w:rPr>
                            <w:t>3.4.2</w:t>
                          </w:r>
                        </w:sdtContent>
                      </w:sdt>
                      <w:r>
                        <w:rPr>
                          <w:spacing w:val="-4"/>
                          <w:szCs w:val="24"/>
                          <w:lang w:eastAsia="lt-LT"/>
                        </w:rPr>
                        <w:t xml:space="preserve">. </w:t>
                      </w:r>
                      <w:r>
                        <w:rPr>
                          <w:color w:val="000000"/>
                          <w:spacing w:val="-4"/>
                        </w:rPr>
                        <w:t>išmetamųjų </w:t>
                      </w:r>
                      <w:r>
                        <w:rPr>
                          <w:color w:val="000000"/>
                        </w:rPr>
                        <w:t>teršalų ribinės vertės, išreikštos ng/Nm</w:t>
                      </w:r>
                      <w:r>
                        <w:rPr>
                          <w:color w:val="000000"/>
                          <w:vertAlign w:val="superscript"/>
                        </w:rPr>
                        <w:t>3</w:t>
                      </w:r>
                      <w:r>
                        <w:rPr>
                          <w:color w:val="000000"/>
                        </w:rPr>
                        <w:t>; standartinis O</w:t>
                      </w:r>
                      <w:r>
                        <w:rPr>
                          <w:color w:val="000000"/>
                          <w:vertAlign w:val="subscript"/>
                        </w:rPr>
                        <w:t>2</w:t>
                      </w:r>
                      <w:r>
                        <w:rPr>
                          <w:color w:val="000000"/>
                        </w:rPr>
                        <w:t> kiekis – 6 %,  skystojo kuro – 3 %; 6–8 valandų laikotarpiu paimtų ėminių vidutinės vertės</w:t>
                      </w:r>
                      <w:r>
                        <w:rPr>
                          <w:szCs w:val="24"/>
                          <w:lang w:eastAsia="lt-LT"/>
                        </w:rPr>
                        <w:t>:</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33"/>
                        <w:gridCol w:w="4937"/>
                      </w:tblGrid>
                      <w:tr>
                        <w:tc>
                          <w:tcPr>
                            <w:tcW w:w="4368"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b/>
                                <w:bCs/>
                                <w:sz w:val="20"/>
                                <w:lang w:eastAsia="lt-LT"/>
                              </w:rPr>
                              <w:t>Teršalas</w:t>
                            </w:r>
                          </w:p>
                        </w:tc>
                        <w:tc>
                          <w:tcPr>
                            <w:tcW w:w="5271"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b/>
                                <w:bCs/>
                                <w:sz w:val="20"/>
                                <w:lang w:eastAsia="lt-LT"/>
                              </w:rPr>
                              <w:t>C</w:t>
                            </w:r>
                          </w:p>
                        </w:tc>
                      </w:tr>
                      <w:tr>
                        <w:tc>
                          <w:tcPr>
                            <w:tcW w:w="4368"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Dioksinai ir furanai</w:t>
                            </w:r>
                          </w:p>
                        </w:tc>
                        <w:tc>
                          <w:tcPr>
                            <w:tcW w:w="5271"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sz w:val="20"/>
                                <w:lang w:eastAsia="lt-LT"/>
                              </w:rPr>
                              <w:t>0,1</w:t>
                            </w:r>
                          </w:p>
                        </w:tc>
                      </w:tr>
                    </w:tbl>
                    <w:p>
                      <w:pPr>
                        <w:widowControl w:val="0"/>
                        <w:suppressAutoHyphens/>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Content>
            </w:sdt>
          </w:sdtContent>
        </w:sdt>
        <w:sdt>
          <w:sdtPr>
            <w:alias w:val="2 pr. 4 p."/>
            <w:tag w:val="part_a6e2cfb375554e9bbc2350a9c7cf73d5"/>
            <w:lock w:val="sdtLocked"/>
            <w:richText/>
          </w:sdtPr>
          <w:sdtContent>
            <w:p>
              <w:pPr>
                <w:widowControl w:val="0"/>
                <w:suppressAutoHyphens/>
                <w:jc w:val="center"/>
                <w:rPr>
                  <w:rFonts w:eastAsia="Lucida Sans Unicode"/>
                  <w:szCs w:val="24"/>
                  <w:lang w:eastAsia="lt-LT"/>
                </w:rPr>
              </w:pPr>
              <w:sdt>
                <w:sdtPr>
                  <w:alias w:val="Numeris"/>
                  <w:tag w:val="nr_a6e2cfb375554e9bbc2350a9c7cf73d5"/>
                  <w:lock w:val="sdtLocked"/>
                  <w:richText/>
                </w:sdtPr>
                <w:sdtContent>
                  <w:r>
                    <w:rPr>
                      <w:rFonts w:eastAsia="Lucida Sans Unicode"/>
                      <w:b/>
                      <w:bCs/>
                      <w:szCs w:val="24"/>
                      <w:lang w:eastAsia="lt-LT"/>
                    </w:rPr>
                    <w:t>4</w:t>
                  </w:r>
                </w:sdtContent>
              </w:sdt>
              <w:r>
                <w:rPr>
                  <w:rFonts w:eastAsia="Lucida Sans Unicode"/>
                  <w:b/>
                  <w:bCs/>
                  <w:szCs w:val="24"/>
                  <w:lang w:eastAsia="lt-LT"/>
                </w:rPr>
                <w:t>.</w:t>
              </w:r>
              <w:r>
                <w:rPr>
                  <w:rFonts w:eastAsia="Lucida Sans Unicode"/>
                  <w:szCs w:val="24"/>
                  <w:lang w:eastAsia="lt-LT"/>
                </w:rPr>
                <w:t xml:space="preserve"> </w:t>
              </w:r>
              <w:r>
                <w:rPr>
                  <w:rFonts w:eastAsia="Lucida Sans Unicode"/>
                  <w:b/>
                  <w:bCs/>
                  <w:szCs w:val="24"/>
                  <w:lang w:eastAsia="lt-LT"/>
                </w:rPr>
                <w:t>Specialieji reikalavimai įrenginiams, bendrai deginantiems atliekas ir nenurodytiems šio priedo 2 ir 3 dalyse</w:t>
              </w:r>
            </w:p>
            <w:sdt>
              <w:sdtPr>
                <w:alias w:val="2 pr. 4.1 p."/>
                <w:tag w:val="part_ff130c60a77546a6b60609730b8a4d63"/>
                <w:lock w:val="sdtLocked"/>
                <w:richText/>
              </w:sdtPr>
              <w:sdtContent>
                <w:p>
                  <w:pPr>
                    <w:widowControl w:val="0"/>
                    <w:suppressAutoHyphens/>
                    <w:ind w:firstLine="567"/>
                    <w:jc w:val="both"/>
                    <w:rPr>
                      <w:rFonts w:eastAsia="Lucida Sans Unicode"/>
                      <w:szCs w:val="24"/>
                      <w:lang w:eastAsia="lt-LT"/>
                    </w:rPr>
                  </w:pPr>
                  <w:sdt>
                    <w:sdtPr>
                      <w:alias w:val="Numeris"/>
                      <w:tag w:val="nr_ff130c60a77546a6b60609730b8a4d63"/>
                      <w:lock w:val="sdtLocked"/>
                      <w:richText/>
                    </w:sdtPr>
                    <w:sdtContent>
                      <w:r>
                        <w:rPr>
                          <w:rFonts w:eastAsia="Lucida Sans Unicode"/>
                          <w:szCs w:val="24"/>
                          <w:lang w:eastAsia="lt-LT"/>
                        </w:rPr>
                        <w:t>4.1</w:t>
                      </w:r>
                    </w:sdtContent>
                  </w:sdt>
                  <w:r>
                    <w:rPr>
                      <w:rFonts w:eastAsia="Lucida Sans Unicode"/>
                      <w:szCs w:val="24"/>
                      <w:lang w:eastAsia="lt-LT"/>
                    </w:rPr>
                    <w:t>. Įrenginiams taikomos šios išmetamųjų teršalų ribinės vertės:</w:t>
                  </w:r>
                </w:p>
                <w:sdt>
                  <w:sdtPr>
                    <w:alias w:val="2 pr. 4.1.1 p."/>
                    <w:tag w:val="part_5217e3d58fa7444f93f57abc6ff3c497"/>
                    <w:lock w:val="sdtLocked"/>
                    <w:richText/>
                  </w:sdtPr>
                  <w:sdtContent>
                    <w:p>
                      <w:pPr>
                        <w:widowControl w:val="0"/>
                        <w:suppressAutoHyphens/>
                        <w:ind w:firstLine="567"/>
                        <w:jc w:val="both"/>
                        <w:rPr>
                          <w:rFonts w:eastAsia="Lucida Sans Unicode"/>
                          <w:szCs w:val="24"/>
                          <w:lang w:eastAsia="lt-LT"/>
                        </w:rPr>
                      </w:pPr>
                      <w:sdt>
                        <w:sdtPr>
                          <w:alias w:val="Numeris"/>
                          <w:tag w:val="nr_5217e3d58fa7444f93f57abc6ff3c497"/>
                          <w:lock w:val="sdtLocked"/>
                          <w:richText/>
                        </w:sdtPr>
                        <w:sdtContent>
                          <w:r>
                            <w:rPr>
                              <w:rFonts w:eastAsia="Lucida Sans Unicode"/>
                              <w:szCs w:val="24"/>
                              <w:lang w:eastAsia="lt-LT"/>
                            </w:rPr>
                            <w:t>4.1.1</w:t>
                          </w:r>
                        </w:sdtContent>
                      </w:sdt>
                      <w:r>
                        <w:rPr>
                          <w:rFonts w:eastAsia="Lucida Sans Unicode"/>
                          <w:szCs w:val="24"/>
                          <w:lang w:eastAsia="lt-LT"/>
                        </w:rPr>
                        <w:t xml:space="preserve">. </w:t>
                      </w:r>
                      <w:r>
                        <w:rPr>
                          <w:color w:val="000000"/>
                        </w:rPr>
                        <w:t>išmetamųjų teršalų ribinės vertės, išreikštos ng/Nm</w:t>
                      </w:r>
                      <w:r>
                        <w:rPr>
                          <w:color w:val="000000"/>
                          <w:vertAlign w:val="superscript"/>
                        </w:rPr>
                        <w:t>3</w:t>
                      </w:r>
                      <w:r>
                        <w:rPr>
                          <w:color w:val="000000"/>
                        </w:rPr>
                        <w:t>; per 6–8 valandas paimtų ėminių vidutinės vertės</w:t>
                      </w:r>
                      <w:r>
                        <w:rPr>
                          <w:rFonts w:eastAsia="Lucida Sans Unicode"/>
                          <w:szCs w:val="24"/>
                          <w:lang w:eastAsia="lt-LT"/>
                        </w:rPr>
                        <w:t>:</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33"/>
                        <w:gridCol w:w="4937"/>
                      </w:tblGrid>
                      <w:tr>
                        <w:trPr>
                          <w:trHeight w:val="420"/>
                        </w:trPr>
                        <w:tc>
                          <w:tcPr>
                            <w:tcW w:w="4368"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b/>
                                <w:bCs/>
                                <w:sz w:val="20"/>
                                <w:lang w:eastAsia="lt-LT"/>
                              </w:rPr>
                              <w:t>Teršalas</w:t>
                            </w:r>
                          </w:p>
                        </w:tc>
                        <w:tc>
                          <w:tcPr>
                            <w:tcW w:w="5271"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b/>
                                <w:bCs/>
                                <w:sz w:val="20"/>
                                <w:lang w:eastAsia="lt-LT"/>
                              </w:rPr>
                              <w:t>C</w:t>
                            </w:r>
                          </w:p>
                        </w:tc>
                      </w:tr>
                      <w:tr>
                        <w:tc>
                          <w:tcPr>
                            <w:tcW w:w="4368"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Dioksinai ir furanai</w:t>
                            </w:r>
                          </w:p>
                        </w:tc>
                        <w:tc>
                          <w:tcPr>
                            <w:tcW w:w="5271"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sz w:val="20"/>
                                <w:lang w:eastAsia="lt-LT"/>
                              </w:rPr>
                              <w:t>0,1</w:t>
                            </w:r>
                          </w:p>
                        </w:tc>
                      </w:tr>
                    </w:tbl>
                    <w:p>
                      <w:pPr>
                        <w:widowControl w:val="0"/>
                        <w:suppressAutoHyphens/>
                        <w:jc w:val="both"/>
                        <w:rPr>
                          <w:rFonts w:eastAsia="Lucida Sans Unicod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2 pr. 4.1.2 p."/>
                    <w:tag w:val="part_4c8182b8deae4110a0773413c02c0955"/>
                    <w:lock w:val="sdtLocked"/>
                    <w:richText/>
                  </w:sdtPr>
                  <w:sdtContent>
                    <w:p>
                      <w:pPr>
                        <w:widowControl w:val="0"/>
                        <w:suppressAutoHyphens/>
                        <w:ind w:firstLine="567"/>
                        <w:jc w:val="both"/>
                        <w:rPr>
                          <w:rFonts w:eastAsia="Lucida Sans Unicode"/>
                          <w:szCs w:val="24"/>
                          <w:lang w:eastAsia="lt-LT"/>
                        </w:rPr>
                      </w:pPr>
                      <w:sdt>
                        <w:sdtPr>
                          <w:alias w:val="Numeris"/>
                          <w:tag w:val="nr_4c8182b8deae4110a0773413c02c0955"/>
                          <w:lock w:val="sdtLocked"/>
                          <w:richText/>
                        </w:sdtPr>
                        <w:sdtContent>
                          <w:r>
                            <w:rPr>
                              <w:rFonts w:eastAsia="Lucida Sans Unicode"/>
                              <w:szCs w:val="24"/>
                              <w:lang w:eastAsia="lt-LT"/>
                            </w:rPr>
                            <w:t>4.1.2</w:t>
                          </w:r>
                        </w:sdtContent>
                      </w:sdt>
                      <w:r>
                        <w:rPr>
                          <w:rFonts w:eastAsia="Lucida Sans Unicode"/>
                          <w:szCs w:val="24"/>
                          <w:lang w:eastAsia="lt-LT"/>
                        </w:rPr>
                        <w:t xml:space="preserve">. </w:t>
                      </w:r>
                      <w:r>
                        <w:rPr>
                          <w:color w:val="000000"/>
                        </w:rPr>
                        <w:t>išmetamųjų teršalų ribinės vertės, išreikštos mg/Nm</w:t>
                      </w:r>
                      <w:r>
                        <w:rPr>
                          <w:color w:val="000000"/>
                          <w:vertAlign w:val="superscript"/>
                        </w:rPr>
                        <w:t>3</w:t>
                      </w:r>
                      <w:r>
                        <w:rPr>
                          <w:color w:val="000000"/>
                        </w:rPr>
                        <w:t>; 0,5–8 valandų laikotarpiu paimtų ėminių vidutinės vertės</w:t>
                      </w:r>
                      <w:r>
                        <w:rPr>
                          <w:rFonts w:eastAsia="Lucida Sans Unicode"/>
                          <w:szCs w:val="24"/>
                          <w:lang w:eastAsia="lt-LT"/>
                        </w:rPr>
                        <w:t>:</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88"/>
                        <w:gridCol w:w="4882"/>
                      </w:tblGrid>
                      <w:tr>
                        <w:tc>
                          <w:tcPr>
                            <w:tcW w:w="4235"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b/>
                                <w:bCs/>
                                <w:sz w:val="20"/>
                                <w:lang w:eastAsia="lt-LT"/>
                              </w:rPr>
                              <w:t>Teršalas</w:t>
                            </w:r>
                          </w:p>
                        </w:tc>
                        <w:tc>
                          <w:tcPr>
                            <w:tcW w:w="4945"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b/>
                                <w:bCs/>
                                <w:sz w:val="20"/>
                                <w:lang w:eastAsia="lt-LT"/>
                              </w:rPr>
                              <w:t>C</w:t>
                            </w:r>
                          </w:p>
                        </w:tc>
                      </w:tr>
                      <w:tr>
                        <w:tc>
                          <w:tcPr>
                            <w:tcW w:w="4235"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Cd +Tl</w:t>
                            </w:r>
                          </w:p>
                        </w:tc>
                        <w:tc>
                          <w:tcPr>
                            <w:tcW w:w="4945"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sz w:val="20"/>
                                <w:lang w:eastAsia="lt-LT"/>
                              </w:rPr>
                              <w:t>0,05</w:t>
                            </w:r>
                          </w:p>
                        </w:tc>
                      </w:tr>
                      <w:tr>
                        <w:tc>
                          <w:tcPr>
                            <w:tcW w:w="4235"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Hg</w:t>
                            </w:r>
                          </w:p>
                        </w:tc>
                        <w:tc>
                          <w:tcPr>
                            <w:tcW w:w="4945"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sz w:val="20"/>
                                <w:lang w:eastAsia="lt-LT"/>
                              </w:rPr>
                              <w:t>0,05</w:t>
                            </w:r>
                          </w:p>
                        </w:tc>
                      </w:tr>
                    </w:tbl>
                    <w:p>
                      <w:pPr>
                        <w:tabs>
                          <w:tab w:val="left" w:pos="5670"/>
                        </w:tabs>
                        <w:ind w:left="5812" w:hanging="628"/>
                        <w:rPr>
                          <w:sz w:val="20"/>
                          <w:lang w:eastAsia="lt-LT"/>
                        </w:rPr>
                      </w:pPr>
                    </w:p>
                    <w:p>
                      <w:pPr>
                        <w:tabs>
                          <w:tab w:val="left" w:pos="5670"/>
                        </w:tabs>
                        <w:jc w:val="center"/>
                      </w:pPr>
                      <w:r>
                        <w:rPr>
                          <w:sz w:val="20"/>
                          <w:lang w:eastAsia="lt-LT"/>
                        </w:rPr>
                        <w:t>_________________</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3 pr."/>
        <w:tag w:val="part_9d44f347698e435d8ca05af9fc5f09f6"/>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ind w:firstLine="5102"/>
          </w:pPr>
          <w:r>
            <w:t>Atliekų deginimo aplinkosauginių reikalavimų</w:t>
          </w:r>
        </w:p>
        <w:p>
          <w:pPr>
            <w:ind w:firstLine="5102"/>
          </w:pPr>
          <w:sdt>
            <w:sdtPr>
              <w:alias w:val="Numeris"/>
              <w:tag w:val="nr_9d44f347698e435d8ca05af9fc5f09f6"/>
              <w:lock w:val="sdtLocked"/>
              <w:richText/>
            </w:sdtPr>
            <w:sdtContent>
              <w:r>
                <w:t>3</w:t>
              </w:r>
            </w:sdtContent>
          </w:sdt>
          <w:r>
            <w:t xml:space="preserve"> priedas</w:t>
          </w:r>
        </w:p>
        <w:p>
          <w:pPr>
            <w:ind w:firstLine="709"/>
          </w:pPr>
        </w:p>
        <w:p>
          <w:pPr>
            <w:jc w:val="center"/>
            <w:rPr>
              <w:b/>
            </w:rPr>
          </w:pPr>
          <w:sdt>
            <w:sdtPr>
              <w:alias w:val="Pavadinimas"/>
              <w:tag w:val="title_9d44f347698e435d8ca05af9fc5f09f6"/>
              <w:lock w:val="sdtLocked"/>
              <w:richText/>
            </w:sdtPr>
            <w:sdtContent>
              <w:r>
                <w:rPr>
                  <w:b/>
                </w:rPr>
                <w:t>MATAVIMO BŪDAI</w:t>
              </w:r>
            </w:sdtContent>
          </w:sdt>
        </w:p>
        <w:p>
          <w:pPr>
            <w:jc w:val="center"/>
            <w:rPr>
              <w:b/>
            </w:rPr>
          </w:pPr>
        </w:p>
        <w:sdt>
          <w:sdtPr>
            <w:alias w:val="3 pr. 1 p."/>
            <w:tag w:val="part_47c2672f8e6e4f81a98092708cfe160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47c2672f8e6e4f81a98092708cfe1606"/>
                  <w:lock w:val="sdtLocked"/>
                  <w:richText/>
                </w:sdtPr>
                <w:sdtContent>
                  <w:r>
                    <w:rPr>
                      <w:color w:val="000000"/>
                    </w:rPr>
                    <w:t>1</w:t>
                  </w:r>
                </w:sdtContent>
              </w:sdt>
              <w:r>
                <w:rPr>
                  <w:color w:val="000000"/>
                </w:rPr>
                <w:t>. Matavimai, atliekami norint nustatyti oro ir vandens teršalų koncentracijas, turi būti patikimi, </w:t>
              </w:r>
              <w:r>
                <w:rPr>
                  <w:color w:val="000000"/>
                  <w:shd w:val="clear" w:color="auto" w:fill="FFFFFF"/>
                </w:rPr>
                <w:t>reprezentatyvūs</w:t>
              </w:r>
              <w:r>
                <w:rPr>
                  <w:color w:val="000000"/>
                </w:rPr>
                <w:t> ir palyginami.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3 pr. 2 p."/>
            <w:tag w:val="part_a141f08c5a274c91bb6ba33aee70a80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a141f08c5a274c91bb6ba33aee70a80b"/>
                  <w:lock w:val="sdtLocked"/>
                  <w:richText/>
                </w:sdtPr>
                <w:sdtContent>
                  <w:r>
                    <w:rPr>
                      <w:color w:val="000000"/>
                    </w:rPr>
                    <w:t>2</w:t>
                  </w:r>
                </w:sdtContent>
              </w:sdt>
              <w:r>
                <w:rPr>
                  <w:color w:val="000000"/>
                </w:rPr>
                <w:t xml:space="preserve">. Visų teršalų, įskaitant dioksinus ir furanus, ėminių ėmimo ir analizės metodai, taip pat </w:t>
              </w:r>
              <w:r>
                <w:t>automatinių matavimo sistemų kokybės užtikrinimas ir šių sistemų kalibravimui taikomi</w:t>
              </w:r>
              <w:r>
                <w:rPr>
                  <w:b/>
                  <w:bCs/>
                </w:rPr>
                <w:t xml:space="preserve"> </w:t>
              </w:r>
              <w:r>
                <w:rPr>
                  <w:color w:val="000000"/>
                </w:rPr>
                <w:t xml:space="preserve">pamatiniai matavimo metodai atliekami pagal CEN standartus. Jei atitinkamų CEN standartų nėra, turi būti taikomi ISO, kiti tarptautiniai ar Lietuvos standartai, kurie užtikrina lygiavertės mokslinės kokybės duomenis. </w:t>
              </w:r>
              <w:r>
                <w:t xml:space="preserve">Šie reikalavimai taikomi ir ėminių ėmimą bei analizę atliekančių laboratorijų kokybės užtikrinimo sistemai. </w:t>
              </w:r>
              <w:r>
                <w:rPr>
                  <w:color w:val="000000"/>
                </w:rPr>
                <w:t>Automatinės matavimo sistemos turi būti kontroliuojamos atliekant lygiagrečius matavimus, vadovaujantis pamatiniais metodais, ne rečiau kaip kartą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4cb0d6f10e11f09cfce49e7aeb76fe">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2026-01-14,
paskelbta TAR 2026-01-14, i. k. 2026-00440            </w:t>
              </w:r>
            </w:p>
            <w:p/>
          </w:sdtContent>
        </w:sdt>
        <w:sdt>
          <w:sdtPr>
            <w:alias w:val="3 pr. 3 p."/>
            <w:tag w:val="part_1d7c923a93494725a56c53ca4ceb3deb"/>
            <w:lock w:val="sdtLocked"/>
            <w:richText/>
          </w:sdtPr>
          <w:sdtContent>
            <w:p>
              <w:pPr>
                <w:widowControl w:val="0"/>
                <w:ind w:firstLine="709"/>
                <w:jc w:val="both"/>
              </w:pPr>
              <w:sdt>
                <w:sdtPr>
                  <w:alias w:val="Numeris"/>
                  <w:tag w:val="nr_1d7c923a93494725a56c53ca4ceb3deb"/>
                  <w:lock w:val="sdtLocked"/>
                  <w:richText/>
                </w:sdtPr>
                <w:sdtContent>
                  <w:r>
                    <w:t>3</w:t>
                  </w:r>
                </w:sdtContent>
              </w:sdt>
              <w:r>
                <w:t>. Nustatant išmetamųjų teršalų paros ribinės vertės lygį, vieno matavimo rezultatas 95% patikimumo intervale neturi viršyti šių išmetamųjų teršalų ribinių verčių procentų:</w:t>
              </w:r>
            </w:p>
            <w:p>
              <w:pPr>
                <w:ind w:firstLine="709"/>
              </w:pPr>
            </w:p>
            <w:tbl>
              <w:tblPr>
                <w:tblW w:w="9637" w:type="dxa"/>
                <w:tblLayout w:type="fixed"/>
                <w:tblCellMar>
                  <w:left w:w="40" w:type="dxa"/>
                  <w:right w:w="40" w:type="dxa"/>
                </w:tblCellMar>
                <w:tblLook w:val="0000" w:firstRow="0" w:lastRow="0" w:firstColumn="0" w:lastColumn="0" w:noHBand="0" w:noVBand="0"/>
              </w:tblPr>
              <w:tblGrid>
                <w:gridCol w:w="5549"/>
                <w:gridCol w:w="4088"/>
              </w:tblGrid>
              <w:tr>
                <w:trPr>
                  <w:cantSplit/>
                  <w:trHeight w:val="23"/>
                </w:trPr>
                <w:tc>
                  <w:tcPr>
                    <w:tcW w:w="5549" w:type="dxa"/>
                    <w:tcBorders>
                      <w:top w:val="single" w:sz="6" w:space="0" w:color="auto"/>
                      <w:left w:val="nil"/>
                      <w:bottom w:val="single" w:sz="6" w:space="0" w:color="auto"/>
                      <w:right w:val="single" w:sz="6" w:space="0" w:color="auto"/>
                    </w:tcBorders>
                    <w:shd w:val="clear" w:color="auto" w:fill="FFFFFF"/>
                  </w:tcPr>
                  <w:p>
                    <w:pPr>
                      <w:widowControl w:val="0"/>
                      <w:rPr>
                        <w:sz w:val="20"/>
                      </w:rPr>
                    </w:pPr>
                    <w:r>
                      <w:rPr>
                        <w:sz w:val="20"/>
                      </w:rPr>
                      <w:t>Anglies monoksidas</w:t>
                    </w:r>
                  </w:p>
                </w:tc>
                <w:tc>
                  <w:tcPr>
                    <w:tcW w:w="4088"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10%</w:t>
                    </w:r>
                  </w:p>
                </w:tc>
              </w:tr>
              <w:tr>
                <w:trPr>
                  <w:cantSplit/>
                  <w:trHeight w:val="23"/>
                </w:trPr>
                <w:tc>
                  <w:tcPr>
                    <w:tcW w:w="5549" w:type="dxa"/>
                    <w:tcBorders>
                      <w:top w:val="single" w:sz="6" w:space="0" w:color="auto"/>
                      <w:left w:val="nil"/>
                      <w:bottom w:val="single" w:sz="6" w:space="0" w:color="auto"/>
                      <w:right w:val="single" w:sz="6" w:space="0" w:color="auto"/>
                    </w:tcBorders>
                    <w:shd w:val="clear" w:color="auto" w:fill="FFFFFF"/>
                  </w:tcPr>
                  <w:p>
                    <w:pPr>
                      <w:widowControl w:val="0"/>
                      <w:rPr>
                        <w:sz w:val="20"/>
                      </w:rPr>
                    </w:pPr>
                    <w:r>
                      <w:rPr>
                        <w:sz w:val="20"/>
                      </w:rPr>
                      <w:t>Sieros dioksidas</w:t>
                    </w:r>
                  </w:p>
                </w:tc>
                <w:tc>
                  <w:tcPr>
                    <w:tcW w:w="4088"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20%</w:t>
                    </w:r>
                  </w:p>
                </w:tc>
              </w:tr>
              <w:tr>
                <w:trPr>
                  <w:cantSplit/>
                  <w:trHeight w:val="23"/>
                </w:trPr>
                <w:tc>
                  <w:tcPr>
                    <w:tcW w:w="5549" w:type="dxa"/>
                    <w:tcBorders>
                      <w:top w:val="single" w:sz="6" w:space="0" w:color="auto"/>
                      <w:left w:val="nil"/>
                      <w:bottom w:val="single" w:sz="6" w:space="0" w:color="auto"/>
                      <w:right w:val="single" w:sz="6" w:space="0" w:color="auto"/>
                    </w:tcBorders>
                    <w:shd w:val="clear" w:color="auto" w:fill="FFFFFF"/>
                  </w:tcPr>
                  <w:p>
                    <w:pPr>
                      <w:widowControl w:val="0"/>
                      <w:rPr>
                        <w:sz w:val="20"/>
                      </w:rPr>
                    </w:pPr>
                    <w:r>
                      <w:rPr>
                        <w:sz w:val="20"/>
                      </w:rPr>
                      <w:t>Azoto dioksidas</w:t>
                    </w:r>
                  </w:p>
                </w:tc>
                <w:tc>
                  <w:tcPr>
                    <w:tcW w:w="4088"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20%</w:t>
                    </w:r>
                  </w:p>
                </w:tc>
              </w:tr>
              <w:tr>
                <w:trPr>
                  <w:cantSplit/>
                  <w:trHeight w:val="23"/>
                </w:trPr>
                <w:tc>
                  <w:tcPr>
                    <w:tcW w:w="5549" w:type="dxa"/>
                    <w:tcBorders>
                      <w:top w:val="single" w:sz="6" w:space="0" w:color="auto"/>
                      <w:left w:val="nil"/>
                      <w:bottom w:val="single" w:sz="6" w:space="0" w:color="auto"/>
                      <w:right w:val="single" w:sz="6" w:space="0" w:color="auto"/>
                    </w:tcBorders>
                    <w:shd w:val="clear" w:color="auto" w:fill="FFFFFF"/>
                  </w:tcPr>
                  <w:p>
                    <w:pPr>
                      <w:widowControl w:val="0"/>
                      <w:rPr>
                        <w:sz w:val="20"/>
                      </w:rPr>
                    </w:pPr>
                    <w:r>
                      <w:rPr>
                        <w:sz w:val="20"/>
                      </w:rPr>
                      <w:t>Bendras dulkių kiekis</w:t>
                    </w:r>
                  </w:p>
                </w:tc>
                <w:tc>
                  <w:tcPr>
                    <w:tcW w:w="4088"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30%</w:t>
                    </w:r>
                  </w:p>
                </w:tc>
              </w:tr>
              <w:tr>
                <w:trPr>
                  <w:cantSplit/>
                  <w:trHeight w:val="23"/>
                </w:trPr>
                <w:tc>
                  <w:tcPr>
                    <w:tcW w:w="5549" w:type="dxa"/>
                    <w:tcBorders>
                      <w:top w:val="single" w:sz="6" w:space="0" w:color="auto"/>
                      <w:left w:val="nil"/>
                      <w:bottom w:val="single" w:sz="6" w:space="0" w:color="auto"/>
                      <w:right w:val="single" w:sz="6" w:space="0" w:color="auto"/>
                    </w:tcBorders>
                    <w:shd w:val="clear" w:color="auto" w:fill="FFFFFF"/>
                  </w:tcPr>
                  <w:p>
                    <w:pPr>
                      <w:widowControl w:val="0"/>
                      <w:rPr>
                        <w:sz w:val="20"/>
                      </w:rPr>
                    </w:pPr>
                    <w:r>
                      <w:rPr>
                        <w:sz w:val="20"/>
                      </w:rPr>
                      <w:t>Bendras organinės anglies kiekis</w:t>
                    </w:r>
                  </w:p>
                </w:tc>
                <w:tc>
                  <w:tcPr>
                    <w:tcW w:w="4088"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30%</w:t>
                    </w:r>
                  </w:p>
                </w:tc>
              </w:tr>
              <w:tr>
                <w:trPr>
                  <w:cantSplit/>
                  <w:trHeight w:val="23"/>
                </w:trPr>
                <w:tc>
                  <w:tcPr>
                    <w:tcW w:w="5549" w:type="dxa"/>
                    <w:tcBorders>
                      <w:top w:val="single" w:sz="6" w:space="0" w:color="auto"/>
                      <w:left w:val="nil"/>
                      <w:bottom w:val="single" w:sz="6" w:space="0" w:color="auto"/>
                      <w:right w:val="single" w:sz="6" w:space="0" w:color="auto"/>
                    </w:tcBorders>
                    <w:shd w:val="clear" w:color="auto" w:fill="FFFFFF"/>
                  </w:tcPr>
                  <w:p>
                    <w:pPr>
                      <w:widowControl w:val="0"/>
                      <w:rPr>
                        <w:sz w:val="20"/>
                      </w:rPr>
                    </w:pPr>
                    <w:r>
                      <w:rPr>
                        <w:sz w:val="20"/>
                      </w:rPr>
                      <w:t>Vandenilio chloridas</w:t>
                    </w:r>
                  </w:p>
                </w:tc>
                <w:tc>
                  <w:tcPr>
                    <w:tcW w:w="4088"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40%</w:t>
                    </w:r>
                  </w:p>
                </w:tc>
              </w:tr>
              <w:tr>
                <w:trPr>
                  <w:cantSplit/>
                  <w:trHeight w:val="23"/>
                </w:trPr>
                <w:tc>
                  <w:tcPr>
                    <w:tcW w:w="5549" w:type="dxa"/>
                    <w:tcBorders>
                      <w:top w:val="single" w:sz="6" w:space="0" w:color="auto"/>
                      <w:left w:val="nil"/>
                      <w:bottom w:val="single" w:sz="6" w:space="0" w:color="auto"/>
                      <w:right w:val="single" w:sz="6" w:space="0" w:color="auto"/>
                    </w:tcBorders>
                    <w:shd w:val="clear" w:color="auto" w:fill="FFFFFF"/>
                  </w:tcPr>
                  <w:p>
                    <w:pPr>
                      <w:widowControl w:val="0"/>
                      <w:rPr>
                        <w:sz w:val="20"/>
                      </w:rPr>
                    </w:pPr>
                    <w:r>
                      <w:rPr>
                        <w:sz w:val="20"/>
                      </w:rPr>
                      <w:t>Vandenilio fluoridas</w:t>
                    </w:r>
                  </w:p>
                </w:tc>
                <w:tc>
                  <w:tcPr>
                    <w:tcW w:w="4088"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40%</w:t>
                    </w:r>
                  </w:p>
                </w:tc>
              </w:tr>
            </w:tbl>
            <w:p>
              <w:pPr>
                <w:widowControl w:val="0"/>
                <w:ind w:firstLine="709"/>
                <w:jc w:val="both"/>
                <w:rPr>
                  <w:color w:val="000000"/>
                  <w:szCs w:val="24"/>
                  <w:lang w:eastAsia="lt-LT"/>
                </w:rPr>
              </w:pPr>
            </w:p>
            <w:p>
              <w:pPr>
                <w:widowControl w:val="0"/>
                <w:ind w:firstLine="709"/>
                <w:jc w:val="both"/>
              </w:pPr>
              <w:r>
                <w:rPr>
                  <w:color w:val="000000"/>
                  <w:szCs w:val="24"/>
                  <w:lang w:eastAsia="lt-LT"/>
                </w:rPr>
                <w:t>Periodiški į orą ir vandenį išmetamų teršalų matavimai atliekami, kaip nurodyta 1 ir 2 punktuose.</w:t>
              </w:r>
            </w:p>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sdtContent>
    </w:sdt>
    <w:sdt>
      <w:sdtPr>
        <w:alias w:val="4 pr."/>
        <w:tag w:val="part_e7a90edf525647819f02c6ca8b439d14"/>
        <w:lock w:val="sdtLocked"/>
        <w:richText/>
      </w:sdtPr>
      <w:sdtContent>
        <w:p>
          <w:pPr>
            <w:ind w:left="6237" w:hanging="1"/>
            <w:sectPr>
              <w:pgSz w:w="11907" w:h="16839"/>
              <w:pgMar w:top="1134" w:right="567" w:bottom="1134" w:left="1701" w:header="567" w:footer="567" w:gutter="0"/>
              <w:pgNumType w:start="1"/>
              <w:cols w:space="1296"/>
              <w:titlePg/>
              <w:docGrid w:linePitch="360"/>
            </w:sectPr>
          </w:pPr>
        </w:p>
        <w:p>
          <w:pPr>
            <w:ind w:left="6237" w:hanging="1"/>
          </w:pPr>
          <w:r>
            <w:t>Atliekų deginimo aplinkosauginių reikalavimų</w:t>
          </w:r>
        </w:p>
        <w:p>
          <w:pPr>
            <w:ind w:left="6237" w:hanging="1"/>
          </w:pPr>
          <w:sdt>
            <w:sdtPr>
              <w:alias w:val="Numeris"/>
              <w:tag w:val="nr_e7a90edf525647819f02c6ca8b439d14"/>
              <w:lock w:val="sdtLocked"/>
              <w:richText/>
            </w:sdtPr>
            <w:sdtContent>
              <w:r>
                <w:t>4</w:t>
              </w:r>
            </w:sdtContent>
          </w:sdt>
          <w:r>
            <w:t xml:space="preserve"> priedas</w:t>
          </w:r>
        </w:p>
        <w:p>
          <w:pPr>
            <w:ind w:firstLine="709"/>
          </w:pPr>
        </w:p>
        <w:p>
          <w:pPr>
            <w:jc w:val="center"/>
            <w:rPr>
              <w:b/>
            </w:rPr>
          </w:pPr>
          <w:sdt>
            <w:sdtPr>
              <w:alias w:val="Pavadinimas"/>
              <w:tag w:val="title_e7a90edf525647819f02c6ca8b439d14"/>
              <w:lock w:val="sdtLocked"/>
              <w:richText/>
            </w:sdtPr>
            <w:sdtContent>
              <w:r>
                <w:rPr>
                  <w:b/>
                </w:rPr>
                <w:t>IŠMETAMŲJŲ DUJŲ VALYMO NUOTEKOSE ESANČIŲ TERŠALŲ RIBINĖS VERTĖS</w:t>
              </w:r>
            </w:sdtContent>
          </w:sdt>
        </w:p>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53"/>
            <w:gridCol w:w="1726"/>
            <w:gridCol w:w="2158"/>
          </w:tblGrid>
          <w:tr>
            <w:tc>
              <w:tcPr>
                <w:tcW w:w="5670" w:type="dxa"/>
                <w:tcBorders>
                  <w:top w:val="single" w:sz="4" w:space="0" w:color="auto"/>
                  <w:left w:val="single" w:sz="4" w:space="0" w:color="auto"/>
                  <w:bottom w:val="single" w:sz="4" w:space="0" w:color="auto"/>
                  <w:right w:val="single" w:sz="4" w:space="0" w:color="auto"/>
                </w:tcBorders>
              </w:tcPr>
              <w:p>
                <w:pPr>
                  <w:jc w:val="center"/>
                  <w:rPr>
                    <w:b/>
                    <w:sz w:val="20"/>
                    <w:szCs w:val="24"/>
                  </w:rPr>
                </w:pPr>
                <w:r>
                  <w:rPr>
                    <w:b/>
                    <w:sz w:val="20"/>
                    <w:szCs w:val="24"/>
                    <w:lang w:eastAsia="lt-LT"/>
                  </w:rPr>
                  <w:t>Teršalai</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b/>
                    <w:sz w:val="20"/>
                    <w:szCs w:val="24"/>
                  </w:rPr>
                </w:pPr>
                <w:r>
                  <w:rPr>
                    <w:b/>
                    <w:sz w:val="20"/>
                    <w:szCs w:val="24"/>
                    <w:lang w:eastAsia="lt-LT"/>
                  </w:rPr>
                  <w:t>Nefiltruotų ėminių teršalų koncentracijų, išreikštų masės vienetais, ribinės vertės</w:t>
                </w:r>
              </w:p>
            </w:tc>
          </w:tr>
          <w:tr>
            <w:trPr>
              <w:cantSplit/>
            </w:trP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1. Bendras suspenduotų kietųjų dalelių kiekis</w:t>
                </w:r>
              </w:p>
            </w:tc>
            <w:tc>
              <w:tcPr>
                <w:tcW w:w="1701" w:type="dxa"/>
                <w:tcBorders>
                  <w:top w:val="single" w:sz="4" w:space="0" w:color="auto"/>
                  <w:left w:val="single" w:sz="4" w:space="0" w:color="auto"/>
                  <w:bottom w:val="single" w:sz="4" w:space="0" w:color="auto"/>
                  <w:right w:val="single" w:sz="4" w:space="0" w:color="auto"/>
                </w:tcBorders>
              </w:tcPr>
              <w:p>
                <w:pPr>
                  <w:jc w:val="center"/>
                  <w:rPr>
                    <w:sz w:val="20"/>
                    <w:szCs w:val="24"/>
                    <w:u w:val="single"/>
                  </w:rPr>
                </w:pPr>
                <w:r>
                  <w:rPr>
                    <w:sz w:val="20"/>
                    <w:szCs w:val="24"/>
                    <w:u w:val="single"/>
                    <w:lang w:eastAsia="lt-LT"/>
                  </w:rPr>
                  <w:t>95 %</w:t>
                </w:r>
              </w:p>
              <w:p>
                <w:pPr>
                  <w:jc w:val="center"/>
                  <w:rPr>
                    <w:sz w:val="20"/>
                    <w:szCs w:val="24"/>
                  </w:rPr>
                </w:pPr>
                <w:r>
                  <w:rPr>
                    <w:sz w:val="20"/>
                    <w:szCs w:val="24"/>
                    <w:lang w:eastAsia="lt-LT"/>
                  </w:rPr>
                  <w:t>30 mg/l</w:t>
                </w:r>
              </w:p>
            </w:tc>
            <w:tc>
              <w:tcPr>
                <w:tcW w:w="2127" w:type="dxa"/>
                <w:tcBorders>
                  <w:top w:val="single" w:sz="4" w:space="0" w:color="auto"/>
                  <w:left w:val="single" w:sz="4" w:space="0" w:color="auto"/>
                  <w:bottom w:val="single" w:sz="4" w:space="0" w:color="auto"/>
                  <w:right w:val="single" w:sz="4" w:space="0" w:color="auto"/>
                </w:tcBorders>
              </w:tcPr>
              <w:p>
                <w:pPr>
                  <w:jc w:val="center"/>
                  <w:rPr>
                    <w:sz w:val="20"/>
                    <w:szCs w:val="24"/>
                    <w:u w:val="single"/>
                  </w:rPr>
                </w:pPr>
                <w:r>
                  <w:rPr>
                    <w:sz w:val="20"/>
                    <w:szCs w:val="24"/>
                    <w:u w:val="single"/>
                    <w:lang w:eastAsia="lt-LT"/>
                  </w:rPr>
                  <w:t>100 %</w:t>
                </w:r>
              </w:p>
              <w:p>
                <w:pPr>
                  <w:jc w:val="center"/>
                  <w:rPr>
                    <w:sz w:val="20"/>
                    <w:szCs w:val="24"/>
                  </w:rPr>
                </w:pPr>
                <w:r>
                  <w:rPr>
                    <w:sz w:val="20"/>
                    <w:szCs w:val="24"/>
                    <w:lang w:eastAsia="lt-LT"/>
                  </w:rPr>
                  <w:t>45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2. Gyvsidabris ir jo junginiai, išreikšti gyvsidabriu (Hg)</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0,03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3. Kadmis ir jo junginiai, išreikšti kadmiu (Cd)</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0,05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4. Talis ir jo junginiai, išreikšti taliu (Tl)</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0,05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5. Arsenas ir jo junginiai, išreikšti arsenu (As)</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0,15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6. Švinas ir jo junginiai, išreikšti švinu (Pb)</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0,2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7. Chromas ir jo junginiai, išreikšti chromu (Cr)</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0,5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8. Varis ir jo junginiai, išreikšti variu (Cu)</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0,5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9. Nikelis ir jo junginiai, išreikšti nikeliu (Ni)</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0,5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10. Cinkas ir jo junginiai, išreikšti cinku (Zn)</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1,5 mg/l</w:t>
                </w:r>
              </w:p>
            </w:tc>
          </w:tr>
          <w:tr>
            <w:tc>
              <w:tcPr>
                <w:tcW w:w="5670"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11. Dioksinai ir furanai</w:t>
                </w:r>
              </w:p>
            </w:tc>
            <w:tc>
              <w:tcPr>
                <w:tcW w:w="3828" w:type="dxa"/>
                <w:gridSpan w:val="2"/>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lang w:eastAsia="lt-LT"/>
                  </w:rPr>
                  <w:t>0,3 ng/l</w:t>
                </w:r>
              </w:p>
            </w:tc>
          </w:tr>
        </w:tbl>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5 pr."/>
        <w:tag w:val="part_b40afe903b8d4f3f9e5db6ba29f9a3de"/>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Cs w:val="24"/>
              <w:lang w:eastAsia="lt-LT"/>
            </w:rPr>
          </w:pPr>
          <w:r>
            <w:rPr>
              <w:szCs w:val="24"/>
              <w:lang w:eastAsia="lt-LT"/>
            </w:rPr>
            <w:t>Atliekų deginimo aplinkosauginių reikalavimų</w:t>
          </w:r>
        </w:p>
        <w:p>
          <w:pPr>
            <w:ind w:left="4535"/>
            <w:rPr>
              <w:szCs w:val="24"/>
              <w:lang w:eastAsia="lt-LT"/>
            </w:rPr>
          </w:pPr>
          <w:sdt>
            <w:sdtPr>
              <w:alias w:val="Numeris"/>
              <w:tag w:val="nr_b40afe903b8d4f3f9e5db6ba29f9a3de"/>
              <w:lock w:val="sdtLocked"/>
              <w:richText/>
            </w:sdtPr>
            <w:sdtContent>
              <w:r>
                <w:rPr>
                  <w:szCs w:val="24"/>
                  <w:lang w:eastAsia="lt-LT"/>
                </w:rPr>
                <w:t>5</w:t>
              </w:r>
            </w:sdtContent>
          </w:sdt>
          <w:r>
            <w:rPr>
              <w:szCs w:val="24"/>
              <w:lang w:eastAsia="lt-LT"/>
            </w:rPr>
            <w:t xml:space="preserve"> priedas</w:t>
          </w:r>
        </w:p>
        <w:p>
          <w:pPr>
            <w:widowControl w:val="0"/>
            <w:suppressAutoHyphens/>
            <w:ind w:firstLine="567"/>
            <w:jc w:val="center"/>
            <w:rPr>
              <w:rFonts w:eastAsia="Lucida Sans Unicode"/>
              <w:b/>
              <w:bCs/>
              <w:caps/>
              <w:szCs w:val="24"/>
              <w:lang w:eastAsia="lt-LT"/>
            </w:rPr>
          </w:pPr>
        </w:p>
        <w:p>
          <w:pPr>
            <w:widowControl w:val="0"/>
            <w:suppressAutoHyphens/>
            <w:jc w:val="center"/>
            <w:rPr>
              <w:rFonts w:eastAsia="Lucida Sans Unicode"/>
              <w:b/>
              <w:bCs/>
              <w:szCs w:val="24"/>
              <w:lang w:eastAsia="lt-LT"/>
            </w:rPr>
          </w:pPr>
          <w:sdt>
            <w:sdtPr>
              <w:alias w:val="Pavadinimas"/>
              <w:tag w:val="title_b40afe903b8d4f3f9e5db6ba29f9a3de"/>
              <w:lock w:val="sdtLocked"/>
              <w:richText/>
            </w:sdtPr>
            <w:sdtContent>
              <w:r>
                <w:rPr>
                  <w:rFonts w:eastAsia="Lucida Sans Unicode"/>
                  <w:b/>
                  <w:bCs/>
                  <w:caps/>
                  <w:szCs w:val="24"/>
                  <w:lang w:eastAsia="lt-LT"/>
                </w:rPr>
                <w:t>Į Aplinkos</w:t>
              </w:r>
              <w:r>
                <w:rPr>
                  <w:rFonts w:eastAsia="Lucida Sans Unicode"/>
                  <w:b/>
                  <w:bCs/>
                  <w:szCs w:val="24"/>
                  <w:lang w:eastAsia="lt-LT"/>
                </w:rPr>
                <w:t xml:space="preserve"> ORĄ IŠMETAMŲ TERŠALŲ RIBINĖS VERTĖS</w:t>
              </w:r>
            </w:sdtContent>
          </w:sdt>
        </w:p>
        <w:p>
          <w:pPr>
            <w:widowControl w:val="0"/>
            <w:suppressAutoHyphens/>
            <w:ind w:firstLine="567"/>
            <w:jc w:val="both"/>
            <w:rPr>
              <w:rFonts w:eastAsia="Lucida Sans Unicode"/>
              <w:b/>
              <w:bCs/>
              <w:szCs w:val="24"/>
              <w:lang w:eastAsia="lt-LT"/>
            </w:rPr>
          </w:pPr>
        </w:p>
        <w:p>
          <w:pPr>
            <w:ind w:firstLine="567"/>
            <w:jc w:val="both"/>
            <w:rPr>
              <w:szCs w:val="24"/>
              <w:lang w:eastAsia="lt-LT"/>
            </w:rPr>
          </w:pPr>
          <w:r>
            <w:rPr>
              <w:szCs w:val="24"/>
              <w:lang w:eastAsia="lt-LT"/>
            </w:rPr>
            <w:t>Visos išmetamų teršalų ribinės vertės apskaičiuojamos esant 273,15 K temperatūrai ir 101,3 kPa slėgiui, atėmus vandens garų kiekį išmetamose dujose.</w:t>
          </w:r>
        </w:p>
        <w:p>
          <w:pPr>
            <w:ind w:firstLine="567"/>
            <w:jc w:val="both"/>
            <w:rPr>
              <w:bCs/>
              <w:szCs w:val="24"/>
              <w:lang w:eastAsia="lt-LT"/>
            </w:rPr>
          </w:pPr>
          <w:r>
            <w:rPr>
              <w:szCs w:val="24"/>
              <w:lang w:eastAsia="lt-LT"/>
            </w:rPr>
            <w:t>Jos apskaičiuojamos pagal standartinę išmetamose dujose esančio deguonies 11 % normą, išskyrus atvejus, kai deginamos mineralinės alyvos atliekos, apibrėžtos Atliekų tvarkymo įstatyme (išmetamų teršalų ribinės vertės apskaičiuojamos pagal standartinę 3 % deguonies normą) ir Reikalavimų 52 punkte nurodytus atvejus.</w:t>
          </w:r>
        </w:p>
        <w:p>
          <w:pPr>
            <w:widowControl w:val="0"/>
            <w:suppressAutoHyphens/>
            <w:ind w:firstLine="567"/>
            <w:jc w:val="both"/>
            <w:rPr>
              <w:rFonts w:eastAsia="Lucida Sans Unicode"/>
              <w:szCs w:val="24"/>
              <w:lang w:eastAsia="lt-LT"/>
            </w:rPr>
          </w:pPr>
        </w:p>
        <w:sdt>
          <w:sdtPr>
            <w:alias w:val="5 pr. 1 p."/>
            <w:tag w:val="part_9b958d6ea2b249a4a51b218919e4349c"/>
            <w:lock w:val="sdtLocked"/>
            <w:richText/>
          </w:sdtPr>
          <w:sdtContent>
            <w:p>
              <w:pPr>
                <w:widowControl w:val="0"/>
                <w:suppressAutoHyphens/>
                <w:jc w:val="center"/>
                <w:rPr>
                  <w:rFonts w:eastAsia="Lucida Sans Unicode"/>
                  <w:szCs w:val="24"/>
                  <w:lang w:val="en-US" w:eastAsia="lt-LT"/>
                </w:rPr>
              </w:pPr>
              <w:sdt>
                <w:sdtPr>
                  <w:alias w:val="Numeris"/>
                  <w:tag w:val="nr_9b958d6ea2b249a4a51b218919e4349c"/>
                  <w:lock w:val="sdtLocked"/>
                  <w:richText/>
                </w:sdtPr>
                <w:sdtContent>
                  <w:r>
                    <w:rPr>
                      <w:rFonts w:eastAsia="Lucida Sans Unicode"/>
                      <w:b/>
                      <w:bCs/>
                      <w:szCs w:val="24"/>
                      <w:lang w:eastAsia="lt-LT"/>
                    </w:rPr>
                    <w:t>1</w:t>
                  </w:r>
                </w:sdtContent>
              </w:sdt>
              <w:r>
                <w:rPr>
                  <w:rFonts w:eastAsia="Lucida Sans Unicode"/>
                  <w:b/>
                  <w:bCs/>
                  <w:szCs w:val="24"/>
                  <w:lang w:eastAsia="lt-LT"/>
                </w:rPr>
                <w:t>. Vidutinės paros vertės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48"/>
                <w:gridCol w:w="2622"/>
              </w:tblGrid>
              <w:tr>
                <w:tc>
                  <w:tcPr>
                    <w:tcW w:w="6531" w:type="dxa"/>
                    <w:tcMar>
                      <w:top w:w="0" w:type="dxa"/>
                      <w:left w:w="108" w:type="dxa"/>
                      <w:bottom w:w="0" w:type="dxa"/>
                      <w:right w:w="108" w:type="dxa"/>
                    </w:tcMar>
                  </w:tcPr>
                  <w:p>
                    <w:pPr>
                      <w:widowControl w:val="0"/>
                      <w:suppressAutoHyphens/>
                      <w:rPr>
                        <w:rFonts w:eastAsia="Lucida Sans Unicode"/>
                        <w:sz w:val="20"/>
                        <w:lang w:eastAsia="lt-LT"/>
                      </w:rPr>
                    </w:pPr>
                    <w:r>
                      <w:rPr>
                        <w:rFonts w:eastAsia="Lucida Sans Unicode"/>
                        <w:sz w:val="20"/>
                        <w:lang w:eastAsia="lt-LT"/>
                      </w:rPr>
                      <w:t>Bendras dulkių kiekis</w:t>
                    </w:r>
                  </w:p>
                </w:tc>
                <w:tc>
                  <w:tcPr>
                    <w:tcW w:w="2649"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10 mg/Nm</w:t>
                    </w:r>
                    <w:r>
                      <w:rPr>
                        <w:rFonts w:eastAsia="Lucida Sans Unicode"/>
                        <w:sz w:val="20"/>
                        <w:vertAlign w:val="superscript"/>
                        <w:lang w:eastAsia="lt-LT"/>
                      </w:rPr>
                      <w:t>3</w:t>
                    </w:r>
                  </w:p>
                </w:tc>
              </w:tr>
              <w:tr>
                <w:tc>
                  <w:tcPr>
                    <w:tcW w:w="6531" w:type="dxa"/>
                    <w:tcMar>
                      <w:top w:w="0" w:type="dxa"/>
                      <w:left w:w="108" w:type="dxa"/>
                      <w:bottom w:w="0" w:type="dxa"/>
                      <w:right w:w="108" w:type="dxa"/>
                    </w:tcMar>
                  </w:tcPr>
                  <w:p>
                    <w:pPr>
                      <w:widowControl w:val="0"/>
                      <w:suppressAutoHyphens/>
                      <w:rPr>
                        <w:rFonts w:eastAsia="Lucida Sans Unicode"/>
                        <w:sz w:val="20"/>
                        <w:lang w:eastAsia="lt-LT"/>
                      </w:rPr>
                    </w:pPr>
                    <w:r>
                      <w:rPr>
                        <w:rFonts w:eastAsia="Lucida Sans Unicode"/>
                        <w:sz w:val="20"/>
                        <w:lang w:eastAsia="lt-LT"/>
                      </w:rPr>
                      <w:t>Dujinės ir garų pavidalo organinės medžiagos, išreikštos kaip bendroji organinė anglis</w:t>
                    </w:r>
                  </w:p>
                </w:tc>
                <w:tc>
                  <w:tcPr>
                    <w:tcW w:w="2649"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10 mg/Nm</w:t>
                    </w:r>
                    <w:r>
                      <w:rPr>
                        <w:rFonts w:eastAsia="Lucida Sans Unicode"/>
                        <w:sz w:val="20"/>
                        <w:vertAlign w:val="superscript"/>
                        <w:lang w:eastAsia="lt-LT"/>
                      </w:rPr>
                      <w:t>3</w:t>
                    </w:r>
                  </w:p>
                </w:tc>
              </w:tr>
              <w:tr>
                <w:tc>
                  <w:tcPr>
                    <w:tcW w:w="6531" w:type="dxa"/>
                    <w:tcMar>
                      <w:top w:w="0" w:type="dxa"/>
                      <w:left w:w="108" w:type="dxa"/>
                      <w:bottom w:w="0" w:type="dxa"/>
                      <w:right w:w="108" w:type="dxa"/>
                    </w:tcMar>
                  </w:tcPr>
                  <w:p>
                    <w:pPr>
                      <w:widowControl w:val="0"/>
                      <w:suppressAutoHyphens/>
                      <w:rPr>
                        <w:rFonts w:eastAsia="Lucida Sans Unicode"/>
                        <w:sz w:val="20"/>
                        <w:lang w:eastAsia="lt-LT"/>
                      </w:rPr>
                    </w:pPr>
                    <w:r>
                      <w:rPr>
                        <w:rFonts w:eastAsia="Lucida Sans Unicode"/>
                        <w:sz w:val="20"/>
                        <w:lang w:eastAsia="lt-LT"/>
                      </w:rPr>
                      <w:t>Vandenilio chloridas (HCl)</w:t>
                    </w:r>
                  </w:p>
                </w:tc>
                <w:tc>
                  <w:tcPr>
                    <w:tcW w:w="2649"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10 mg/Nm</w:t>
                    </w:r>
                    <w:r>
                      <w:rPr>
                        <w:rFonts w:eastAsia="Lucida Sans Unicode"/>
                        <w:sz w:val="20"/>
                        <w:vertAlign w:val="superscript"/>
                        <w:lang w:eastAsia="lt-LT"/>
                      </w:rPr>
                      <w:t>3</w:t>
                    </w:r>
                  </w:p>
                </w:tc>
              </w:tr>
              <w:tr>
                <w:tc>
                  <w:tcPr>
                    <w:tcW w:w="6531" w:type="dxa"/>
                    <w:tcMar>
                      <w:top w:w="0" w:type="dxa"/>
                      <w:left w:w="108" w:type="dxa"/>
                      <w:bottom w:w="0" w:type="dxa"/>
                      <w:right w:w="108" w:type="dxa"/>
                    </w:tcMar>
                  </w:tcPr>
                  <w:p>
                    <w:pPr>
                      <w:widowControl w:val="0"/>
                      <w:suppressAutoHyphens/>
                      <w:rPr>
                        <w:rFonts w:eastAsia="Lucida Sans Unicode"/>
                        <w:sz w:val="20"/>
                        <w:lang w:eastAsia="lt-LT"/>
                      </w:rPr>
                    </w:pPr>
                    <w:r>
                      <w:rPr>
                        <w:rFonts w:eastAsia="Lucida Sans Unicode"/>
                        <w:sz w:val="20"/>
                        <w:lang w:eastAsia="lt-LT"/>
                      </w:rPr>
                      <w:t>Vandenilio fluoridas (HF)</w:t>
                    </w:r>
                  </w:p>
                </w:tc>
                <w:tc>
                  <w:tcPr>
                    <w:tcW w:w="2649"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1 mg/Nm</w:t>
                    </w:r>
                    <w:r>
                      <w:rPr>
                        <w:rFonts w:eastAsia="Lucida Sans Unicode"/>
                        <w:sz w:val="20"/>
                        <w:vertAlign w:val="superscript"/>
                        <w:lang w:eastAsia="lt-LT"/>
                      </w:rPr>
                      <w:t>3</w:t>
                    </w:r>
                  </w:p>
                </w:tc>
              </w:tr>
              <w:tr>
                <w:tc>
                  <w:tcPr>
                    <w:tcW w:w="6531" w:type="dxa"/>
                    <w:tcMar>
                      <w:top w:w="0" w:type="dxa"/>
                      <w:left w:w="108" w:type="dxa"/>
                      <w:bottom w:w="0" w:type="dxa"/>
                      <w:right w:w="108" w:type="dxa"/>
                    </w:tcMar>
                  </w:tcPr>
                  <w:p>
                    <w:pPr>
                      <w:widowControl w:val="0"/>
                      <w:suppressAutoHyphens/>
                      <w:rPr>
                        <w:rFonts w:eastAsia="Lucida Sans Unicode"/>
                        <w:sz w:val="20"/>
                        <w:lang w:eastAsia="lt-LT"/>
                      </w:rPr>
                    </w:pPr>
                    <w:r>
                      <w:rPr>
                        <w:rFonts w:eastAsia="Lucida Sans Unicode"/>
                        <w:sz w:val="20"/>
                        <w:lang w:eastAsia="lt-LT"/>
                      </w:rPr>
                      <w:t>Sieros dioksidas (SO</w:t>
                    </w:r>
                    <w:r>
                      <w:rPr>
                        <w:rFonts w:eastAsia="Lucida Sans Unicode"/>
                        <w:sz w:val="20"/>
                        <w:vertAlign w:val="subscript"/>
                        <w:lang w:eastAsia="lt-LT"/>
                      </w:rPr>
                      <w:t>2</w:t>
                    </w:r>
                    <w:r>
                      <w:rPr>
                        <w:rFonts w:eastAsia="Lucida Sans Unicode"/>
                        <w:sz w:val="20"/>
                        <w:lang w:eastAsia="lt-LT"/>
                      </w:rPr>
                      <w:t>)</w:t>
                    </w:r>
                  </w:p>
                </w:tc>
                <w:tc>
                  <w:tcPr>
                    <w:tcW w:w="2649"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50 mg/Nm</w:t>
                    </w:r>
                    <w:r>
                      <w:rPr>
                        <w:rFonts w:eastAsia="Lucida Sans Unicode"/>
                        <w:sz w:val="20"/>
                        <w:vertAlign w:val="superscript"/>
                        <w:lang w:eastAsia="lt-LT"/>
                      </w:rPr>
                      <w:t>3</w:t>
                    </w:r>
                  </w:p>
                </w:tc>
              </w:tr>
              <w:tr>
                <w:tc>
                  <w:tcPr>
                    <w:tcW w:w="6531" w:type="dxa"/>
                    <w:tcMar>
                      <w:top w:w="0" w:type="dxa"/>
                      <w:left w:w="108" w:type="dxa"/>
                      <w:bottom w:w="0" w:type="dxa"/>
                      <w:right w:w="108" w:type="dxa"/>
                    </w:tcMar>
                  </w:tcPr>
                  <w:p>
                    <w:pPr>
                      <w:widowControl w:val="0"/>
                      <w:suppressAutoHyphens/>
                      <w:rPr>
                        <w:rFonts w:eastAsia="Lucida Sans Unicode"/>
                        <w:sz w:val="20"/>
                        <w:lang w:eastAsia="lt-LT"/>
                      </w:rPr>
                    </w:pPr>
                    <w:r>
                      <w:rPr>
                        <w:rFonts w:eastAsia="Lucida Sans Unicode"/>
                        <w:sz w:val="20"/>
                        <w:lang w:eastAsia="lt-LT"/>
                      </w:rPr>
                      <w:t>Azoto monoksidas (NO) ir azoto dioksidas (NO</w:t>
                    </w:r>
                    <w:r>
                      <w:rPr>
                        <w:rFonts w:eastAsia="Lucida Sans Unicode"/>
                        <w:sz w:val="20"/>
                        <w:vertAlign w:val="subscript"/>
                        <w:lang w:eastAsia="lt-LT"/>
                      </w:rPr>
                      <w:t>2</w:t>
                    </w:r>
                    <w:r>
                      <w:rPr>
                        <w:rFonts w:eastAsia="Lucida Sans Unicode"/>
                        <w:sz w:val="20"/>
                        <w:lang w:eastAsia="lt-LT"/>
                      </w:rPr>
                      <w:t>), išreikšti azoto dioksidu (taikomos esamiems deginimo įrenginiams, kurių nominalus pajėgumas daugiau kaip 6 tonos per valandą, ir naujiems deginimo įrenginiams)</w:t>
                    </w:r>
                  </w:p>
                </w:tc>
                <w:tc>
                  <w:tcPr>
                    <w:tcW w:w="2649"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200 mg/Nm</w:t>
                    </w:r>
                    <w:r>
                      <w:rPr>
                        <w:rFonts w:eastAsia="Lucida Sans Unicode"/>
                        <w:sz w:val="20"/>
                        <w:vertAlign w:val="superscript"/>
                        <w:lang w:eastAsia="lt-LT"/>
                      </w:rPr>
                      <w:t>3</w:t>
                    </w:r>
                  </w:p>
                </w:tc>
              </w:tr>
              <w:tr>
                <w:tc>
                  <w:tcPr>
                    <w:tcW w:w="6531" w:type="dxa"/>
                    <w:tcMar>
                      <w:top w:w="0" w:type="dxa"/>
                      <w:left w:w="108" w:type="dxa"/>
                      <w:bottom w:w="0" w:type="dxa"/>
                      <w:right w:w="108" w:type="dxa"/>
                    </w:tcMar>
                  </w:tcPr>
                  <w:p>
                    <w:pPr>
                      <w:widowControl w:val="0"/>
                      <w:suppressAutoHyphens/>
                      <w:rPr>
                        <w:rFonts w:eastAsia="Lucida Sans Unicode"/>
                        <w:sz w:val="20"/>
                        <w:lang w:eastAsia="lt-LT"/>
                      </w:rPr>
                    </w:pPr>
                    <w:r>
                      <w:rPr>
                        <w:rFonts w:eastAsia="Lucida Sans Unicode"/>
                        <w:sz w:val="20"/>
                        <w:lang w:eastAsia="lt-LT"/>
                      </w:rPr>
                      <w:t>Azoto monoksidas (NO) ir azoto dioksidas (NO</w:t>
                    </w:r>
                    <w:r>
                      <w:rPr>
                        <w:rFonts w:eastAsia="Lucida Sans Unicode"/>
                        <w:sz w:val="20"/>
                        <w:vertAlign w:val="subscript"/>
                        <w:lang w:eastAsia="lt-LT"/>
                      </w:rPr>
                      <w:t>2</w:t>
                    </w:r>
                    <w:r>
                      <w:rPr>
                        <w:rFonts w:eastAsia="Lucida Sans Unicode"/>
                        <w:sz w:val="20"/>
                        <w:lang w:eastAsia="lt-LT"/>
                      </w:rPr>
                      <w:t>), išreikšti azoto dioksidu (taikomos esamiems deginimo įrenginiams, kurių nominalus pajėgumas 6 tonos per valandą arba mažiau)</w:t>
                    </w:r>
                  </w:p>
                </w:tc>
                <w:tc>
                  <w:tcPr>
                    <w:tcW w:w="2649"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400 mg/Nm</w:t>
                    </w:r>
                    <w:r>
                      <w:rPr>
                        <w:rFonts w:eastAsia="Lucida Sans Unicode"/>
                        <w:sz w:val="20"/>
                        <w:vertAlign w:val="superscript"/>
                        <w:lang w:eastAsia="lt-LT"/>
                      </w:rPr>
                      <w:t>3</w:t>
                    </w:r>
                  </w:p>
                </w:tc>
              </w:tr>
            </w:tbl>
            <w:p>
              <w:pPr>
                <w:widowControl w:val="0"/>
                <w:suppressAutoHyphens/>
                <w:ind w:firstLine="567"/>
                <w:jc w:val="center"/>
                <w:rPr>
                  <w:rFonts w:eastAsia="Lucida Sans Unicode"/>
                  <w:b/>
                  <w:bCs/>
                  <w:szCs w:val="24"/>
                  <w:lang w:eastAsia="lt-LT"/>
                </w:rPr>
              </w:pPr>
            </w:p>
          </w:sdtContent>
        </w:sdt>
        <w:sdt>
          <w:sdtPr>
            <w:alias w:val="5 pr. 2 p."/>
            <w:tag w:val="part_d09dafe69dc742caa86032d088869b95"/>
            <w:lock w:val="sdtLocked"/>
            <w:richText/>
          </w:sdtPr>
          <w:sdtContent>
            <w:p>
              <w:pPr>
                <w:widowControl w:val="0"/>
                <w:suppressAutoHyphens/>
                <w:jc w:val="center"/>
                <w:rPr>
                  <w:rFonts w:eastAsia="Lucida Sans Unicode"/>
                  <w:szCs w:val="24"/>
                  <w:lang w:val="en-US" w:eastAsia="lt-LT"/>
                </w:rPr>
              </w:pPr>
              <w:sdt>
                <w:sdtPr>
                  <w:alias w:val="Numeris"/>
                  <w:tag w:val="nr_d09dafe69dc742caa86032d088869b95"/>
                  <w:lock w:val="sdtLocked"/>
                  <w:richText/>
                </w:sdtPr>
                <w:sdtContent>
                  <w:r>
                    <w:rPr>
                      <w:rFonts w:eastAsia="Lucida Sans Unicode"/>
                      <w:b/>
                      <w:bCs/>
                      <w:szCs w:val="24"/>
                      <w:lang w:eastAsia="lt-LT"/>
                    </w:rPr>
                    <w:t>2</w:t>
                  </w:r>
                </w:sdtContent>
              </w:sdt>
              <w:r>
                <w:rPr>
                  <w:rFonts w:eastAsia="Lucida Sans Unicode"/>
                  <w:b/>
                  <w:bCs/>
                  <w:szCs w:val="24"/>
                  <w:lang w:eastAsia="lt-LT"/>
                </w:rPr>
                <w:t>. Pusės valandos vidutinės vertės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00"/>
                <w:gridCol w:w="1804"/>
                <w:gridCol w:w="1666"/>
              </w:tblGrid>
              <w:tr>
                <w:tc>
                  <w:tcPr>
                    <w:tcW w:w="5679" w:type="dxa"/>
                    <w:tcMar>
                      <w:top w:w="0" w:type="dxa"/>
                      <w:left w:w="108" w:type="dxa"/>
                      <w:bottom w:w="0" w:type="dxa"/>
                      <w:right w:w="108" w:type="dxa"/>
                    </w:tcMar>
                  </w:tcPr>
                  <w:p>
                    <w:pPr>
                      <w:rPr>
                        <w:sz w:val="20"/>
                        <w:lang w:eastAsia="lt-LT"/>
                      </w:rPr>
                    </w:pPr>
                  </w:p>
                </w:tc>
                <w:tc>
                  <w:tcPr>
                    <w:tcW w:w="1821"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sz w:val="20"/>
                        <w:lang w:eastAsia="lt-LT"/>
                      </w:rPr>
                      <w:t>(100 %) A</w:t>
                    </w:r>
                  </w:p>
                </w:tc>
                <w:tc>
                  <w:tcPr>
                    <w:tcW w:w="1680" w:type="dxa"/>
                    <w:tcMar>
                      <w:top w:w="0" w:type="dxa"/>
                      <w:left w:w="108" w:type="dxa"/>
                      <w:bottom w:w="0" w:type="dxa"/>
                      <w:right w:w="108" w:type="dxa"/>
                    </w:tcMar>
                  </w:tcPr>
                  <w:p>
                    <w:pPr>
                      <w:widowControl w:val="0"/>
                      <w:suppressAutoHyphens/>
                      <w:ind w:firstLine="567"/>
                      <w:jc w:val="center"/>
                      <w:rPr>
                        <w:rFonts w:eastAsia="Lucida Sans Unicode"/>
                        <w:sz w:val="20"/>
                        <w:lang w:eastAsia="lt-LT"/>
                      </w:rPr>
                    </w:pPr>
                    <w:r>
                      <w:rPr>
                        <w:rFonts w:eastAsia="Lucida Sans Unicode"/>
                        <w:sz w:val="20"/>
                        <w:lang w:eastAsia="lt-LT"/>
                      </w:rPr>
                      <w:t>(97 %) B</w:t>
                    </w:r>
                  </w:p>
                </w:tc>
              </w:tr>
              <w:tr>
                <w:tc>
                  <w:tcPr>
                    <w:tcW w:w="5679"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Bendras dulkių kiekis</w:t>
                    </w:r>
                  </w:p>
                </w:tc>
                <w:tc>
                  <w:tcPr>
                    <w:tcW w:w="1821"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30 mg/Nm</w:t>
                    </w:r>
                    <w:r>
                      <w:rPr>
                        <w:rFonts w:eastAsia="Lucida Sans Unicode"/>
                        <w:sz w:val="20"/>
                        <w:vertAlign w:val="superscript"/>
                        <w:lang w:eastAsia="lt-LT"/>
                      </w:rPr>
                      <w:t>3</w:t>
                    </w:r>
                  </w:p>
                </w:tc>
                <w:tc>
                  <w:tcPr>
                    <w:tcW w:w="1680"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10 mg/Nm</w:t>
                    </w:r>
                    <w:r>
                      <w:rPr>
                        <w:rFonts w:eastAsia="Lucida Sans Unicode"/>
                        <w:sz w:val="20"/>
                        <w:vertAlign w:val="superscript"/>
                        <w:lang w:eastAsia="lt-LT"/>
                      </w:rPr>
                      <w:t>3</w:t>
                    </w:r>
                  </w:p>
                </w:tc>
              </w:tr>
              <w:tr>
                <w:tc>
                  <w:tcPr>
                    <w:tcW w:w="5679"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Dujinės ir garų pavidalo organinės medžiagos, išreikštos kaip bendroji organinė anglis (BOA)</w:t>
                    </w:r>
                  </w:p>
                </w:tc>
                <w:tc>
                  <w:tcPr>
                    <w:tcW w:w="1821"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20 mg/Nm</w:t>
                    </w:r>
                    <w:r>
                      <w:rPr>
                        <w:rFonts w:eastAsia="Lucida Sans Unicode"/>
                        <w:sz w:val="20"/>
                        <w:vertAlign w:val="superscript"/>
                        <w:lang w:eastAsia="lt-LT"/>
                      </w:rPr>
                      <w:t>3</w:t>
                    </w:r>
                  </w:p>
                </w:tc>
                <w:tc>
                  <w:tcPr>
                    <w:tcW w:w="1680"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10 mg/Nm</w:t>
                    </w:r>
                    <w:r>
                      <w:rPr>
                        <w:rFonts w:eastAsia="Lucida Sans Unicode"/>
                        <w:sz w:val="20"/>
                        <w:vertAlign w:val="superscript"/>
                        <w:lang w:eastAsia="lt-LT"/>
                      </w:rPr>
                      <w:t>3</w:t>
                    </w:r>
                  </w:p>
                </w:tc>
              </w:tr>
              <w:tr>
                <w:tc>
                  <w:tcPr>
                    <w:tcW w:w="5679"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Vandenilio chloridas (HCl)</w:t>
                    </w:r>
                  </w:p>
                </w:tc>
                <w:tc>
                  <w:tcPr>
                    <w:tcW w:w="1821"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60 mg/Nm</w:t>
                    </w:r>
                    <w:r>
                      <w:rPr>
                        <w:rFonts w:eastAsia="Lucida Sans Unicode"/>
                        <w:sz w:val="20"/>
                        <w:vertAlign w:val="superscript"/>
                        <w:lang w:eastAsia="lt-LT"/>
                      </w:rPr>
                      <w:t>3</w:t>
                    </w:r>
                  </w:p>
                </w:tc>
                <w:tc>
                  <w:tcPr>
                    <w:tcW w:w="1680"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10 mg/Nm</w:t>
                    </w:r>
                    <w:r>
                      <w:rPr>
                        <w:rFonts w:eastAsia="Lucida Sans Unicode"/>
                        <w:sz w:val="20"/>
                        <w:vertAlign w:val="superscript"/>
                        <w:lang w:eastAsia="lt-LT"/>
                      </w:rPr>
                      <w:t>3</w:t>
                    </w:r>
                  </w:p>
                </w:tc>
              </w:tr>
              <w:tr>
                <w:tc>
                  <w:tcPr>
                    <w:tcW w:w="5679"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Vandenilio fluoridas (HF)</w:t>
                    </w:r>
                  </w:p>
                </w:tc>
                <w:tc>
                  <w:tcPr>
                    <w:tcW w:w="1821"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4 mg/Nm</w:t>
                    </w:r>
                    <w:r>
                      <w:rPr>
                        <w:rFonts w:eastAsia="Lucida Sans Unicode"/>
                        <w:sz w:val="20"/>
                        <w:vertAlign w:val="superscript"/>
                        <w:lang w:eastAsia="lt-LT"/>
                      </w:rPr>
                      <w:t>3</w:t>
                    </w:r>
                  </w:p>
                </w:tc>
                <w:tc>
                  <w:tcPr>
                    <w:tcW w:w="1680"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2 mg/Nm</w:t>
                    </w:r>
                    <w:r>
                      <w:rPr>
                        <w:rFonts w:eastAsia="Lucida Sans Unicode"/>
                        <w:sz w:val="20"/>
                        <w:vertAlign w:val="superscript"/>
                        <w:lang w:eastAsia="lt-LT"/>
                      </w:rPr>
                      <w:t>3</w:t>
                    </w:r>
                  </w:p>
                </w:tc>
              </w:tr>
              <w:tr>
                <w:tc>
                  <w:tcPr>
                    <w:tcW w:w="5679"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Sieros dioksidas (SO</w:t>
                    </w:r>
                    <w:r>
                      <w:rPr>
                        <w:rFonts w:eastAsia="Lucida Sans Unicode"/>
                        <w:sz w:val="20"/>
                        <w:vertAlign w:val="subscript"/>
                        <w:lang w:eastAsia="lt-LT"/>
                      </w:rPr>
                      <w:t>2</w:t>
                    </w:r>
                    <w:r>
                      <w:rPr>
                        <w:rFonts w:eastAsia="Lucida Sans Unicode"/>
                        <w:sz w:val="20"/>
                        <w:lang w:eastAsia="lt-LT"/>
                      </w:rPr>
                      <w:t>)</w:t>
                    </w:r>
                  </w:p>
                </w:tc>
                <w:tc>
                  <w:tcPr>
                    <w:tcW w:w="1821"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200 mg/Nm</w:t>
                    </w:r>
                    <w:r>
                      <w:rPr>
                        <w:rFonts w:eastAsia="Lucida Sans Unicode"/>
                        <w:sz w:val="20"/>
                        <w:vertAlign w:val="superscript"/>
                        <w:lang w:eastAsia="lt-LT"/>
                      </w:rPr>
                      <w:t>3</w:t>
                    </w:r>
                  </w:p>
                </w:tc>
                <w:tc>
                  <w:tcPr>
                    <w:tcW w:w="1680"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50 mg/Nm</w:t>
                    </w:r>
                    <w:r>
                      <w:rPr>
                        <w:rFonts w:eastAsia="Lucida Sans Unicode"/>
                        <w:sz w:val="20"/>
                        <w:vertAlign w:val="superscript"/>
                        <w:lang w:eastAsia="lt-LT"/>
                      </w:rPr>
                      <w:t>3</w:t>
                    </w:r>
                  </w:p>
                </w:tc>
              </w:tr>
              <w:tr>
                <w:tc>
                  <w:tcPr>
                    <w:tcW w:w="5679"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Azoto monoksidas (NO) ir azoto dioksidas (NO</w:t>
                    </w:r>
                    <w:r>
                      <w:rPr>
                        <w:rFonts w:eastAsia="Lucida Sans Unicode"/>
                        <w:sz w:val="20"/>
                        <w:vertAlign w:val="subscript"/>
                        <w:lang w:eastAsia="lt-LT"/>
                      </w:rPr>
                      <w:t>2</w:t>
                    </w:r>
                    <w:r>
                      <w:rPr>
                        <w:rFonts w:eastAsia="Lucida Sans Unicode"/>
                        <w:sz w:val="20"/>
                        <w:lang w:eastAsia="lt-LT"/>
                      </w:rPr>
                      <w:t>), išreikšti azoto dioksidu (taikomos esamiems atliekų deginimo įrenginiams, kurių nominalus pajėgumas daugiau kaip 6 tonos per valandą, ir naujiems deginimo įrenginiams)</w:t>
                    </w:r>
                  </w:p>
                </w:tc>
                <w:tc>
                  <w:tcPr>
                    <w:tcW w:w="1821"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400 mg/Nm</w:t>
                    </w:r>
                    <w:r>
                      <w:rPr>
                        <w:rFonts w:eastAsia="Lucida Sans Unicode"/>
                        <w:sz w:val="20"/>
                        <w:vertAlign w:val="superscript"/>
                        <w:lang w:eastAsia="lt-LT"/>
                      </w:rPr>
                      <w:t>3</w:t>
                    </w:r>
                  </w:p>
                </w:tc>
                <w:tc>
                  <w:tcPr>
                    <w:tcW w:w="1680" w:type="dxa"/>
                    <w:tcMar>
                      <w:top w:w="0" w:type="dxa"/>
                      <w:left w:w="108" w:type="dxa"/>
                      <w:bottom w:w="0" w:type="dxa"/>
                      <w:right w:w="108" w:type="dxa"/>
                    </w:tcMar>
                  </w:tcPr>
                  <w:p>
                    <w:pPr>
                      <w:widowControl w:val="0"/>
                      <w:suppressAutoHyphens/>
                      <w:jc w:val="center"/>
                      <w:rPr>
                        <w:rFonts w:eastAsia="Lucida Sans Unicode"/>
                        <w:sz w:val="20"/>
                        <w:lang w:eastAsia="lt-LT"/>
                      </w:rPr>
                    </w:pPr>
                    <w:r>
                      <w:rPr>
                        <w:rFonts w:eastAsia="Lucida Sans Unicode"/>
                        <w:sz w:val="20"/>
                        <w:lang w:eastAsia="lt-LT"/>
                      </w:rPr>
                      <w:t>200 mg/Nm</w:t>
                    </w:r>
                    <w:r>
                      <w:rPr>
                        <w:rFonts w:eastAsia="Lucida Sans Unicode"/>
                        <w:sz w:val="20"/>
                        <w:vertAlign w:val="superscript"/>
                        <w:lang w:eastAsia="lt-LT"/>
                      </w:rPr>
                      <w:t>3</w:t>
                    </w:r>
                  </w:p>
                </w:tc>
              </w:tr>
            </w:tbl>
            <w:p>
              <w:pPr>
                <w:rPr>
                  <w:sz w:val="10"/>
                  <w:szCs w:val="10"/>
                  <w:lang w:eastAsia="lt-LT"/>
                </w:rPr>
              </w:pPr>
            </w:p>
          </w:sdtContent>
        </w:sdt>
        <w:sdt>
          <w:sdtPr>
            <w:alias w:val="5 pr. 3 p."/>
            <w:tag w:val="part_ced89f35275641b4b59e88e1feea9bf5"/>
            <w:lock w:val="sdtLocked"/>
            <w:richText/>
          </w:sdtPr>
          <w:sdtContent>
            <w:p>
              <w:pPr>
                <w:jc w:val="center"/>
                <w:rPr>
                  <w:szCs w:val="24"/>
                  <w:lang w:eastAsia="lt-LT"/>
                </w:rPr>
              </w:pPr>
              <w:sdt>
                <w:sdtPr>
                  <w:alias w:val="Numeris"/>
                  <w:tag w:val="nr_ced89f35275641b4b59e88e1feea9bf5"/>
                  <w:lock w:val="sdtLocked"/>
                  <w:richText/>
                </w:sdtPr>
                <w:sdtContent>
                  <w:r>
                    <w:rPr>
                      <w:b/>
                      <w:bCs/>
                      <w:szCs w:val="24"/>
                      <w:lang w:eastAsia="lt-LT"/>
                    </w:rPr>
                    <w:t>3</w:t>
                  </w:r>
                </w:sdtContent>
              </w:sdt>
              <w:r>
                <w:rPr>
                  <w:b/>
                  <w:bCs/>
                  <w:szCs w:val="24"/>
                  <w:lang w:eastAsia="lt-LT"/>
                </w:rPr>
                <w:t xml:space="preserve">. </w:t>
              </w:r>
              <w:r>
                <w:rPr>
                  <w:b/>
                  <w:color w:val="000000"/>
                </w:rPr>
                <w:t>Vidutinės vertės, nustatytos ėminiuose, paimtuose per mažiausiai 30 minučių ir daugiausiai 8 valandų laikotarpį</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85"/>
                <w:gridCol w:w="1915"/>
                <w:gridCol w:w="1570"/>
              </w:tblGrid>
              <w:tr>
                <w:trPr>
                  <w:cantSplit/>
                  <w:trHeight w:val="520"/>
                </w:trPr>
                <w:tc>
                  <w:tcPr>
                    <w:tcW w:w="5742" w:type="dxa"/>
                    <w:tcMar>
                      <w:top w:w="0" w:type="dxa"/>
                      <w:left w:w="108" w:type="dxa"/>
                      <w:bottom w:w="0" w:type="dxa"/>
                      <w:right w:w="108" w:type="dxa"/>
                    </w:tcMar>
                  </w:tcPr>
                  <w:p>
                    <w:pPr>
                      <w:rPr>
                        <w:sz w:val="20"/>
                        <w:lang w:eastAsia="lt-LT"/>
                      </w:rPr>
                    </w:pPr>
                    <w:r>
                      <w:rPr>
                        <w:sz w:val="20"/>
                        <w:lang w:eastAsia="lt-LT"/>
                      </w:rPr>
                      <w:t>Kadmis ir jo junginiai, išreikšti kadmiu (Cd)</w:t>
                    </w:r>
                  </w:p>
                </w:tc>
                <w:tc>
                  <w:tcPr>
                    <w:tcW w:w="1952" w:type="dxa"/>
                    <w:vMerge w:val="restart"/>
                    <w:tcMar>
                      <w:top w:w="0" w:type="dxa"/>
                      <w:left w:w="108" w:type="dxa"/>
                      <w:bottom w:w="0" w:type="dxa"/>
                      <w:right w:w="108" w:type="dxa"/>
                    </w:tcMar>
                  </w:tcPr>
                  <w:p>
                    <w:pPr>
                      <w:rPr>
                        <w:sz w:val="20"/>
                        <w:lang w:eastAsia="lt-LT"/>
                      </w:rPr>
                    </w:pPr>
                    <w:r>
                      <w:rPr>
                        <w:sz w:val="20"/>
                        <w:lang w:eastAsia="lt-LT"/>
                      </w:rPr>
                      <w:t>suma</w:t>
                    </w:r>
                  </w:p>
                  <w:p>
                    <w:pPr>
                      <w:rPr>
                        <w:sz w:val="20"/>
                        <w:lang w:eastAsia="lt-LT"/>
                      </w:rPr>
                    </w:pPr>
                    <w:r>
                      <w:rPr>
                        <w:sz w:val="20"/>
                        <w:lang w:eastAsia="lt-LT"/>
                      </w:rPr>
                      <w:t>0,05 mg/Nm</w:t>
                    </w:r>
                    <w:r>
                      <w:rPr>
                        <w:sz w:val="20"/>
                        <w:vertAlign w:val="superscript"/>
                        <w:lang w:eastAsia="lt-LT"/>
                      </w:rPr>
                      <w:t>3</w:t>
                    </w:r>
                  </w:p>
                </w:tc>
                <w:tc>
                  <w:tcPr>
                    <w:tcW w:w="1594" w:type="dxa"/>
                    <w:vMerge w:val="restart"/>
                    <w:tcMar>
                      <w:top w:w="0" w:type="dxa"/>
                      <w:left w:w="108" w:type="dxa"/>
                      <w:bottom w:w="0" w:type="dxa"/>
                      <w:right w:w="108" w:type="dxa"/>
                    </w:tcMar>
                  </w:tcPr>
                  <w:p>
                    <w:pPr>
                      <w:rPr>
                        <w:sz w:val="20"/>
                        <w:lang w:eastAsia="lt-LT"/>
                      </w:rPr>
                    </w:pPr>
                    <w:r>
                      <w:rPr>
                        <w:sz w:val="20"/>
                        <w:lang w:eastAsia="lt-LT"/>
                      </w:rPr>
                      <w:t>suma</w:t>
                    </w:r>
                  </w:p>
                  <w:p>
                    <w:pPr>
                      <w:rPr>
                        <w:sz w:val="20"/>
                        <w:lang w:eastAsia="lt-LT"/>
                      </w:rPr>
                    </w:pPr>
                    <w:r>
                      <w:rPr>
                        <w:sz w:val="20"/>
                        <w:lang w:eastAsia="lt-LT"/>
                      </w:rPr>
                      <w:t>0,1 mg/Nm</w:t>
                    </w:r>
                    <w:r>
                      <w:rPr>
                        <w:sz w:val="20"/>
                        <w:vertAlign w:val="superscript"/>
                        <w:lang w:eastAsia="lt-LT"/>
                      </w:rPr>
                      <w:t>3</w:t>
                    </w:r>
                  </w:p>
                </w:tc>
              </w:tr>
              <w:tr>
                <w:trPr>
                  <w:cantSplit/>
                </w:trPr>
                <w:tc>
                  <w:tcPr>
                    <w:tcW w:w="5742" w:type="dxa"/>
                    <w:tcMar>
                      <w:top w:w="0" w:type="dxa"/>
                      <w:left w:w="108" w:type="dxa"/>
                      <w:bottom w:w="0" w:type="dxa"/>
                      <w:right w:w="108" w:type="dxa"/>
                    </w:tcMar>
                  </w:tcPr>
                  <w:p>
                    <w:pPr>
                      <w:rPr>
                        <w:sz w:val="20"/>
                        <w:lang w:eastAsia="lt-LT"/>
                      </w:rPr>
                    </w:pPr>
                    <w:r>
                      <w:rPr>
                        <w:sz w:val="20"/>
                        <w:lang w:eastAsia="lt-LT"/>
                      </w:rPr>
                      <w:t>Talis ir jo junginiai, išreikšti taliu (Tl)</w:t>
                    </w:r>
                  </w:p>
                </w:tc>
                <w:tc>
                  <w:tcPr>
                    <w:tcW w:w="1952" w:type="dxa"/>
                    <w:vMerge/>
                    <w:vAlign w:val="center"/>
                  </w:tcPr>
                  <w:p>
                    <w:pPr>
                      <w:rPr>
                        <w:sz w:val="20"/>
                        <w:lang w:eastAsia="lt-LT"/>
                      </w:rPr>
                    </w:pPr>
                  </w:p>
                </w:tc>
                <w:tc>
                  <w:tcPr>
                    <w:tcW w:w="1594" w:type="dxa"/>
                    <w:vMerge/>
                    <w:vAlign w:val="center"/>
                  </w:tcPr>
                  <w:p>
                    <w:pPr>
                      <w:rPr>
                        <w:sz w:val="20"/>
                        <w:lang w:eastAsia="lt-LT"/>
                      </w:rPr>
                    </w:pPr>
                  </w:p>
                </w:tc>
              </w:tr>
              <w:tr>
                <w:tc>
                  <w:tcPr>
                    <w:tcW w:w="5742" w:type="dxa"/>
                    <w:tcMar>
                      <w:top w:w="0" w:type="dxa"/>
                      <w:left w:w="108" w:type="dxa"/>
                      <w:bottom w:w="0" w:type="dxa"/>
                      <w:right w:w="108" w:type="dxa"/>
                    </w:tcMar>
                  </w:tcPr>
                  <w:p>
                    <w:pPr>
                      <w:rPr>
                        <w:sz w:val="20"/>
                        <w:lang w:eastAsia="lt-LT"/>
                      </w:rPr>
                    </w:pPr>
                    <w:r>
                      <w:rPr>
                        <w:sz w:val="20"/>
                        <w:lang w:eastAsia="lt-LT"/>
                      </w:rPr>
                      <w:t>Gyvsidabris ir jo junginiai, išreikšti gyvsidabriu (Hg)</w:t>
                    </w:r>
                  </w:p>
                </w:tc>
                <w:tc>
                  <w:tcPr>
                    <w:tcW w:w="1952" w:type="dxa"/>
                    <w:tcMar>
                      <w:top w:w="0" w:type="dxa"/>
                      <w:left w:w="108" w:type="dxa"/>
                      <w:bottom w:w="0" w:type="dxa"/>
                      <w:right w:w="108" w:type="dxa"/>
                    </w:tcMar>
                  </w:tcPr>
                  <w:p>
                    <w:pPr>
                      <w:rPr>
                        <w:sz w:val="20"/>
                        <w:lang w:eastAsia="lt-LT"/>
                      </w:rPr>
                    </w:pPr>
                    <w:r>
                      <w:rPr>
                        <w:sz w:val="20"/>
                        <w:lang w:eastAsia="lt-LT"/>
                      </w:rPr>
                      <w:t>0,05 mg/Nm</w:t>
                    </w:r>
                    <w:r>
                      <w:rPr>
                        <w:sz w:val="20"/>
                        <w:vertAlign w:val="superscript"/>
                        <w:lang w:eastAsia="lt-LT"/>
                      </w:rPr>
                      <w:t>3</w:t>
                    </w:r>
                  </w:p>
                </w:tc>
                <w:tc>
                  <w:tcPr>
                    <w:tcW w:w="1594" w:type="dxa"/>
                    <w:tcMar>
                      <w:top w:w="0" w:type="dxa"/>
                      <w:left w:w="108" w:type="dxa"/>
                      <w:bottom w:w="0" w:type="dxa"/>
                      <w:right w:w="108" w:type="dxa"/>
                    </w:tcMar>
                  </w:tcPr>
                  <w:p>
                    <w:pPr>
                      <w:rPr>
                        <w:sz w:val="20"/>
                        <w:lang w:eastAsia="lt-LT"/>
                      </w:rPr>
                    </w:pPr>
                    <w:r>
                      <w:rPr>
                        <w:sz w:val="20"/>
                        <w:lang w:eastAsia="lt-LT"/>
                      </w:rPr>
                      <w:t>0,1 mg/Nm</w:t>
                    </w:r>
                    <w:r>
                      <w:rPr>
                        <w:sz w:val="20"/>
                        <w:vertAlign w:val="superscript"/>
                        <w:lang w:eastAsia="lt-LT"/>
                      </w:rPr>
                      <w:t>3</w:t>
                    </w:r>
                  </w:p>
                </w:tc>
              </w:tr>
              <w:tr>
                <w:trPr>
                  <w:cantSplit/>
                </w:trPr>
                <w:tc>
                  <w:tcPr>
                    <w:tcW w:w="5742" w:type="dxa"/>
                    <w:tcMar>
                      <w:top w:w="0" w:type="dxa"/>
                      <w:left w:w="108" w:type="dxa"/>
                      <w:bottom w:w="0" w:type="dxa"/>
                      <w:right w:w="108" w:type="dxa"/>
                    </w:tcMar>
                  </w:tcPr>
                  <w:p>
                    <w:pPr>
                      <w:rPr>
                        <w:sz w:val="20"/>
                        <w:lang w:eastAsia="lt-LT"/>
                      </w:rPr>
                    </w:pPr>
                    <w:r>
                      <w:rPr>
                        <w:sz w:val="20"/>
                        <w:lang w:eastAsia="lt-LT"/>
                      </w:rPr>
                      <w:t>Stibis ir jo junginiai, išreikšti stibiu (Sb)</w:t>
                    </w:r>
                  </w:p>
                </w:tc>
                <w:tc>
                  <w:tcPr>
                    <w:tcW w:w="1952" w:type="dxa"/>
                    <w:vMerge w:val="restart"/>
                    <w:tcMar>
                      <w:top w:w="0" w:type="dxa"/>
                      <w:left w:w="108" w:type="dxa"/>
                      <w:bottom w:w="0" w:type="dxa"/>
                      <w:right w:w="108" w:type="dxa"/>
                    </w:tcMar>
                  </w:tcPr>
                  <w:p>
                    <w:pPr>
                      <w:rPr>
                        <w:sz w:val="20"/>
                        <w:lang w:eastAsia="lt-LT"/>
                      </w:rPr>
                    </w:pPr>
                    <w:r>
                      <w:rPr>
                        <w:sz w:val="20"/>
                        <w:lang w:eastAsia="lt-LT"/>
                      </w:rPr>
                      <w:t>suma</w:t>
                    </w:r>
                  </w:p>
                  <w:p>
                    <w:pPr>
                      <w:rPr>
                        <w:sz w:val="20"/>
                        <w:lang w:eastAsia="lt-LT"/>
                      </w:rPr>
                    </w:pPr>
                    <w:r>
                      <w:rPr>
                        <w:sz w:val="20"/>
                        <w:lang w:eastAsia="lt-LT"/>
                      </w:rPr>
                      <w:t>0,5 mg/Nm</w:t>
                    </w:r>
                    <w:r>
                      <w:rPr>
                        <w:sz w:val="20"/>
                        <w:vertAlign w:val="superscript"/>
                        <w:lang w:eastAsia="lt-LT"/>
                      </w:rPr>
                      <w:t>3</w:t>
                    </w:r>
                  </w:p>
                </w:tc>
                <w:tc>
                  <w:tcPr>
                    <w:tcW w:w="1594" w:type="dxa"/>
                    <w:vMerge w:val="restart"/>
                    <w:tcMar>
                      <w:top w:w="0" w:type="dxa"/>
                      <w:left w:w="108" w:type="dxa"/>
                      <w:bottom w:w="0" w:type="dxa"/>
                      <w:right w:w="108" w:type="dxa"/>
                    </w:tcMar>
                  </w:tcPr>
                  <w:p>
                    <w:pPr>
                      <w:rPr>
                        <w:sz w:val="20"/>
                        <w:lang w:eastAsia="lt-LT"/>
                      </w:rPr>
                    </w:pPr>
                    <w:r>
                      <w:rPr>
                        <w:sz w:val="20"/>
                        <w:lang w:eastAsia="lt-LT"/>
                      </w:rPr>
                      <w:t>suma</w:t>
                    </w:r>
                  </w:p>
                  <w:p>
                    <w:pPr>
                      <w:rPr>
                        <w:sz w:val="20"/>
                        <w:lang w:eastAsia="lt-LT"/>
                      </w:rPr>
                    </w:pPr>
                    <w:r>
                      <w:rPr>
                        <w:sz w:val="20"/>
                        <w:lang w:eastAsia="lt-LT"/>
                      </w:rPr>
                      <w:t>1 mg/Nm</w:t>
                    </w:r>
                    <w:r>
                      <w:rPr>
                        <w:sz w:val="20"/>
                        <w:vertAlign w:val="superscript"/>
                        <w:lang w:eastAsia="lt-LT"/>
                      </w:rPr>
                      <w:t>3</w:t>
                    </w:r>
                  </w:p>
                </w:tc>
              </w:tr>
              <w:tr>
                <w:trPr>
                  <w:cantSplit/>
                </w:trPr>
                <w:tc>
                  <w:tcPr>
                    <w:tcW w:w="5742" w:type="dxa"/>
                    <w:tcMar>
                      <w:top w:w="0" w:type="dxa"/>
                      <w:left w:w="108" w:type="dxa"/>
                      <w:bottom w:w="0" w:type="dxa"/>
                      <w:right w:w="108" w:type="dxa"/>
                    </w:tcMar>
                  </w:tcPr>
                  <w:p>
                    <w:pPr>
                      <w:rPr>
                        <w:sz w:val="20"/>
                        <w:lang w:eastAsia="lt-LT"/>
                      </w:rPr>
                    </w:pPr>
                    <w:r>
                      <w:rPr>
                        <w:sz w:val="20"/>
                        <w:lang w:eastAsia="lt-LT"/>
                      </w:rPr>
                      <w:t>Arsenas ir jo junginiai, išreikšti arsenu (As)</w:t>
                    </w:r>
                  </w:p>
                </w:tc>
                <w:tc>
                  <w:tcPr>
                    <w:tcW w:w="1952" w:type="dxa"/>
                    <w:vMerge/>
                    <w:vAlign w:val="center"/>
                  </w:tcPr>
                  <w:p>
                    <w:pPr>
                      <w:rPr>
                        <w:sz w:val="20"/>
                        <w:lang w:eastAsia="lt-LT"/>
                      </w:rPr>
                    </w:pPr>
                  </w:p>
                </w:tc>
                <w:tc>
                  <w:tcPr>
                    <w:tcW w:w="1594" w:type="dxa"/>
                    <w:vMerge/>
                    <w:vAlign w:val="center"/>
                  </w:tcPr>
                  <w:p>
                    <w:pPr>
                      <w:rPr>
                        <w:sz w:val="20"/>
                        <w:lang w:eastAsia="lt-LT"/>
                      </w:rPr>
                    </w:pPr>
                  </w:p>
                </w:tc>
              </w:tr>
              <w:tr>
                <w:trPr>
                  <w:cantSplit/>
                </w:trPr>
                <w:tc>
                  <w:tcPr>
                    <w:tcW w:w="5742" w:type="dxa"/>
                    <w:tcMar>
                      <w:top w:w="0" w:type="dxa"/>
                      <w:left w:w="108" w:type="dxa"/>
                      <w:bottom w:w="0" w:type="dxa"/>
                      <w:right w:w="108" w:type="dxa"/>
                    </w:tcMar>
                  </w:tcPr>
                  <w:p>
                    <w:pPr>
                      <w:rPr>
                        <w:sz w:val="20"/>
                        <w:lang w:eastAsia="lt-LT"/>
                      </w:rPr>
                    </w:pPr>
                    <w:r>
                      <w:rPr>
                        <w:sz w:val="20"/>
                        <w:lang w:eastAsia="lt-LT"/>
                      </w:rPr>
                      <w:t>Švinas ir jo junginiai, išreikšti švinu (Pb)</w:t>
                    </w:r>
                  </w:p>
                </w:tc>
                <w:tc>
                  <w:tcPr>
                    <w:tcW w:w="1952" w:type="dxa"/>
                    <w:vMerge/>
                    <w:vAlign w:val="center"/>
                  </w:tcPr>
                  <w:p>
                    <w:pPr>
                      <w:rPr>
                        <w:sz w:val="20"/>
                        <w:lang w:eastAsia="lt-LT"/>
                      </w:rPr>
                    </w:pPr>
                  </w:p>
                </w:tc>
                <w:tc>
                  <w:tcPr>
                    <w:tcW w:w="1594" w:type="dxa"/>
                    <w:vMerge/>
                    <w:vAlign w:val="center"/>
                  </w:tcPr>
                  <w:p>
                    <w:pPr>
                      <w:rPr>
                        <w:sz w:val="20"/>
                        <w:lang w:eastAsia="lt-LT"/>
                      </w:rPr>
                    </w:pPr>
                  </w:p>
                </w:tc>
              </w:tr>
              <w:tr>
                <w:trPr>
                  <w:cantSplit/>
                </w:trPr>
                <w:tc>
                  <w:tcPr>
                    <w:tcW w:w="5742" w:type="dxa"/>
                    <w:tcMar>
                      <w:top w:w="0" w:type="dxa"/>
                      <w:left w:w="108" w:type="dxa"/>
                      <w:bottom w:w="0" w:type="dxa"/>
                      <w:right w:w="108" w:type="dxa"/>
                    </w:tcMar>
                  </w:tcPr>
                  <w:p>
                    <w:pPr>
                      <w:rPr>
                        <w:sz w:val="20"/>
                        <w:lang w:eastAsia="lt-LT"/>
                      </w:rPr>
                    </w:pPr>
                    <w:r>
                      <w:rPr>
                        <w:sz w:val="20"/>
                        <w:lang w:eastAsia="lt-LT"/>
                      </w:rPr>
                      <w:t>Chromas ir jo junginiai, išreikšti chromu (Cr)</w:t>
                    </w:r>
                  </w:p>
                </w:tc>
                <w:tc>
                  <w:tcPr>
                    <w:tcW w:w="1952" w:type="dxa"/>
                    <w:vMerge/>
                    <w:vAlign w:val="center"/>
                  </w:tcPr>
                  <w:p>
                    <w:pPr>
                      <w:rPr>
                        <w:sz w:val="20"/>
                        <w:lang w:eastAsia="lt-LT"/>
                      </w:rPr>
                    </w:pPr>
                  </w:p>
                </w:tc>
                <w:tc>
                  <w:tcPr>
                    <w:tcW w:w="1594" w:type="dxa"/>
                    <w:vMerge/>
                    <w:vAlign w:val="center"/>
                  </w:tcPr>
                  <w:p>
                    <w:pPr>
                      <w:rPr>
                        <w:sz w:val="20"/>
                        <w:lang w:eastAsia="lt-LT"/>
                      </w:rPr>
                    </w:pPr>
                  </w:p>
                </w:tc>
              </w:tr>
              <w:tr>
                <w:trPr>
                  <w:cantSplit/>
                </w:trPr>
                <w:tc>
                  <w:tcPr>
                    <w:tcW w:w="5742" w:type="dxa"/>
                    <w:tcMar>
                      <w:top w:w="0" w:type="dxa"/>
                      <w:left w:w="108" w:type="dxa"/>
                      <w:bottom w:w="0" w:type="dxa"/>
                      <w:right w:w="108" w:type="dxa"/>
                    </w:tcMar>
                  </w:tcPr>
                  <w:p>
                    <w:pPr>
                      <w:rPr>
                        <w:sz w:val="20"/>
                        <w:lang w:eastAsia="lt-LT"/>
                      </w:rPr>
                    </w:pPr>
                    <w:r>
                      <w:rPr>
                        <w:sz w:val="20"/>
                        <w:lang w:eastAsia="lt-LT"/>
                      </w:rPr>
                      <w:t>Kobaltas ir jo junginiai, išreikšti kobaltu (Co)</w:t>
                    </w:r>
                  </w:p>
                </w:tc>
                <w:tc>
                  <w:tcPr>
                    <w:tcW w:w="1952" w:type="dxa"/>
                    <w:vMerge/>
                    <w:vAlign w:val="center"/>
                  </w:tcPr>
                  <w:p>
                    <w:pPr>
                      <w:rPr>
                        <w:sz w:val="20"/>
                        <w:lang w:eastAsia="lt-LT"/>
                      </w:rPr>
                    </w:pPr>
                  </w:p>
                </w:tc>
                <w:tc>
                  <w:tcPr>
                    <w:tcW w:w="1594" w:type="dxa"/>
                    <w:vMerge/>
                    <w:vAlign w:val="center"/>
                  </w:tcPr>
                  <w:p>
                    <w:pPr>
                      <w:rPr>
                        <w:sz w:val="20"/>
                        <w:lang w:eastAsia="lt-LT"/>
                      </w:rPr>
                    </w:pPr>
                  </w:p>
                </w:tc>
              </w:tr>
              <w:tr>
                <w:trPr>
                  <w:cantSplit/>
                </w:trPr>
                <w:tc>
                  <w:tcPr>
                    <w:tcW w:w="5742" w:type="dxa"/>
                    <w:tcMar>
                      <w:top w:w="0" w:type="dxa"/>
                      <w:left w:w="108" w:type="dxa"/>
                      <w:bottom w:w="0" w:type="dxa"/>
                      <w:right w:w="108" w:type="dxa"/>
                    </w:tcMar>
                  </w:tcPr>
                  <w:p>
                    <w:pPr>
                      <w:rPr>
                        <w:sz w:val="20"/>
                        <w:lang w:eastAsia="lt-LT"/>
                      </w:rPr>
                    </w:pPr>
                    <w:r>
                      <w:rPr>
                        <w:sz w:val="20"/>
                        <w:lang w:eastAsia="lt-LT"/>
                      </w:rPr>
                      <w:t>Varis ir jo junginiai, išreikšti variu (Cu)</w:t>
                    </w:r>
                  </w:p>
                </w:tc>
                <w:tc>
                  <w:tcPr>
                    <w:tcW w:w="1952" w:type="dxa"/>
                    <w:vMerge/>
                    <w:vAlign w:val="center"/>
                  </w:tcPr>
                  <w:p>
                    <w:pPr>
                      <w:rPr>
                        <w:sz w:val="20"/>
                        <w:lang w:eastAsia="lt-LT"/>
                      </w:rPr>
                    </w:pPr>
                  </w:p>
                </w:tc>
                <w:tc>
                  <w:tcPr>
                    <w:tcW w:w="1594" w:type="dxa"/>
                    <w:vMerge/>
                    <w:vAlign w:val="center"/>
                  </w:tcPr>
                  <w:p>
                    <w:pPr>
                      <w:rPr>
                        <w:sz w:val="20"/>
                        <w:lang w:eastAsia="lt-LT"/>
                      </w:rPr>
                    </w:pPr>
                  </w:p>
                </w:tc>
              </w:tr>
              <w:tr>
                <w:trPr>
                  <w:cantSplit/>
                </w:trPr>
                <w:tc>
                  <w:tcPr>
                    <w:tcW w:w="5742" w:type="dxa"/>
                    <w:tcMar>
                      <w:top w:w="0" w:type="dxa"/>
                      <w:left w:w="108" w:type="dxa"/>
                      <w:bottom w:w="0" w:type="dxa"/>
                      <w:right w:w="108" w:type="dxa"/>
                    </w:tcMar>
                  </w:tcPr>
                  <w:p>
                    <w:pPr>
                      <w:rPr>
                        <w:sz w:val="20"/>
                        <w:lang w:eastAsia="lt-LT"/>
                      </w:rPr>
                    </w:pPr>
                    <w:r>
                      <w:rPr>
                        <w:sz w:val="20"/>
                        <w:lang w:eastAsia="lt-LT"/>
                      </w:rPr>
                      <w:t>Manganas ir jo junginiai, išreikšti manganu (Mn)</w:t>
                    </w:r>
                  </w:p>
                </w:tc>
                <w:tc>
                  <w:tcPr>
                    <w:tcW w:w="1952" w:type="dxa"/>
                    <w:vMerge/>
                    <w:vAlign w:val="center"/>
                  </w:tcPr>
                  <w:p>
                    <w:pPr>
                      <w:rPr>
                        <w:sz w:val="20"/>
                        <w:lang w:eastAsia="lt-LT"/>
                      </w:rPr>
                    </w:pPr>
                  </w:p>
                </w:tc>
                <w:tc>
                  <w:tcPr>
                    <w:tcW w:w="1594" w:type="dxa"/>
                    <w:vMerge/>
                    <w:vAlign w:val="center"/>
                  </w:tcPr>
                  <w:p>
                    <w:pPr>
                      <w:rPr>
                        <w:sz w:val="20"/>
                        <w:lang w:eastAsia="lt-LT"/>
                      </w:rPr>
                    </w:pPr>
                  </w:p>
                </w:tc>
              </w:tr>
              <w:tr>
                <w:trPr>
                  <w:cantSplit/>
                  <w:trHeight w:val="225"/>
                </w:trPr>
                <w:tc>
                  <w:tcPr>
                    <w:tcW w:w="5742" w:type="dxa"/>
                    <w:tcMar>
                      <w:top w:w="0" w:type="dxa"/>
                      <w:left w:w="108" w:type="dxa"/>
                      <w:bottom w:w="0" w:type="dxa"/>
                      <w:right w:w="108" w:type="dxa"/>
                    </w:tcMar>
                  </w:tcPr>
                  <w:p>
                    <w:pPr>
                      <w:rPr>
                        <w:sz w:val="20"/>
                        <w:lang w:eastAsia="lt-LT"/>
                      </w:rPr>
                    </w:pPr>
                    <w:r>
                      <w:rPr>
                        <w:sz w:val="20"/>
                        <w:lang w:eastAsia="lt-LT"/>
                      </w:rPr>
                      <w:t>Nikelis ir jo junginiai, išreikšti nikeliu (Ni)</w:t>
                    </w:r>
                  </w:p>
                </w:tc>
                <w:tc>
                  <w:tcPr>
                    <w:tcW w:w="1952" w:type="dxa"/>
                    <w:vMerge/>
                    <w:vAlign w:val="center"/>
                  </w:tcPr>
                  <w:p>
                    <w:pPr>
                      <w:rPr>
                        <w:sz w:val="20"/>
                        <w:lang w:eastAsia="lt-LT"/>
                      </w:rPr>
                    </w:pPr>
                  </w:p>
                </w:tc>
                <w:tc>
                  <w:tcPr>
                    <w:tcW w:w="1594" w:type="dxa"/>
                    <w:vMerge/>
                    <w:vAlign w:val="center"/>
                  </w:tcPr>
                  <w:p>
                    <w:pPr>
                      <w:rPr>
                        <w:sz w:val="20"/>
                        <w:lang w:eastAsia="lt-LT"/>
                      </w:rPr>
                    </w:pPr>
                  </w:p>
                </w:tc>
              </w:tr>
              <w:tr>
                <w:trPr>
                  <w:cantSplit/>
                </w:trPr>
                <w:tc>
                  <w:tcPr>
                    <w:tcW w:w="5742" w:type="dxa"/>
                    <w:tcMar>
                      <w:top w:w="0" w:type="dxa"/>
                      <w:left w:w="108" w:type="dxa"/>
                      <w:bottom w:w="0" w:type="dxa"/>
                      <w:right w:w="108" w:type="dxa"/>
                    </w:tcMar>
                  </w:tcPr>
                  <w:p>
                    <w:pPr>
                      <w:rPr>
                        <w:sz w:val="20"/>
                        <w:lang w:eastAsia="lt-LT"/>
                      </w:rPr>
                    </w:pPr>
                    <w:r>
                      <w:rPr>
                        <w:sz w:val="20"/>
                        <w:lang w:eastAsia="lt-LT"/>
                      </w:rPr>
                      <w:t>Vanadis ir jo junginiai, išreikšti vanadžiu (V)</w:t>
                    </w:r>
                  </w:p>
                </w:tc>
                <w:tc>
                  <w:tcPr>
                    <w:tcW w:w="1952" w:type="dxa"/>
                    <w:vMerge/>
                    <w:vAlign w:val="center"/>
                  </w:tcPr>
                  <w:p>
                    <w:pPr>
                      <w:rPr>
                        <w:sz w:val="20"/>
                        <w:lang w:eastAsia="lt-LT"/>
                      </w:rPr>
                    </w:pPr>
                  </w:p>
                </w:tc>
                <w:tc>
                  <w:tcPr>
                    <w:tcW w:w="1594" w:type="dxa"/>
                    <w:vMerge/>
                    <w:vAlign w:val="center"/>
                  </w:tcPr>
                  <w:p>
                    <w:pPr>
                      <w:rPr>
                        <w:sz w:val="20"/>
                        <w:lang w:eastAsia="lt-LT"/>
                      </w:rPr>
                    </w:pPr>
                  </w:p>
                </w:tc>
              </w:tr>
            </w:tbl>
            <w:p>
              <w:pPr>
                <w:ind w:firstLine="567"/>
                <w:jc w:val="both"/>
                <w:rPr>
                  <w:szCs w:val="24"/>
                  <w:lang w:eastAsia="lt-LT"/>
                </w:rPr>
              </w:pPr>
              <w:r>
                <w:rPr>
                  <w:szCs w:val="24"/>
                  <w:lang w:eastAsia="lt-LT"/>
                </w:rPr>
                <w:t>Šios vidutinės vertės taip pat taikomos atitinkamų sunkiųjų metalų ir jų junginių dujoms ir garams.</w:t>
              </w:r>
            </w:p>
            <w:p>
              <w:pPr>
                <w:widowControl w:val="0"/>
                <w:suppressAutoHyphens/>
                <w:ind w:firstLine="567"/>
                <w:jc w:val="center"/>
                <w:rPr>
                  <w:rFonts w:eastAsia="Lucida Sans Unicod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5 pr. 4 p."/>
            <w:tag w:val="part_afb970ff25b942a3a03e7486d7ff1f44"/>
            <w:lock w:val="sdtLocked"/>
            <w:richText/>
          </w:sdtPr>
          <w:sdtContent>
            <w:p>
              <w:pPr>
                <w:widowControl w:val="0"/>
                <w:suppressAutoHyphens/>
                <w:jc w:val="center"/>
                <w:rPr>
                  <w:rFonts w:eastAsia="Lucida Sans Unicode"/>
                  <w:szCs w:val="24"/>
                  <w:lang w:eastAsia="lt-LT"/>
                </w:rPr>
              </w:pPr>
              <w:sdt>
                <w:sdtPr>
                  <w:alias w:val="Numeris"/>
                  <w:tag w:val="nr_afb970ff25b942a3a03e7486d7ff1f44"/>
                  <w:lock w:val="sdtLocked"/>
                  <w:richText/>
                </w:sdtPr>
                <w:sdtContent>
                  <w:r>
                    <w:rPr>
                      <w:rFonts w:eastAsia="Lucida Sans Unicode"/>
                      <w:b/>
                      <w:bCs/>
                      <w:szCs w:val="24"/>
                      <w:lang w:eastAsia="lt-LT"/>
                    </w:rPr>
                    <w:t>4</w:t>
                  </w:r>
                </w:sdtContent>
              </w:sdt>
              <w:r>
                <w:rPr>
                  <w:rFonts w:eastAsia="Lucida Sans Unicode"/>
                  <w:b/>
                  <w:bCs/>
                  <w:szCs w:val="24"/>
                  <w:lang w:eastAsia="lt-LT"/>
                </w:rPr>
                <w:t xml:space="preserve">. </w:t>
              </w:r>
              <w:r>
                <w:rPr>
                  <w:b/>
                  <w:color w:val="000000"/>
                </w:rPr>
                <w:t>Vidutinės vertės, nustatytos ėminiuose, paimtuose per mažiausiai 6 valandų ir daugiausiai 8 valandų laikotarpį</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46"/>
                <w:gridCol w:w="4824"/>
              </w:tblGrid>
              <w:tr>
                <w:tc>
                  <w:tcPr>
                    <w:tcW w:w="4295" w:type="dxa"/>
                    <w:tcMar>
                      <w:top w:w="0" w:type="dxa"/>
                      <w:left w:w="108" w:type="dxa"/>
                      <w:bottom w:w="0" w:type="dxa"/>
                      <w:right w:w="108" w:type="dxa"/>
                    </w:tcMar>
                  </w:tcPr>
                  <w:p>
                    <w:pPr>
                      <w:widowControl w:val="0"/>
                      <w:suppressAutoHyphens/>
                      <w:ind w:firstLine="567"/>
                      <w:rPr>
                        <w:rFonts w:eastAsia="Lucida Sans Unicode"/>
                        <w:sz w:val="20"/>
                        <w:lang w:eastAsia="lt-LT"/>
                      </w:rPr>
                    </w:pPr>
                    <w:r>
                      <w:rPr>
                        <w:rFonts w:eastAsia="Lucida Sans Unicode"/>
                        <w:sz w:val="20"/>
                        <w:lang w:eastAsia="lt-LT"/>
                      </w:rPr>
                      <w:t>Dioksinai ir furanai</w:t>
                    </w:r>
                  </w:p>
                </w:tc>
                <w:tc>
                  <w:tcPr>
                    <w:tcW w:w="4885" w:type="dxa"/>
                    <w:tcMar>
                      <w:top w:w="0" w:type="dxa"/>
                      <w:left w:w="108" w:type="dxa"/>
                      <w:bottom w:w="0" w:type="dxa"/>
                      <w:right w:w="108" w:type="dxa"/>
                    </w:tcMar>
                  </w:tcPr>
                  <w:p>
                    <w:pPr>
                      <w:widowControl w:val="0"/>
                      <w:suppressAutoHyphens/>
                      <w:ind w:firstLine="567"/>
                      <w:jc w:val="both"/>
                      <w:rPr>
                        <w:rFonts w:eastAsia="Lucida Sans Unicode"/>
                        <w:sz w:val="20"/>
                        <w:lang w:eastAsia="lt-LT"/>
                      </w:rPr>
                    </w:pPr>
                    <w:r>
                      <w:rPr>
                        <w:rFonts w:eastAsia="Lucida Sans Unicode"/>
                        <w:sz w:val="20"/>
                        <w:lang w:eastAsia="lt-LT"/>
                      </w:rPr>
                      <w:t>0,1 ng/Nm</w:t>
                    </w:r>
                    <w:r>
                      <w:rPr>
                        <w:rFonts w:eastAsia="Lucida Sans Unicode"/>
                        <w:sz w:val="20"/>
                        <w:vertAlign w:val="superscript"/>
                        <w:lang w:eastAsia="lt-LT"/>
                      </w:rPr>
                      <w:t>3</w:t>
                    </w:r>
                  </w:p>
                </w:tc>
              </w:tr>
            </w:tbl>
            <w:p>
              <w:pPr>
                <w:widowControl w:val="0"/>
                <w:suppressAutoHyphens/>
                <w:ind w:firstLine="567"/>
                <w:jc w:val="both"/>
                <w:rPr>
                  <w:szCs w:val="24"/>
                  <w:lang w:eastAsia="lt-LT"/>
                </w:rPr>
              </w:pPr>
            </w:p>
            <w:sdt>
              <w:sdtPr>
                <w:alias w:val="4.1 p."/>
                <w:tag w:val="part_4d8776cc5f144b5ab0fef5343710b8b1"/>
                <w:lock w:val="sdtLocked"/>
                <w:richText/>
              </w:sdtPr>
              <w:sdtContent>
                <w:p>
                  <w:pPr>
                    <w:widowControl w:val="0"/>
                    <w:suppressAutoHyphens/>
                    <w:ind w:firstLine="567"/>
                    <w:jc w:val="both"/>
                    <w:rPr>
                      <w:rFonts w:eastAsia="Lucida Sans Unicode"/>
                      <w:szCs w:val="24"/>
                      <w:lang w:eastAsia="lt-LT"/>
                    </w:rPr>
                  </w:pPr>
                  <w:sdt>
                    <w:sdtPr>
                      <w:alias w:val="Numeris"/>
                      <w:tag w:val="nr_4d8776cc5f144b5ab0fef5343710b8b1"/>
                      <w:lock w:val="sdtLocked"/>
                      <w:richText/>
                    </w:sdtPr>
                    <w:sdtContent>
                      <w:r>
                        <w:rPr>
                          <w:szCs w:val="24"/>
                          <w:lang w:eastAsia="lt-LT"/>
                        </w:rPr>
                        <w:t>4.1</w:t>
                      </w:r>
                    </w:sdtContent>
                  </w:sdt>
                  <w:r>
                    <w:rPr>
                      <w:szCs w:val="24"/>
                      <w:lang w:eastAsia="lt-LT"/>
                    </w:rPr>
                    <w:t xml:space="preserve">. Dioksinų ir furanų ribinė vertė </w:t>
                  </w:r>
                  <w:r>
                    <w:rPr>
                      <w:rFonts w:eastAsia="Lucida Sans Unicode"/>
                      <w:szCs w:val="24"/>
                      <w:lang w:eastAsia="lt-LT"/>
                    </w:rPr>
                    <w:t xml:space="preserve">atitinka bendrą jų koncentraciją ir </w:t>
                  </w:r>
                  <w:r>
                    <w:rPr>
                      <w:szCs w:val="24"/>
                      <w:lang w:eastAsia="lt-LT"/>
                    </w:rPr>
                    <w:t>apskaičiuojama pagal 1 priedą.</w:t>
                  </w:r>
                </w:p>
                <w:p>
                  <w:pPr>
                    <w:widowControl w:val="0"/>
                    <w:suppressAutoHyphens/>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2de50a5ce11e3aeb49a67165e3ad3">
                <w:r w:rsidRPr="00532B9F">
                  <w:rPr>
                    <w:rFonts w:ascii="Times New Roman" w:eastAsia="MS Mincho" w:hAnsi="Times New Roman"/>
                    <w:sz w:val="20"/>
                    <w:i/>
                    <w:iCs/>
                    <w:color w:val="0000FF" w:themeColor="hyperlink"/>
                    <w:u w:val="single"/>
                  </w:rPr>
                  <w:t>D1-257</w:t>
                </w:r>
              </w:fldSimple>
              <w:r>
                <w:rPr>
                  <w:rFonts w:ascii="Times New Roman" w:eastAsia="MS Mincho" w:hAnsi="Times New Roman"/>
                  <w:sz w:val="20"/>
                  <w:i/>
                  <w:iCs/>
                </w:rPr>
                <w:t>,
2014-03-06,
paskelbta TAR 2014-03-07, i. k. 2014-02874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c75b038a111ec992fe4cdfceb5666">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2021-10-29,
paskelbta TAR 2021-10-29, i. k. 2021-22661            </w:t>
              </w:r>
            </w:p>
            <w:p/>
          </w:sdtContent>
        </w:sdt>
        <w:sdt>
          <w:sdtPr>
            <w:alias w:val="5 pr. 5 p."/>
            <w:tag w:val="part_e9f592f66d1c4963afff5d7efa89e6df"/>
            <w:lock w:val="sdtLocked"/>
            <w:richText/>
          </w:sdtPr>
          <w:sdtContent>
            <w:p>
              <w:pPr>
                <w:widowControl w:val="0"/>
                <w:suppressAutoHyphens/>
                <w:jc w:val="center"/>
                <w:rPr>
                  <w:rFonts w:eastAsia="Lucida Sans Unicode"/>
                  <w:szCs w:val="24"/>
                  <w:lang w:val="en-US" w:eastAsia="lt-LT"/>
                </w:rPr>
              </w:pPr>
              <w:sdt>
                <w:sdtPr>
                  <w:alias w:val="Numeris"/>
                  <w:tag w:val="nr_e9f592f66d1c4963afff5d7efa89e6df"/>
                  <w:lock w:val="sdtLocked"/>
                  <w:richText/>
                </w:sdtPr>
                <w:sdtContent>
                  <w:r>
                    <w:rPr>
                      <w:rFonts w:eastAsia="Lucida Sans Unicode"/>
                      <w:b/>
                      <w:bCs/>
                      <w:szCs w:val="24"/>
                      <w:lang w:eastAsia="lt-LT"/>
                    </w:rPr>
                    <w:t>5</w:t>
                  </w:r>
                </w:sdtContent>
              </w:sdt>
              <w:r>
                <w:rPr>
                  <w:rFonts w:eastAsia="Lucida Sans Unicode"/>
                  <w:b/>
                  <w:bCs/>
                  <w:szCs w:val="24"/>
                  <w:lang w:eastAsia="lt-LT"/>
                </w:rPr>
                <w:t>. Anglies monoksido ribinės vertės degimo dujose</w:t>
              </w:r>
            </w:p>
            <w:sdt>
              <w:sdtPr>
                <w:alias w:val="5 pr. 5 p."/>
                <w:tag w:val="part_7521a2eb55b840698ff0f00cbd4015b3"/>
                <w:lock w:val="sdtLocked"/>
                <w:richText/>
              </w:sdtPr>
              <w:sdtContent>
                <w:p>
                  <w:pPr>
                    <w:ind w:firstLine="567"/>
                    <w:jc w:val="both"/>
                    <w:rPr>
                      <w:szCs w:val="24"/>
                      <w:lang w:eastAsia="lt-LT"/>
                    </w:rPr>
                  </w:pPr>
                  <w:sdt>
                    <w:sdtPr>
                      <w:alias w:val="Numeris"/>
                      <w:tag w:val="nr_7521a2eb55b840698ff0f00cbd4015b3"/>
                      <w:lock w:val="sdtLocked"/>
                      <w:richText/>
                    </w:sdtPr>
                    <w:sdtContent>
                      <w:r>
                        <w:rPr>
                          <w:bCs/>
                          <w:szCs w:val="24"/>
                          <w:lang w:eastAsia="lt-LT"/>
                        </w:rPr>
                        <w:t>5</w:t>
                      </w:r>
                    </w:sdtContent>
                  </w:sdt>
                  <w:r>
                    <w:rPr>
                      <w:bCs/>
                      <w:szCs w:val="24"/>
                      <w:lang w:eastAsia="lt-LT"/>
                    </w:rPr>
                    <w:t>. Anglies monoksido ribinės vertės degimo dujose</w:t>
                  </w:r>
                </w:p>
                <w:sdt>
                  <w:sdtPr>
                    <w:alias w:val="5 pr. 5.1 p."/>
                    <w:tag w:val="part_54979338327349eb82ee071b1054e134"/>
                    <w:lock w:val="sdtLocked"/>
                    <w:richText/>
                  </w:sdtPr>
                  <w:sdtContent>
                    <w:p>
                      <w:pPr>
                        <w:ind w:firstLine="567"/>
                        <w:jc w:val="both"/>
                        <w:rPr>
                          <w:szCs w:val="24"/>
                          <w:lang w:eastAsia="lt-LT"/>
                        </w:rPr>
                      </w:pPr>
                      <w:sdt>
                        <w:sdtPr>
                          <w:alias w:val="Numeris"/>
                          <w:tag w:val="nr_54979338327349eb82ee071b1054e134"/>
                          <w:lock w:val="sdtLocked"/>
                          <w:richText/>
                        </w:sdtPr>
                        <w:sdtContent>
                          <w:r>
                            <w:rPr>
                              <w:szCs w:val="24"/>
                              <w:lang w:eastAsia="lt-LT"/>
                            </w:rPr>
                            <w:t>5.1</w:t>
                          </w:r>
                        </w:sdtContent>
                      </w:sdt>
                      <w:r>
                        <w:rPr>
                          <w:szCs w:val="24"/>
                          <w:lang w:eastAsia="lt-LT"/>
                        </w:rPr>
                        <w:t>. Neturi būti viršijamos šios anglies monoksido (CO) degimo dujose ribinės vertės:</w:t>
                      </w:r>
                    </w:p>
                    <w:sdt>
                      <w:sdtPr>
                        <w:alias w:val="5 pr. 5.1.1 p."/>
                        <w:tag w:val="part_0bef549424f84f12937fe24fcc162a93"/>
                        <w:lock w:val="sdtLocked"/>
                        <w:richText/>
                      </w:sdtPr>
                      <w:sdtContent>
                        <w:p>
                          <w:pPr>
                            <w:ind w:firstLine="567"/>
                            <w:jc w:val="both"/>
                            <w:rPr>
                              <w:szCs w:val="24"/>
                              <w:lang w:eastAsia="lt-LT"/>
                            </w:rPr>
                          </w:pPr>
                          <w:sdt>
                            <w:sdtPr>
                              <w:alias w:val="Numeris"/>
                              <w:tag w:val="nr_0bef549424f84f12937fe24fcc162a93"/>
                              <w:lock w:val="sdtLocked"/>
                              <w:richText/>
                            </w:sdtPr>
                            <w:sdtContent>
                              <w:r>
                                <w:rPr>
                                  <w:szCs w:val="24"/>
                                  <w:lang w:eastAsia="lt-LT"/>
                                </w:rPr>
                                <w:t>5.1.1</w:t>
                              </w:r>
                            </w:sdtContent>
                          </w:sdt>
                          <w:r>
                            <w:rPr>
                              <w:szCs w:val="24"/>
                              <w:lang w:eastAsia="lt-LT"/>
                            </w:rPr>
                            <w:t>. 50 mg/Nm</w:t>
                          </w:r>
                          <w:r>
                            <w:rPr>
                              <w:szCs w:val="24"/>
                              <w:vertAlign w:val="superscript"/>
                              <w:lang w:eastAsia="lt-LT"/>
                            </w:rPr>
                            <w:t>3</w:t>
                          </w:r>
                          <w:r>
                            <w:rPr>
                              <w:szCs w:val="24"/>
                              <w:lang w:eastAsia="lt-LT"/>
                            </w:rPr>
                            <w:t xml:space="preserve"> – vidutinė paros vertė;</w:t>
                          </w:r>
                        </w:p>
                      </w:sdtContent>
                    </w:sdt>
                    <w:sdt>
                      <w:sdtPr>
                        <w:alias w:val="5 pr. 5.1.2 p."/>
                        <w:tag w:val="part_907b29ee96ed42bebe0ac9266d6dab5f"/>
                        <w:lock w:val="sdtLocked"/>
                        <w:richText/>
                      </w:sdtPr>
                      <w:sdtContent>
                        <w:p>
                          <w:pPr>
                            <w:ind w:firstLine="567"/>
                            <w:jc w:val="both"/>
                            <w:rPr>
                              <w:szCs w:val="24"/>
                              <w:lang w:eastAsia="lt-LT"/>
                            </w:rPr>
                          </w:pPr>
                          <w:sdt>
                            <w:sdtPr>
                              <w:alias w:val="Numeris"/>
                              <w:tag w:val="nr_907b29ee96ed42bebe0ac9266d6dab5f"/>
                              <w:lock w:val="sdtLocked"/>
                              <w:richText/>
                            </w:sdtPr>
                            <w:sdtContent>
                              <w:r>
                                <w:rPr>
                                  <w:szCs w:val="24"/>
                                  <w:lang w:eastAsia="lt-LT"/>
                                </w:rPr>
                                <w:t>5.1.2</w:t>
                              </w:r>
                            </w:sdtContent>
                          </w:sdt>
                          <w:r>
                            <w:rPr>
                              <w:szCs w:val="24"/>
                              <w:lang w:eastAsia="lt-LT"/>
                            </w:rPr>
                            <w:t>. 100 mg/Nm</w:t>
                          </w:r>
                          <w:r>
                            <w:rPr>
                              <w:szCs w:val="24"/>
                              <w:vertAlign w:val="superscript"/>
                              <w:lang w:eastAsia="lt-LT"/>
                            </w:rPr>
                            <w:t>3</w:t>
                          </w:r>
                          <w:r>
                            <w:rPr>
                              <w:szCs w:val="24"/>
                              <w:lang w:eastAsia="lt-LT"/>
                            </w:rPr>
                            <w:t xml:space="preserve"> – pusės valandos vidutinė vertė;</w:t>
                          </w:r>
                        </w:p>
                      </w:sdtContent>
                    </w:sdt>
                    <w:sdt>
                      <w:sdtPr>
                        <w:alias w:val="5 pr. 5.1.3 p."/>
                        <w:tag w:val="part_25efe07d43ec4c7b88c0fd2a5f19d4bc"/>
                        <w:lock w:val="sdtLocked"/>
                        <w:richText/>
                      </w:sdtPr>
                      <w:sdtContent>
                        <w:p>
                          <w:pPr>
                            <w:ind w:firstLine="567"/>
                            <w:jc w:val="both"/>
                            <w:rPr>
                              <w:szCs w:val="24"/>
                              <w:lang w:eastAsia="lt-LT"/>
                            </w:rPr>
                          </w:pPr>
                          <w:sdt>
                            <w:sdtPr>
                              <w:alias w:val="Numeris"/>
                              <w:tag w:val="nr_25efe07d43ec4c7b88c0fd2a5f19d4bc"/>
                              <w:lock w:val="sdtLocked"/>
                              <w:richText/>
                            </w:sdtPr>
                            <w:sdtContent>
                              <w:r>
                                <w:rPr>
                                  <w:szCs w:val="24"/>
                                  <w:lang w:eastAsia="lt-LT"/>
                                </w:rPr>
                                <w:t>5.1.3</w:t>
                              </w:r>
                            </w:sdtContent>
                          </w:sdt>
                          <w:r>
                            <w:rPr>
                              <w:szCs w:val="24"/>
                              <w:lang w:eastAsia="lt-LT"/>
                            </w:rPr>
                            <w:t>.</w:t>
                          </w:r>
                          <w:r>
                            <w:rPr>
                              <w:b/>
                              <w:szCs w:val="24"/>
                              <w:lang w:eastAsia="lt-LT"/>
                            </w:rPr>
                            <w:t xml:space="preserve"> </w:t>
                          </w:r>
                          <w:r>
                            <w:rPr>
                              <w:szCs w:val="24"/>
                              <w:lang w:eastAsia="lt-LT"/>
                            </w:rPr>
                            <w:t>150 mg/Nm</w:t>
                          </w:r>
                          <w:r>
                            <w:rPr>
                              <w:szCs w:val="24"/>
                              <w:vertAlign w:val="superscript"/>
                              <w:lang w:eastAsia="lt-LT"/>
                            </w:rPr>
                            <w:t>3</w:t>
                          </w:r>
                          <w:r>
                            <w:rPr>
                              <w:szCs w:val="24"/>
                              <w:lang w:eastAsia="lt-LT"/>
                            </w:rPr>
                            <w:t xml:space="preserve"> – 10 minučių vidutinė vertė. </w:t>
                          </w:r>
                        </w:p>
                      </w:sdtContent>
                    </w:sdt>
                  </w:sdtContent>
                </w:sdt>
                <w:sdt>
                  <w:sdtPr>
                    <w:alias w:val="5 pr. 5.2 p."/>
                    <w:tag w:val="part_566df4bb7c1f4d949b6e0b22de1f55c4"/>
                    <w:lock w:val="sdtLocked"/>
                    <w:richText/>
                  </w:sdtPr>
                  <w:sdtContent>
                    <w:p>
                      <w:pPr>
                        <w:suppressAutoHyphens/>
                        <w:ind w:firstLine="567"/>
                        <w:jc w:val="both"/>
                        <w:rPr>
                          <w:szCs w:val="24"/>
                          <w:lang w:eastAsia="ar-SA"/>
                        </w:rPr>
                      </w:pPr>
                      <w:sdt>
                        <w:sdtPr>
                          <w:alias w:val="Numeris"/>
                          <w:tag w:val="nr_566df4bb7c1f4d949b6e0b22de1f55c4"/>
                          <w:lock w:val="sdtLocked"/>
                          <w:richText/>
                        </w:sdtPr>
                        <w:sdtContent>
                          <w:r>
                            <w:rPr>
                              <w:szCs w:val="24"/>
                              <w:lang w:eastAsia="lt-LT"/>
                            </w:rPr>
                            <w:t>5.2</w:t>
                          </w:r>
                        </w:sdtContent>
                      </w:sdt>
                      <w:r>
                        <w:rPr>
                          <w:szCs w:val="24"/>
                          <w:lang w:eastAsia="lt-LT"/>
                        </w:rPr>
                        <w:t xml:space="preserve">. Deginimo įrenginiai, naudojantys verdančio sluoksnio technologiją, gali </w:t>
                      </w:r>
                      <w:r>
                        <w:rPr>
                          <w:szCs w:val="24"/>
                          <w:lang w:eastAsia="ar-SA"/>
                        </w:rPr>
                        <w:t>nukrypti nuo šiame punkte nustatytų išmetamų teršalų ribinių verčių, jei leidime nustatyta išmetamo CO ribinė vertė yra ne didesnė kaip 100 mg/Nm</w:t>
                      </w:r>
                      <w:r>
                        <w:rPr>
                          <w:szCs w:val="24"/>
                          <w:vertAlign w:val="superscript"/>
                          <w:lang w:eastAsia="ar-SA"/>
                        </w:rPr>
                        <w:t>3</w:t>
                      </w:r>
                      <w:r>
                        <w:rPr>
                          <w:szCs w:val="24"/>
                          <w:lang w:eastAsia="lt-LT"/>
                        </w:rPr>
                        <w:t>, išreikšta kaip vidutinė valandos vertė.</w:t>
                      </w:r>
                    </w:p>
                    <w:p>
                      <w:pPr>
                        <w:suppressAutoHyphens/>
                        <w:ind w:firstLine="567"/>
                        <w:jc w:val="both"/>
                        <w:rPr>
                          <w:b/>
                          <w:bCs/>
                          <w:sz w:val="20"/>
                          <w:lang w:eastAsia="lt-LT"/>
                        </w:rPr>
                      </w:pPr>
                    </w:p>
                    <w:p>
                      <w:pPr>
                        <w:suppressAutoHyphens/>
                        <w:jc w:val="center"/>
                      </w:pPr>
                      <w:r>
                        <w:rPr>
                          <w:b/>
                          <w:bCs/>
                          <w:sz w:val="20"/>
                          <w:lang w:eastAsia="lt-LT"/>
                        </w:rPr>
                        <w:t>_________________</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0F9D232753">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2013-04-16,
Žin., 2013, Nr.
42-2082 (2013-04-24), i. k. 113301MISAK00D1-264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DFF5F72264">
            <w:r w:rsidRPr="00532B9F">
              <w:rPr>
                <w:rFonts w:ascii="Times New Roman" w:eastAsia="MS Mincho" w:hAnsi="Times New Roman"/>
                <w:sz w:val="20"/>
                <w:iCs/>
                <w:color w:val="0000FF" w:themeColor="hyperlink"/>
                <w:u w:val="single"/>
              </w:rPr>
              <w:t>D1-601</w:t>
            </w:r>
          </w:fldSimple>
          <w:r>
            <w:rPr>
              <w:rFonts w:ascii="Times New Roman" w:eastAsia="MS Mincho" w:hAnsi="Times New Roman"/>
              <w:sz w:val="20"/>
              <w:iCs/>
            </w:rPr>
            <w:t>,
2005-12-12,
Žin., 2005, Nr.
147-5366 (2005-12-17), i. k. 105301MISAK00D1-601                </w:t>
          </w:r>
        </w:p>
        <w:p>
          <w:pPr>
            <w:jc w:val="both"/>
            <w:rPr>
              <w:rFonts w:ascii="Times New Roman" w:hAnsi="Times New Roman"/>
            </w:rPr>
          </w:pPr>
          <w:r>
            <w:rPr>
              <w:rFonts w:ascii="Times New Roman" w:hAnsi="Times New Roman"/>
              <w:sz w:val="20"/>
            </w:rPr>
            <w:t>Dėl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C68D8A317C">
            <w:r w:rsidRPr="00532B9F">
              <w:rPr>
                <w:rFonts w:ascii="Times New Roman" w:eastAsia="MS Mincho" w:hAnsi="Times New Roman"/>
                <w:sz w:val="20"/>
                <w:iCs/>
                <w:color w:val="0000FF" w:themeColor="hyperlink"/>
                <w:u w:val="single"/>
              </w:rPr>
              <w:t>D1-564</w:t>
            </w:r>
          </w:fldSimple>
          <w:r>
            <w:rPr>
              <w:rFonts w:ascii="Times New Roman" w:eastAsia="MS Mincho" w:hAnsi="Times New Roman"/>
              <w:sz w:val="20"/>
              <w:iCs/>
            </w:rPr>
            <w:t>,
2006-12-04,
Žin., 2006, Nr.
135-5116 (2006-12-12), i. k. 106301MISAK00D1-564                </w:t>
          </w:r>
        </w:p>
        <w:p>
          <w:pPr>
            <w:jc w:val="both"/>
            <w:rPr>
              <w:rFonts w:ascii="Times New Roman" w:hAnsi="Times New Roman"/>
            </w:rPr>
          </w:pPr>
          <w:r>
            <w:rPr>
              <w:rFonts w:ascii="Times New Roman" w:hAnsi="Times New Roman"/>
              <w:sz w:val="20"/>
            </w:rPr>
            <w:t>Dėl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A2852A26B36">
            <w:r w:rsidRPr="00532B9F">
              <w:rPr>
                <w:rFonts w:ascii="Times New Roman" w:eastAsia="MS Mincho" w:hAnsi="Times New Roman"/>
                <w:sz w:val="20"/>
                <w:iCs/>
                <w:color w:val="0000FF" w:themeColor="hyperlink"/>
                <w:u w:val="single"/>
              </w:rPr>
              <w:t>D1-487</w:t>
            </w:r>
          </w:fldSimple>
          <w:r>
            <w:rPr>
              <w:rFonts w:ascii="Times New Roman" w:eastAsia="MS Mincho" w:hAnsi="Times New Roman"/>
              <w:sz w:val="20"/>
              <w:iCs/>
            </w:rPr>
            <w:t>,
2008-09-23,
Žin., 2008, Nr.
111-4253 (2008-09-27), i. k. 108301MISAK00D1-487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4EF00A860">
            <w:r w:rsidRPr="00532B9F">
              <w:rPr>
                <w:rFonts w:ascii="Times New Roman" w:eastAsia="MS Mincho" w:hAnsi="Times New Roman"/>
                <w:sz w:val="20"/>
                <w:iCs/>
                <w:color w:val="0000FF" w:themeColor="hyperlink"/>
                <w:u w:val="single"/>
              </w:rPr>
              <w:t>D1-515</w:t>
            </w:r>
          </w:fldSimple>
          <w:r>
            <w:rPr>
              <w:rFonts w:ascii="Times New Roman" w:eastAsia="MS Mincho" w:hAnsi="Times New Roman"/>
              <w:sz w:val="20"/>
              <w:iCs/>
            </w:rPr>
            <w:t>,
2010-06-16,
Žin., 2010, Nr.
79-4115 (2010-07-03), i. k. 110301MISAK00D1-515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32D2B1FCBB">
            <w:r w:rsidRPr="00532B9F">
              <w:rPr>
                <w:rFonts w:ascii="Times New Roman" w:eastAsia="MS Mincho" w:hAnsi="Times New Roman"/>
                <w:sz w:val="20"/>
                <w:iCs/>
                <w:color w:val="0000FF" w:themeColor="hyperlink"/>
                <w:u w:val="single"/>
              </w:rPr>
              <w:t>D1-835</w:t>
            </w:r>
          </w:fldSimple>
          <w:r>
            <w:rPr>
              <w:rFonts w:ascii="Times New Roman" w:eastAsia="MS Mincho" w:hAnsi="Times New Roman"/>
              <w:sz w:val="20"/>
              <w:iCs/>
            </w:rPr>
            <w:t>,
2010-10-01,
Žin., 2010, Nr.
121-6185 (2010-10-13), i. k. 110301MISAK00D1-835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0F9D232753">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2013-04-16,
Žin., 2013, Nr.
42-2082 (2013-04-24), i. k. 113301MISAK00D1-264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b42de50a5ce11e3aeb49a67165e3ad3">
            <w:r w:rsidRPr="00532B9F">
              <w:rPr>
                <w:rFonts w:ascii="Times New Roman" w:eastAsia="MS Mincho" w:hAnsi="Times New Roman"/>
                <w:sz w:val="20"/>
                <w:iCs/>
                <w:color w:val="0000FF" w:themeColor="hyperlink"/>
                <w:u w:val="single"/>
              </w:rPr>
              <w:t>D1-257</w:t>
            </w:r>
          </w:fldSimple>
          <w:r>
            <w:rPr>
              <w:rFonts w:ascii="Times New Roman" w:eastAsia="MS Mincho" w:hAnsi="Times New Roman"/>
              <w:sz w:val="20"/>
              <w:iCs/>
            </w:rPr>
            <w:t>,
2014-03-06,
paskelbta TAR 2014-03-07, i. k. 2014-02874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b764d6064b811e4b6b89037654e22b1">
            <w:r w:rsidRPr="00532B9F">
              <w:rPr>
                <w:rFonts w:ascii="Times New Roman" w:eastAsia="MS Mincho" w:hAnsi="Times New Roman"/>
                <w:sz w:val="20"/>
                <w:iCs/>
                <w:color w:val="0000FF" w:themeColor="hyperlink"/>
                <w:u w:val="single"/>
              </w:rPr>
              <w:t>D1-853</w:t>
            </w:r>
          </w:fldSimple>
          <w:r>
            <w:rPr>
              <w:rFonts w:ascii="Times New Roman" w:eastAsia="MS Mincho" w:hAnsi="Times New Roman"/>
              <w:sz w:val="20"/>
              <w:iCs/>
            </w:rPr>
            <w:t>,
2014-10-24,
paskelbta TAR 2014-11-05, i. k. 2014-15815                </w:t>
          </w:r>
        </w:p>
        <w:p>
          <w:pPr>
            <w:jc w:val="both"/>
            <w:rPr>
              <w:rFonts w:ascii="Times New Roman" w:hAnsi="Times New Roman"/>
            </w:rPr>
          </w:pPr>
          <w:r>
            <w:rPr>
              <w:rFonts w:ascii="Times New Roman" w:hAnsi="Times New Roman"/>
              <w:sz w:val="20"/>
            </w:rPr>
            <w:t>Lietuvos Respublikos aplinkos ministro įsakymas „Dėl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9ac700f57611e4927fda1d051299fb">
            <w:r w:rsidRPr="00532B9F">
              <w:rPr>
                <w:rFonts w:ascii="Times New Roman" w:eastAsia="MS Mincho" w:hAnsi="Times New Roman"/>
                <w:sz w:val="20"/>
                <w:iCs/>
                <w:color w:val="0000FF" w:themeColor="hyperlink"/>
                <w:u w:val="single"/>
              </w:rPr>
              <w:t>D1-399</w:t>
            </w:r>
          </w:fldSimple>
          <w:r>
            <w:rPr>
              <w:rFonts w:ascii="Times New Roman" w:eastAsia="MS Mincho" w:hAnsi="Times New Roman"/>
              <w:sz w:val="20"/>
              <w:iCs/>
            </w:rPr>
            <w:t>,
2015-05-08,
paskelbta TAR 2015-05-08, i. k. 2015-07010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0d3a80c90411e7910a89ac20768b0f">
            <w:r w:rsidRPr="00532B9F">
              <w:rPr>
                <w:rFonts w:ascii="Times New Roman" w:eastAsia="MS Mincho" w:hAnsi="Times New Roman"/>
                <w:sz w:val="20"/>
                <w:iCs/>
                <w:color w:val="0000FF" w:themeColor="hyperlink"/>
                <w:u w:val="single"/>
              </w:rPr>
              <w:t>D1-926</w:t>
            </w:r>
          </w:fldSimple>
          <w:r>
            <w:rPr>
              <w:rFonts w:ascii="Times New Roman" w:eastAsia="MS Mincho" w:hAnsi="Times New Roman"/>
              <w:sz w:val="20"/>
              <w:iCs/>
            </w:rPr>
            <w:t>,
2017-11-13,
paskelbta TAR 2017-11-14, i. k. 2017-17921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23aa00790411e8ae2bfd1913d66d57">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2018-06-18,
paskelbta TAR 2018-06-26, i. k. 2018-10483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209630290f11e9b66f85227a03f7a3">
            <w:r w:rsidRPr="00532B9F">
              <w:rPr>
                <w:rFonts w:ascii="Times New Roman" w:eastAsia="MS Mincho" w:hAnsi="Times New Roman"/>
                <w:sz w:val="20"/>
                <w:iCs/>
                <w:color w:val="0000FF" w:themeColor="hyperlink"/>
                <w:u w:val="single"/>
              </w:rPr>
              <w:t>D1-66</w:t>
            </w:r>
          </w:fldSimple>
          <w:r>
            <w:rPr>
              <w:rFonts w:ascii="Times New Roman" w:eastAsia="MS Mincho" w:hAnsi="Times New Roman"/>
              <w:sz w:val="20"/>
              <w:iCs/>
            </w:rPr>
            <w:t>,
2019-02-04,
paskelbta TAR 2019-02-05, i. k. 2019-01719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2c75b038a111ec992fe4cdfceb5666">
            <w:r w:rsidRPr="00532B9F">
              <w:rPr>
                <w:rFonts w:ascii="Times New Roman" w:eastAsia="MS Mincho" w:hAnsi="Times New Roman"/>
                <w:sz w:val="20"/>
                <w:iCs/>
                <w:color w:val="0000FF" w:themeColor="hyperlink"/>
                <w:u w:val="single"/>
              </w:rPr>
              <w:t>D1-632</w:t>
            </w:r>
          </w:fldSimple>
          <w:r>
            <w:rPr>
              <w:rFonts w:ascii="Times New Roman" w:eastAsia="MS Mincho" w:hAnsi="Times New Roman"/>
              <w:sz w:val="20"/>
              <w:iCs/>
            </w:rPr>
            <w:t>,
2021-10-29,
paskelbta TAR 2021-10-29, i. k. 2021-22661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1bb211bba111f092fda1fd0c194cc5">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2025-11-07,
paskelbta TAR 2025-11-07, i. k. 2025-18725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54cb0d6f10e11f09cfce49e7aeb76fe">
            <w:r w:rsidRPr="00532B9F">
              <w:rPr>
                <w:rFonts w:ascii="Times New Roman" w:eastAsia="MS Mincho" w:hAnsi="Times New Roman"/>
                <w:sz w:val="20"/>
                <w:iCs/>
                <w:color w:val="0000FF" w:themeColor="hyperlink"/>
                <w:u w:val="single"/>
              </w:rPr>
              <w:t>D1-6</w:t>
            </w:r>
          </w:fldSimple>
          <w:r>
            <w:rPr>
              <w:rFonts w:ascii="Times New Roman" w:eastAsia="MS Mincho" w:hAnsi="Times New Roman"/>
              <w:sz w:val="20"/>
              <w:iCs/>
            </w:rPr>
            <w:t>,
2026-01-14,
paskelbta TAR 2026-01-14, i. k. 2026-00440                </w:t>
          </w:r>
        </w:p>
        <w:p>
          <w:pPr>
            <w:jc w:val="both"/>
            <w:rPr>
              <w:rFonts w:ascii="Times New Roman" w:hAnsi="Times New Roman"/>
            </w:rPr>
          </w:pPr>
          <w:r>
            <w:rPr>
              <w:rFonts w:ascii="Times New Roman" w:hAnsi="Times New Roman"/>
              <w:sz w:val="20"/>
            </w:rPr>
            <w:t>Dėl Lietuvos Respublikos aplinkos ministro 2002 m. gruodžio 31 d. įsakymo Nr. 699 „Dėl Atliekų deginimo aplinkosauginių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iberationSerif-Bold">
    <w:altName w:val="Microsoft JhengHei"/>
    <w:panose1 w:val="00000000000000000000"/>
    <w:charset w:val="00"/>
    <w:family w:val="swiss"/>
    <w:notTrueType/>
    <w:pitch w:val="default"/>
    <w:sig w:usb0="00000003" w:usb1="08080000" w:usb2="00000010" w:usb3="00000000" w:csb0="00100001"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9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7CB2A733"/>
  <w15:docId w15:val="{EC66B912-04D4-403A-B445-AF858F4E14E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4332654">
      <w:marLeft w:val="0"/>
      <w:marRight w:val="0"/>
      <w:marTop w:val="0"/>
      <w:marBottom w:val="0"/>
      <w:divBdr>
        <w:top w:val="none" w:sz="0" w:space="0" w:color="auto"/>
        <w:left w:val="none" w:sz="0" w:space="0" w:color="auto"/>
        <w:bottom w:val="none" w:sz="0" w:space="0" w:color="auto"/>
        <w:right w:val="none" w:sz="0" w:space="0" w:color="auto"/>
      </w:divBdr>
      <w:divsChild>
        <w:div w:id="1771006867">
          <w:marLeft w:val="0"/>
          <w:marRight w:val="0"/>
          <w:marTop w:val="0"/>
          <w:marBottom w:val="0"/>
          <w:divBdr>
            <w:top w:val="none" w:sz="0" w:space="0" w:color="auto"/>
            <w:left w:val="none" w:sz="0" w:space="0" w:color="auto"/>
            <w:bottom w:val="none" w:sz="0" w:space="0" w:color="auto"/>
            <w:right w:val="none" w:sz="0" w:space="0" w:color="auto"/>
          </w:divBdr>
        </w:div>
        <w:div w:id="364256638">
          <w:marLeft w:val="0"/>
          <w:marRight w:val="0"/>
          <w:marTop w:val="0"/>
          <w:marBottom w:val="0"/>
          <w:divBdr>
            <w:top w:val="none" w:sz="0" w:space="0" w:color="auto"/>
            <w:left w:val="none" w:sz="0" w:space="0" w:color="auto"/>
            <w:bottom w:val="none" w:sz="0" w:space="0" w:color="auto"/>
            <w:right w:val="none" w:sz="0" w:space="0" w:color="auto"/>
          </w:divBdr>
        </w:div>
        <w:div w:id="1841113004">
          <w:marLeft w:val="0"/>
          <w:marRight w:val="0"/>
          <w:marTop w:val="0"/>
          <w:marBottom w:val="0"/>
          <w:divBdr>
            <w:top w:val="none" w:sz="0" w:space="0" w:color="auto"/>
            <w:left w:val="none" w:sz="0" w:space="0" w:color="auto"/>
            <w:bottom w:val="none" w:sz="0" w:space="0" w:color="auto"/>
            <w:right w:val="none" w:sz="0" w:space="0" w:color="auto"/>
          </w:divBdr>
        </w:div>
      </w:divsChild>
    </w:div>
    <w:div w:id="246696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7.wmf"/>
  <Relationship Id="rId14" Type="http://schemas.openxmlformats.org/officeDocument/2006/relationships/control" Target="activeX/activeX7.xml"/>
  <Relationship Id="rId15" Type="http://schemas.openxmlformats.org/officeDocument/2006/relationships/hyperlink" TargetMode="External" Target="http://eur-lex.europa.eu/legal-content/LIT/TXT/?uri=CELEX:32010L0075&amp;locale=lt"/>
  <Relationship Id="rId16" Type="http://schemas.openxmlformats.org/officeDocument/2006/relationships/hyperlink" TargetMode="External" Target="http://eur-lex.europa.eu/legal-content/LIT/TXT/?uri=CELEX:32024L1785&amp;locale=lt"/>
  <Relationship Id="rId17" Type="http://schemas.openxmlformats.org/officeDocument/2006/relationships/hyperlink" TargetMode="External" Target="http://eur-lex.europa.eu/legal-content/LIT/TXT/?uri=CELEX:32023R1542&amp;locale=lt"/>
  <Relationship Id="rId18" Type="http://schemas.openxmlformats.org/officeDocument/2006/relationships/hyperlink" TargetMode="External" Target="http://eur-lex.europa.eu/legal-content/LIT/TXT/?uri=CELEX:32008L0098&amp;locale=lt"/>
  <Relationship Id="rId19" Type="http://schemas.openxmlformats.org/officeDocument/2006/relationships/hyperlink" TargetMode="External" Target="http://eur-lex.europa.eu/legal-content/LIT/TXT/?uri=CELEX:32019R1020&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06L0066&amp;locale=lt"/>
  <Relationship Id="rId21" Type="http://schemas.openxmlformats.org/officeDocument/2006/relationships/header" Target="header19.xml"/>
  <Relationship Id="rId22" Type="http://schemas.openxmlformats.org/officeDocument/2006/relationships/header" Target="header20.xml"/>
  <Relationship Id="rId23" Type="http://schemas.openxmlformats.org/officeDocument/2006/relationships/footer" Target="footer19.xml"/>
  <Relationship Id="rId24" Type="http://schemas.openxmlformats.org/officeDocument/2006/relationships/footer" Target="footer20.xml"/>
  <Relationship Id="rId25" Type="http://schemas.openxmlformats.org/officeDocument/2006/relationships/header" Target="header21.xml"/>
  <Relationship Id="rId26" Type="http://schemas.openxmlformats.org/officeDocument/2006/relationships/footer" Target="footer21.xml"/>
  <Relationship Id="rId27" Type="http://schemas.openxmlformats.org/officeDocument/2006/relationships/hyperlink" TargetMode="External" Target="http://eur-lex.europa.eu/legal-content/LIT/TXT/?uri=CELEX:32023R1542&amp;locale=lt"/>
  <Relationship Id="rId28" Type="http://schemas.openxmlformats.org/officeDocument/2006/relationships/hyperlink" TargetMode="External" Target="http://eur-lex.europa.eu/legal-content/LIT/TXT/?uri=CELEX:32008L0098&amp;locale=lt"/>
  <Relationship Id="rId29" Type="http://schemas.openxmlformats.org/officeDocument/2006/relationships/hyperlink" TargetMode="External" Target="http://eur-lex.europa.eu/legal-content/LIT/TXT/?uri=CELEX:32019R1020&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6L0066&amp;locale=lt"/>
  <Relationship Id="rId31" Type="http://schemas.openxmlformats.org/officeDocument/2006/relationships/customXml" Target="../customXml/item1.xml"/>
  <Relationship Id="rId4" Type="http://schemas.openxmlformats.org/officeDocument/2006/relationships/hyperlink" TargetMode="External" Target="http://eur-lex.europa.eu/legal-content/LIT/TXT/?uri=CELEX:32006L0066&amp;locale=lt"/>
  <Relationship Id="rId5" Type="http://schemas.openxmlformats.org/officeDocument/2006/relationships/hyperlink" TargetMode="External" Target="http://eur-lex.europa.eu/legal-content/LIT/TXT/?uri=CELEX:32008L0098&amp;locale=lt"/>
  <Relationship Id="rId6" Type="http://schemas.openxmlformats.org/officeDocument/2006/relationships/hyperlink" TargetMode="External" Target="http://eur-lex.europa.eu/legal-content/LIT/TXT/?uri=CELEX:32010L0075&amp;locale=lt"/>
  <Relationship Id="rId7" Type="http://schemas.openxmlformats.org/officeDocument/2006/relationships/hyperlink" TargetMode="External" Target="http://eur-lex.europa.eu/legal-content/LIT/TXT/?uri=CELEX:32019R1020&amp;locale=lt"/>
  <Relationship Id="rId8" Type="http://schemas.openxmlformats.org/officeDocument/2006/relationships/hyperlink" TargetMode="External" Target="http://eur-lex.europa.eu/legal-content/LIT/TXT/?uri=CELEX:32023R1542&amp;locale=lt"/>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114037d5b468c8baaf767dbbf587a" PartId="eafebc4960be41aba2a228c6acd7023e">
    <Part Type="preambule" DocPartId="200de763996c4b258069a8b101e9a580" PartId="68e7beaa936f4e9d96f6956b5407a0c2"/>
    <Part Type="punktas" Nr="1" Abbr="1 p." DocPartId="c0ff5ce025934c21a190765fc3476b26" PartId="7d3966a29c70429e8f320ced57c5da46"/>
    <Part Type="punktas" Nr="2" Abbr="2 p." DocPartId="4b66020955214acfbb13735a4bc22d80" PartId="1d79e0e1fb234e5ca1ee5133c9960e94"/>
    <Part Type="punktas" Nr="3" Abbr="3 p." DocPartId="0a02b0ed58e64181b56e06d242719f83" PartId="1aedd3afcb3048b4a67ea738a50c7d39"/>
    <Part Type="punktas" Nr="4" Abbr="4 p." DocPartId="443be26eb6ed4dc6bcd9e143880784a9" PartId="4a99cd5fe1344c0a8a3482bb8da31b22"/>
    <Part Type="signatura" DocPartId="92a5e8e9a1994cd6b30abbcbb237d959" PartId="d8a3eb45fc3c49c9989927e6615740da"/>
  </Part>
  <Part Type="patvirtinta" Title="ATLIEKŲ DEGINIMO APLINKOSAUGINIAI REIKALAVIMAI" DocPartId="af6eab79f99a4b6f9e8d07a81bcfdee4" PartId="5d75e359b82d4e18a1a08fab9b3f0e13">
    <Part Type="skyrius" Nr="1" Title="„I SKYRIUS BENDROSIOS NUOSTATOS“;" DocPartId="ed1c36170a3a43d29a64a4ebb927307f" PartId="a7a92c9fca8b452f85f3dd322601d4bf">
      <Part Type="punktas" Nr="1" Abbr="1 p." DocPartId="4182ce77f92a40a8bb384c5888b06d55" PartId="b1a2c87dfbbc4a44adb3ae94742acb75"/>
      <Part Type="punktas" Nr="2" Abbr="2 p." DocPartId="4f8c80ab55e44da493df073f35832f85" PartId="404d9179e5d0465f98959b8f86353e00"/>
      <Part Type="punktas" Nr="3" Abbr="3 p." DocPartId="b73eb2aa99d1425b803a2b8c9c4f8112" PartId="331ce83427d342b6ba431a818e5bbcbe"/>
      <Part Type="punktas" Nr="4" Abbr="4 p." DocPartId="2abca2ab13cf443f8a6d19d703668cf3" PartId="68b2acfbc110413a9b6cc245a9e0cc84">
        <Part Type="punktas" Nr="4.1" Abbr="4.1 p." DocPartId="c6e54b8eb3804986bf179f519507b58b" PartId="2e54ae3552a74475875007c4415369d1">
          <Part Type="punktas" Nr="4.1.1" Abbr="4.1.1 p." DocPartId="d242485ce8cd488a8d58df36634cf9f3" PartId="2ccf28c0b8274e928bf63ad3dfa35dd2"/>
          <Part Type="punktas" Nr="4.1.2" Abbr="4.1.2 p." DocPartId="8f489d6b6aed41259ec42854f9543a15" PartId="1b2266090a54474a931c98b41f4e49ff"/>
          <Part Type="punktas" Nr="4.1.3" Abbr="4.1.3 p." DocPartId="a33e5183c10c4bfc9c997d6d6122c784" PartId="3ffdd9c623d14e1a85bc88ba8ef93e60"/>
          <Part Type="punktas" Nr="4.1.4" Abbr="4.1.4 p." DocPartId="79c647dfbc064df28609fc520012313d" PartId="a8ce140d9ecd4e19950dbe77047c4d22"/>
          <Part Type="punktas" Nr="4.1.5" Abbr="4.1.5 p." DocPartId="8a72be94ee7b443b996fca5e52f76469" PartId="2fae4466a4584a80a312fd3bd15e5d06"/>
          <Part Type="punktas" Nr="4.1.6" Abbr="4.1.6 p." DocPartId="cf7db54529d7498594bcfce29a57eba4" PartId="a7269f7120ce4bad8cd4966a0768a01d"/>
          <Part Type="punktas" Nr="4.1.7" Abbr="4.1.7 p." DocPartId="70f135d4cc644ded95983540406b27f7" PartId="159574fe8a964eb7b84d471b7ee62389"/>
          <Part Type="punktas" Nr="4.1.8" Abbr="4.1.8 p." DocPartId="a531ee2e1b0847b7899cbdbaa01ca822" PartId="ba76758d8549484ea1b736ef6ea3f4f9"/>
        </Part>
        <Part Type="punktas" Nr="4.2" Abbr="4.2 p." DocPartId="b0c6cdafc58e4a8f8b0f6f70dc4f12ec" PartId="271636781a934d73b3a4a47c7000d776"/>
        <Part Type="punktas" Nr="4.3" Abbr="4.3 p." DocPartId="893a64a033c549139b40a047594510d1" PartId="de4ce9f2acc34107896ed6a4d5286f10">
          <Part Type="papunktis" Nr="4.3.1" Abbr="4.3.1 pp." DocPartId="e6d07ded654f41229283efda12be1915" PartId="b04c3b128f944836a14d674c20182e0a"/>
          <Part Type="papunktis" Nr="4.3.2" Abbr="4.3.2 pp." DocPartId="003f7a9ec2334058ab1f8aad87bfdd22" PartId="76b3b42ff4e74b42b00dbae26fd51218"/>
        </Part>
      </Part>
      <Part Type="punktas" Nr="5" Abbr="5 p." DocPartId="b37fbbf3af1545b5acaa3e4ca99101c4" PartId="ef5ee677e18c47de9a0e089a0ada8a88"/>
      <Part Type="punktas" Nr="5-1" Abbr="5-1 p." DocPartId="ae8800b27d49407993fae0234100c4f1" PartId="8b136f0c938a4f9d943eb61ed0837e2c"/>
      <Part Type="punktas" Nr="6" Abbr="6 p." DocPartId="a9ee4406d462401799d9dea3de19fc96" PartId="53c0c84a70f344a2a98e4e241b1a1da0">
        <Part Type="punktas" Nr="6.1" Abbr="6.1 p." DocPartId="ab4d069eb3be421a85274e3a3a9f77c1" PartId="a789ba259a4047fab9cb9cffb115332b"/>
        <Part Type="punktas" Nr="6.1-1" Abbr="6.1-1 p." DocPartId="c47b5aefcc124b05bf8ac19c7dc937a5" PartId="f1997602bfa1478ba546a8b3744af4cf"/>
        <Part Type="punktas" Nr="6.2" Abbr="6.2 p." DocPartId="6715c4d997c14dc9b777e5bcf5332029" PartId="971646882fcb4c65be3d22d4434bc5dd"/>
        <Part Type="punktas" Nr="6.3" Abbr="6.3 p." DocPartId="6ceead9bea7548ff9a0b953a1b698823" PartId="7a79e8df67d745639b5356a2bf88338c"/>
        <Part Type="punktas" Nr="6.4" Abbr="6.4 p." DocPartId="bf1aa75879554428a4c8d12499849809" PartId="7be54e26ae9a420e92a9a215ab78639a"/>
        <Part Type="punktas" Nr="6.5" Abbr="6.5 p." DocPartId="a3349cb0a219402e90193a194db3efdf" PartId="3683cc7ec41b4b208cc7d1481077f2a0"/>
        <Part Type="punktas" Nr="6.6" Abbr="6.6 p." DocPartId="119ccc8289ac41acae08d58fd1af9819" PartId="0d640929d8ed4b30a5d673c314bceb7c">
          <Part Type="punktas" Nr="6.6.1" Abbr="6.6.1 p." DocPartId="90983a3c59e7478886f2ffaa5f055e9e" PartId="44ce3a1f265a450f80e893475dea1e49"/>
          <Part Type="punktas" Nr="6.6.2" Abbr="6.6.2 p." DocPartId="985ec10f1519482c86c884c07b87126c" PartId="d795202d60534139a4d88db49d7484e3"/>
          <Part Type="punktas" Nr="6.6.3" Abbr="6.6.3 p." DocPartId="063759e5a8ff47ea80d9fc9620627b23" PartId="d3a01dd719aa4204a6c9639e7a586079"/>
        </Part>
        <Part Type="punktas" Nr="6.7" Abbr="6.7 p." DocPartId="fedd23cc8304401692ef23b37366b040" PartId="20c585f6f121436aa0a860f5e7aed3ed"/>
        <Part Type="punktas" Nr="6.7-1" Abbr="6.7-1 p." DocPartId="380f61aa8d5c4957a3c3afb935ef15b4" PartId="e23f1b4fb68849ab9161575908318106"/>
        <Part Type="punktas" Nr="6.7-2" Abbr="6.7-2 p." DocPartId="9e753fd67878454da879683c54dc5bdf" PartId="d1e0eda3e69445c18a9c986ce8af81bf"/>
        <Part Type="punktas" Nr="6.8" Abbr="6.8 p." DocPartId="d00276444d984ac79ecf1134e70886e8" PartId="47689707a52a4af6a5919069094cfad9"/>
        <Part Type="punktas" Nr="6.9" Abbr="6.9 p." DocPartId="f11db1e828f742baa84aeb842f10cbd8" PartId="855b7a0249744d62ab51aa7a58efb7fe"/>
        <Part Type="punktas" Nr="6.10" Abbr="6.10 p." DocPartId="c3d25c8137414f94b64310c9f12e72ab" PartId="e434e63b1ff94b67848309dc6cd00b1b"/>
        <Part Type="punktas" Nr="6.11" Abbr="6.11 p." DocPartId="3916ff34632e4a788069b550f9c4d059" PartId="dc27f9f724f1492890ef5a64cd73533d"/>
        <Part Type="punktas" Nr="6.12" Abbr="6.12 p." DocPartId="6a2381cd0c854431821c63e5b97399b6" PartId="baf97e479fa54744a1d67b39f302559c"/>
        <Part Type="punktas" Nr="6.13" Abbr="6.13 p." DocPartId="89a2ceb655de4b8fbd83c2ddc11c0e8e" PartId="e8fda92fcc7d486fa2516558945027c1"/>
        <Part Type="punktas" Nr="6.14" Abbr="6.14 p." DocPartId="54c15a0f6a8143fca7188d3c0749bc7d" PartId="46fd19b99c9547babcd5f23ea139b586"/>
        <Part Type="papunktis" Nr="6.15" Abbr="6.15 pp." DocPartId="54ba36d90ec1472eb667db9386a63513" PartId="d920ff9a1c0c44d8b231ccab936eada5"/>
        <Part Type="papunktis" Nr="6.16" Abbr="6.16 pp." DocPartId="bbca96b0f98741a6a546a66ce70113ad" PartId="c15556114f3d4312916c80f519aca7b3"/>
      </Part>
      <Part Type="punktas" Nr="6-1" Abbr="6-1 p." DocPartId="7bf9f56b53e7406a8ae5e60aa7839af0" PartId="81c45a853e844f49949e8cc2eee65e48"/>
    </Part>
    <Part Type="skyrius" Nr="2" Title="„II SKYRIUS PARAIŠKA IR LEIDIMAS DEGINTI ATLIEKAS DEGINIMO ĮRENGINIUOSE AR BENDRO DEGINIMO ĮRENGINIUOSE“." DocPartId="31e8d86cd1e14176b490d920a9ab166a" PartId="b6aebbfd48d443eeb6919445f26124bf">
      <Part Type="punktas" Nr="7" Abbr="7 p." DocPartId="a8f2ebcbbec14aecbb36fbcd4b2dc7c6" PartId="f94f3f2b7a8943959d8df90713cd51a7"/>
      <Part Type="punktas" Nr="7-1" Abbr="7-1 p." DocPartId="d145785ab22b48c58a35202812cb370f" PartId="7af6eb84bb1c4187a191098f0ef52add"/>
      <Part Type="punktas" Nr="8" Abbr="8 p." DocPartId="a71e909a7af84d578c9229e451d375e8" PartId="211e4e0309a4402c993bb728b4138698">
        <Part Type="papunktis" Nr="8.1" Abbr="8.1 pp." DocPartId="2e857eb0914c4b04adc9d63aaef661c1" PartId="ab369632ce264084b20501bae0cd11c1"/>
        <Part Type="papunktis" Nr="8.2" Abbr="8.2 pp." DocPartId="60c15ea2bbc14f94b8ee565a13f785cf" PartId="0f7571f529d6499e8d697153a295d5ec"/>
        <Part Type="papunktis" Nr="8.3" Abbr="8.3 pp." DocPartId="8133bf3f19f6429aa7a8cd836eacd8f7" PartId="d75690856f7c4ad8b2da30d4c21fdf11"/>
        <Part Type="papunktis" Nr="8.4" Abbr="8.4 pp." DocPartId="55cd75ecc9cf43e2aac102fc9b9f0780" PartId="8fd70a4da75d45ac9b2a953b8279416d"/>
      </Part>
      <Part Type="punktas" Nr="8-1" Abbr="8-1 p." DocPartId="25038b647bc84f4d974d365f88f7ca32" PartId="d64428ad549d4b97813205ed10e8dab3">
        <Part Type="punktas" Nr="8-1.1" Abbr="8-1.1 p." DocPartId="d4671bd6bd0a45b9a3273aade03e4801" PartId="d6932c669e5841f8b7fd51f8d939e149"/>
        <Part Type="punktas" Nr="8-1.2" Abbr="8-1.2 p." DocPartId="871a02129abe4ca0808c1d8fc4564845" PartId="f0459113dae74de08b5de4b79a54e39c"/>
      </Part>
      <Part Type="punktas" Nr="8-2" Abbr="8-2 p." DocPartId="2fc4bc8b95134314bf79859c64322a43" PartId="8f23aa28c35c4f3aad81a8794c5dda94">
        <Part Type="papunktis" Nr="8-2.1" Abbr="8-2.1 pp." DocPartId="5c2d5a65471a4d36b37de8411e917458" PartId="4810c80abc544df28cdf663e065e5cdf"/>
        <Part Type="papunktis" Nr="8-2.2" Abbr="8-2.2 pp." DocPartId="63479a4d8a0a47fa94a4f600d890b9cd" PartId="951a2b6f688d4a0d8ab43ee95e703f49"/>
        <Part Type="papunktis" Nr="8-2.3" Abbr="8-2.3 pp." DocPartId="738d91a8e6384a63af7f1d1c7227cda9" PartId="f58a67c90c6547c9bba42dddd93078f8"/>
        <Part Type="papunktis" Nr="8-2.4" Abbr="8-2.4 pp." DocPartId="8c4c649084e54fcf8fe90083166ee57b" PartId="a81e8d3f330a4173a11af5352b084037"/>
        <Part Type="papunktis" Nr="8-2.5" Abbr="8-2.5 pp." DocPartId="cafb565d77094832a562b73de1bebab5" PartId="70ec16c9a5a5471fb6fcd787e3b528b7"/>
        <Part Type="papunktis" Nr="8-2.6" Abbr="8-2.6 pp." DocPartId="cb77cad4bfac447ab038dfcf8031b159" PartId="9f717606d7d14f34a7b6a7950484e129"/>
      </Part>
      <Part Type="punktas" Nr="9" Abbr="9 p." DocPartId="10e14d73d7e84735bfed5ed4fb367089" PartId="96356f62e1c240ea88cd370e6b7e6150"/>
      <Part Type="punktas" Nr="10" Abbr="10 p." DocPartId="fe55e2b7c4c044eeb743a943577511d8" PartId="c6b7012fa7064cc084f391837f0a3471">
        <Part Type="punktas" Nr="10.1" Abbr="10.1 p." DocPartId="00bdd1c24f1c40e78761751b57298fae" PartId="6e6fac6ed043411599b89a3588a41b16"/>
        <Part Type="punktas" Nr="10.2" Abbr="10.2 p." DocPartId="449649e22ff8495db85ccafe1cc1f315" PartId="c261d8cbcbb14ae2b1b724f008090bf0"/>
        <Part Type="punktas" Nr="10.3" Abbr="10.3 p." DocPartId="f310a97074384692af089666c21901c6" PartId="948a56e86fd94c7583bed858280f8d93"/>
        <Part Type="punktas" Nr="10.4" Abbr="10.4 p." DocPartId="a8fe7dfaae5e4895bf5e566be3a50e74" PartId="87e929fc4575457d935c0b5c7a15ce04"/>
        <Part Type="punktas" Nr="10.5" Abbr="10.5 p." DocPartId="0caf692ae5a24dbeb6f688101dd58597" PartId="3911cbf4854c4a6baeefa1ac0cc9a6db"/>
        <Part Type="punktas" Nr="10.6" Abbr="10.6 p." DocPartId="7c1de5529d484b97b5bc06ce9c04502f" PartId="6b3f90e720f5438e923580e46fc8a42d"/>
      </Part>
      <Part Type="punktas" Nr="10-1" Abbr="10-1 p." DocPartId="8a6647ae267e4ffe940daf3af1904e20" PartId="918ab04d177348b6bde9c237634a957a"/>
      <Part Type="punktas" Nr="10-2" Abbr="10-2 p." DocPartId="0ae75e79acf849d0b4d187b28d9b685a" PartId="62acc4c6398d42c9a3dbd8fe7a0a0636"/>
      <Part Type="punktas" Nr="11" Abbr="11 p." DocPartId="fb8428a635924306abc3651d875d8dc5" PartId="a01e0fc02be24e368c2fbf6524a121fd">
        <Part Type="punktas" Nr="11.1" Abbr="11.1 p." DocPartId="fcc8212cad214bd5b8e9889e74a41cac" PartId="d3549f96cb3f4e74b2392c9393634fda"/>
        <Part Type="punktas" Nr="11.2" Abbr="11.2 p." DocPartId="0a5c9fad797b48e6b4906ca20a5a12f9" PartId="f47a666f7a5047c0a38aad13dde8979e"/>
      </Part>
      <Part Type="punktas" Nr="12" Abbr="12 p." DocPartId="dd64787dd39f44c49b2f956714009a54" PartId="4ea37dfdd88443f6b1c06d7b05db9cfa"/>
      <Part Type="punktas" Nr="12-1" Abbr="12-1 p." DocPartId="159c484dd82546859c84c72d795b2a00" PartId="e8d3d836d1434ed8b2dee9387a534b5e"/>
      <Part Type="punktas" Nr="12-2" Abbr="12-2 p." DocPartId="d8f87e692b3b4f379f60e7ac897aa09a" PartId="f903e5e6f13c471881cdaab7bd1a1e81"/>
      <Part Type="punktas" Nr="12-3" Abbr="12-3 p." DocPartId="5ace9c2987fd4ec783edd9007b4003a1" PartId="7c50590585934fa4acd9834a65c8a701"/>
      <Part Type="punktas" Nr="12-4" Abbr="12-4 p." DocPartId="52d4612d5afc467fae63000a458ca41f" PartId="8872fb5cbb0e4192bcd4d54d5481a30e"/>
      <Part Type="punktas" Nr="12-5" Abbr="12-5 p." DocPartId="3b765db79756458f8d188a9d77d92bb4" PartId="6b2aa39019cc4191859717581051a273"/>
      <Part Type="punktas" Nr="12-6" Abbr="12-6 p." DocPartId="037bd37b772d4026a106011ff27cf729" PartId="1fd123c29f5e4010beadc8b66e8dc4e6"/>
      <Part Type="punktas" Nr="12-7" Abbr="12-7 p." DocPartId="6fddf5ee45024375a5f9075da49f04d9" PartId="cd56c23818684d8f871a28b9d57f2261"/>
      <Part Type="punktas" Nr="12-8" Abbr="12-8 p." DocPartId="96113a32dcc342bfad0e465e09b1c2af" PartId="23725924a1ff44fa8f529b799d1b8b40"/>
      <Part Type="punktas" Nr="12-9" Abbr="12-9 p." DocPartId="5c1a3b45f30e4cce958e0e81be2229a6" PartId="b2835c79bffb4e49b6af9c4d4f865e63"/>
      <Part Type="punktas" Nr="12-10" Abbr="12-10 p." DocPartId="e4187547d90e492ba04664531f404725" PartId="1b3dcfe826de4a23a8bfd4afd81a7f05"/>
      <Part Type="punktas" Nr="12-11" Abbr="12-11 p." DocPartId="aaaecdf7e6e24f1899b94c75db1b767a" PartId="b370c03237ad4bbcb9ff336a9be08ad2"/>
      <Part Type="punktas" Nr="12-12" Abbr="12-12 p." DocPartId="c6e73121f2374c3ea6b9d75eb52aaff7" PartId="13fd95458f53426c89cd38ea66d031cf"/>
    </Part>
    <Part Type="skyrius" Nr="3" Title="„III SKYRIUS ATLIEKŲ PRISTATYMAS IR PRIĖMIMAS“;" DocPartId="2df0653212a743cd85e010d32f45ae04" PartId="bf770f9780ba4db4916bec16f928c1fe">
      <Part Type="punktas" Nr="13" Abbr="13 p." DocPartId="d2120288735e41619a15340cdc6e574c" PartId="f271dd4dbe24483080c58ab7be7858d7"/>
      <Part Type="punktas" Nr="14" Abbr="14 p." DocPartId="f5222e8a43924b43ae81e78eff032e60" PartId="4d6ee27d05bc4000bc01c0fb74e397a3">
        <Part Type="punktas" Nr="14.1" Abbr="14.1 p." DocPartId="475999c341fa4ef38ace36f375900937" PartId="8077218aa1914c6599e70dd6c011b358"/>
        <Part Type="punktas" Nr="14.2" Abbr="14.2 p." DocPartId="3f55056421b049dd9fbbf26676533332" PartId="25727c299e924a8d861d28ed0bb94141">
          <Part Type="punktas" Nr="14.2.1" Abbr="14.2.1 p." DocPartId="f711038543c443b0b30b574b7bcc8749" PartId="fa859ad6b0a848d096d1dfcd3ac13e87"/>
          <Part Type="punktas" Nr="14.2.2" Abbr="14.2.2 p." DocPartId="2785f3260d2c4746bd04b0a227d21dc6" PartId="13679dfe46944758824e19d1861ae239"/>
          <Part Type="punktas" Nr="14.2.3" Abbr="14.2.3 p." DocPartId="b9650e72c50949118c8c80cc26f44bbc" PartId="6e91c9e1e37744ba8116bad07d5cdb14"/>
        </Part>
        <Part Type="punktas" Nr="14.3" Abbr="14.3 p." DocPartId="98213949bb7f440b874d70df28bb8ee4" PartId="02d0d4205be046a69211af2fdd39b8c5">
          <Part Type="punktas" Nr="14.3.1" Abbr="14.3.1 p." DocPartId="82cc5ef62ea445f685d230c08d6b2840" PartId="22c150181c7c4125ab06f415835592b5"/>
          <Part Type="punktas" Nr="14.3.2" Abbr="14.3.2 p." DocPartId="f56922c0c3b54b8181f45f0dbeba389d" PartId="5fbcfb0c8e9c4fcda14fe932c324f832"/>
        </Part>
      </Part>
      <Part Type="punktas" Nr="15" Abbr="15 p." DocPartId="7d89248b58e14c4eab92fc557fc53b35" PartId="068054411bb24674bba1d1f00c58df1b"/>
    </Part>
    <Part Type="skyrius" Nr="4" Title="„IV SKYRIUS DEGINIMO ĮRENGINIŲ IR BENDRO DEGINIMO ĮRENGINIŲ EKSPLOATAVIMO SĄLYGOS“." DocPartId="ecb1b6ef0fac43ce8606d3657eb2acbc" PartId="9814512e48154e6186305681b93d3438">
      <Part Type="punktas" Nr="16" Abbr="16 p." DocPartId="eafb7a0b4fb34312b2a0436fac8c5253" PartId="8332e9eb371a4ca7a5f04657cc5a4d89"/>
      <Part Type="punktas" Nr="17" Abbr="17 p." DocPartId="7c741d5f7283478bbd36e6224e6600db" PartId="12ad497d86b2495aaca6dd604be67803"/>
      <Part Type="punktas" Nr="18" Abbr="18 p." DocPartId="6f35422233bc426aa0c35b5e880e52da" PartId="8f6a2d9e0bb140718839a4adc8fa239f"/>
      <Part Type="punktas" Nr="19" Abbr="19 p." DocPartId="801de42f0e8e4e509ab173161b64f561" PartId="bf7315a293884fafa447347c72fc084e"/>
      <Part Type="punktas" Nr="20" Abbr="20 p." DocPartId="d4c10cbd0a9d4db685bd4a07da42f249" PartId="829c9b803d804b89bbaa6ef3cb514853"/>
      <Part Type="punktas" Nr="21" Abbr="21 p." DocPartId="d35c7bf50d2d453b8424267f21f7a76a" PartId="ee7147a3b84a49b9b14377c11c027ab8">
        <Part Type="punktas" Nr="21.1" Abbr="21.1 p." DocPartId="bae05b9d8ae542fbb2a2d5772c01cf9a" PartId="22866ee925324689a2929b336a5c4bef"/>
        <Part Type="punktas" Nr="21.2" Abbr="21.2 p." DocPartId="44a064460ccf4b35b8a81a85bf7016d9" PartId="2f144ff6eb5e40de8d78cb0d6888ddbc"/>
        <Part Type="punktas" Nr="21.3" Abbr="21.3 p." DocPartId="320892d74db6451392da431f53217c3b" PartId="47dce3e6cb064696bebbc58025cae6d6"/>
      </Part>
      <Part Type="punktas" Nr="22" Abbr="22 p." DocPartId="132774983ba34ac6b521f54a85108803" PartId="cd85153387bf4d17a9e3448b4c06598e"/>
      <Part Type="punktas" Nr="23" Abbr="23 p." DocPartId="9d8e4755deec48f8a046c7d2959293e0" PartId="b04efd4208674d119cb09e21eaeb36e0"/>
      <Part Type="punktas" Nr="24" Abbr="24 p." DocPartId="6f047d002ca7494bb7739eb857d33258" PartId="bc4eaff84d4542b39ed4183291398baf"/>
      <Part Type="punktas" Nr="25" Abbr="25 p." DocPartId="a5157281e75942ab8be5d717dc7166cb" PartId="8cf420889d1b427fb1bf161a92cda2dc"/>
      <Part Type="punktas" Nr="26" Abbr="26 p." DocPartId="86fba88daaeb4402ac6fb41e13f7e019" PartId="6282b3fa7fc643cdb8d914d3a681be90"/>
      <Part Type="punktas" Nr="27" Abbr="27 p." DocPartId="eb78c6bed06244168e7029bbe0a4e63b" PartId="c77b451439c448d19afcb244beba1b2e"/>
    </Part>
    <Part Type="skyrius" Nr="5" Title="„V SKYRIUS DEGINIMO ĮRENGINIŲ IR BENDRO DEGINIMO ĮRENGINIŲ Į APLINKOS ORĄ IŠMETAMŲJŲ TERŠALŲ RIBINĖS VERTĖS“." DocPartId="3feb8d4f36f64ddd980ca84fe5bcfd04" PartId="9725f0d6a8df41f5b939aed84d6aa371">
      <Part Type="punktas" Nr="28" Abbr="28 p." DocPartId="7356aaed5d53492282a41bbd197f5b12" PartId="53cb5386e4434082b6d728bbbee84c69"/>
      <Part Type="punktas" Nr="29" Abbr="29 p." DocPartId="b2a0b3e7a49d4e4681f4afcec6566faf" PartId="b4363068d6344761b7aca22254225cd9"/>
      <Part Type="punktas" Nr="30" Abbr="30 p." DocPartId="eb0815bc75af4174a934c27d6179ce4a" PartId="a19a7c5db8634fed9436820ea9d1264b"/>
      <Part Type="punktas" Nr="31" Abbr="31 p." DocPartId="6151c9897ca54d9f880ebd599b849c66" PartId="1b34f08c8e6749bfaf378e4606821ba9"/>
    </Part>
    <Part Type="skyrius" Nr="6" Title="„VI SKYRIUS DEGINIMO ĮRENGINIŲ IR BENDRO DEGINIMO ĮRENGINIŲ IŠMETAMŲJŲ DUJŲ VALYMO NUOTEKŲ TVARKYMAS“." DocPartId="0d5c3335557d4a6fa6c90af392b8c3bc" PartId="a6791c0b758d4f45bcc50ff891bcc34b">
      <Part Type="punktas" Nr="32" Abbr="32 p." DocPartId="4a1db84e9dc348289e0c47a0a09f7474" PartId="80e0e4c192bf42fdb0da5ccb65ab7d2a"/>
      <Part Type="punktas" Nr="33" Abbr="33 p." DocPartId="435926e7829f430cbf5d58a48ed0f2fc" PartId="73bcb85da5a448b097b6dbe4f7d33971"/>
      <Part Type="punktas" Nr="34" Abbr="34 p." DocPartId="7ad7ca9cc2334127a7d5ae671343f3b8" PartId="613e1f54163341bb9ca9d7599f0e0cea">
        <Part Type="punktas" Nr="34.1" Abbr="34.1 p." DocPartId="204206dc5eb648c0b2e96f55861fdfa7" PartId="e7702a6179724cdd9e7db9b363149469"/>
        <Part Type="punktas" Nr="34.2" Abbr="34.2 p." DocPartId="2d3fbbdb79de44a1ba5f2d2ea7f9e1f9" PartId="f01d19c6f5774149a9c48228cbb2baec"/>
        <Part Type="punktas" Nr="34.3" Abbr="34.3 p." DocPartId="7a89348aae694565bdd5a5097acd9587" PartId="a87d71f56bb847468b5fbf0cbc1b03a9"/>
      </Part>
      <Part Type="punktas" Nr="35" Abbr="35 p." DocPartId="a3079fd457bf4283b53e4d3fb0945cb4" PartId="678049b675f847be933a5353258114cf"/>
      <Part Type="punktas" Nr="36" Abbr="36 p." DocPartId="bda9c79909754b5abddd38f667de7023" PartId="3c2869cce1af44c3a3c8cd4069c125c9">
        <Part Type="punktas" Nr="36.1" Abbr="36.1 p." DocPartId="c60af8a61146474b91dc6036876ffec1" PartId="815dfeb8151747a8915a22159b7a04cb"/>
        <Part Type="punktas" Nr="36.2" Abbr="36.2 p." DocPartId="f492bf7e746f4f2288f433e03d756768" PartId="cce658740966496abb7d2e33185884cd"/>
        <Part Type="punktas" Nr="36.3" Abbr="36.3 p." DocPartId="cbd444c554c44523a59f9664eaee7a23" PartId="1b8a2534c6924e8690091bca905926f5"/>
      </Part>
      <Part Type="punktas" Nr="37" Abbr="37 p." DocPartId="4f98fea23f8a4543976be11d88a1a418" PartId="51ed9d2c03584d60a44ee4baffd512c9"/>
      <Part Type="punktas" Nr="37-1" Abbr="37-1 p." DocPartId="9cdcce7b0cfb4344bceb614a625c4402" PartId="dc969d801cf24d2e874a7066623a8498"/>
      <Part Type="punktas" Nr="38" Abbr="38 p." DocPartId="1c5f73806d1543aa9f06dbcb3dd1e24c" PartId="297d24a8851d4b8b8d1942393ec221e0">
        <Part Type="punktas" Nr="38.1" Abbr="38.1 p." DocPartId="5e79d34b49794dffa3bbd184df76d377" PartId="c1b90f18f3b74eaa800e58af5f154271"/>
        <Part Type="punktas" Nr="38.2" Abbr="38.2 p." DocPartId="0e4a15823e714d2c8ed14841a458b225" PartId="97dae153e7b34abba76f5aa67fc1a48c"/>
      </Part>
      <Part Type="punktas" Nr="39" Abbr="39 p." DocPartId="0ab25b6d2b504a1c954be3c7dc9cfbb7" PartId="3f674d4967aa4126ad382a9540ee2206"/>
    </Part>
    <Part Type="skyrius" Nr="7" Title="„VII SKYRIUS DEGINIMO ĮRENGINIŲ IR BENDRO DEGINIMO ĮRENGINIŲ PELENŲ IR ŠLAKO TVARKYMAS“." DocPartId="2b790da97a5945dfafb25676ce6ff77d" PartId="d801166c957a403d9ae67670181e9dcd">
      <Part Type="punktas" Nr="40" Abbr="40 p." DocPartId="cff4e05de6274f61a4ced83dd6e462ec" PartId="417a2fe97f554710a8e8bf2ef677ea79"/>
      <Part Type="punktas" Nr="41" Abbr="41 p." DocPartId="f4be509549b14f9f94d53eb9bb24b60e" PartId="6493196c7a0d472b800bddae79b36e35"/>
      <Part Type="punktas" Nr="42" Abbr="42 p." DocPartId="c79778e6186e43d5b1ebd9c0bb9953aa" PartId="3c5c53e7faa24987a395ec5e0a04ef84"/>
    </Part>
    <Part Type="skyrius" Nr="8" Title="„VIII SKYRIUS DEGINIMO ĮRENGINIŲ IR BENDRO DEGINIMO ĮRENGINIŲ TARŠOS KONTROLĖ IR MONITORINGAS“." DocPartId="2c6ff2f8f37844bca544efdcea47a023" PartId="bd50d65fd53a439c81bfadea18b93d72">
      <Part Type="punktas" Nr="43" Abbr="43 p." DocPartId="31a8a6d6e4dd4a23a6a16bd59d31ce94" PartId="4e41470e6f7d444f856c0029c511d2a3"/>
      <Part Type="punktas" Nr="44" Abbr="44 p." DocPartId="47686d5c5b8046a0a3e44bb077af2a23" PartId="5dbcc0cffb184cd9b72cb0e655d7f6d8"/>
      <Part Type="punktas" Nr="44-1" Abbr="44-1 p." DocPartId="11faf3c117e5400a9ae83723dc245d84" PartId="2a73f6a88480421092ededbe004b611a"/>
      <Part Type="punktas" Nr="45" Abbr="45 p." DocPartId="8b9f152c80424cc1ba6b33fd201bc78f" PartId="b50f807be6584842a10159e5271d8ec5"/>
      <Part Type="punktas" Nr="46" Abbr="46 p." DocPartId="72dc01cd0b5f457f868bf8f2022ea4ca" PartId="ebf628f1960e44e2b7dae3debcb16fb6"/>
      <Part Type="punktas" Nr="47" Abbr="47 p." DocPartId="2a0d0f739d33448d8ebb0b41b73eecce" PartId="0a98b3b22cd6448a8ad234ffd9f9a077"/>
    </Part>
    <Part Type="skyrius" Nr="9" Title="„IX SKYRIUS DEGINIMO ĮRENGINIŲ IR BENDRO DEGINIMO ĮRENGINIŲ IŠMETAMŲJŲ TERŠALŲ MATAVIMO REIKALAVIMAI“." DocPartId="b432990756cb4ddfa7aec16e15e55dfc" PartId="645b8a6de42d4455b10a9f783c13549d">
      <Part Type="punktas" Nr="48" Abbr="48 p." DocPartId="421854967a9c440489c3fb6f2058be1f" PartId="363fc3dfde4446d2b60ad0ef7d94686c">
        <Part Type="punktas" Nr="48.1" Abbr="48.1 p." DocPartId="ef1c0ca6c1d64b26be35107b50dbcbb6" PartId="a8e42b8da73b464e913d8f050ea59e60"/>
        <Part Type="punktas" Nr="48.2" Abbr="48.2 p." DocPartId="471c3f46a3e4486c9385a1a2a8897655" PartId="6784e4eeb1f94120a31e79c2523a3f08"/>
        <Part Type="punktas" Nr="48.3" Abbr="48.3 p." DocPartId="f9ed7e119ab04572889f8c875b79f3f8" PartId="ff65ed3063e1427788f033d448b97b08"/>
      </Part>
      <Part Type="punktas" Nr="48-1" Abbr="48-1 p." DocPartId="0f57ab5682ea40e884579576a30da1a4" PartId="0175d9790a3d42c9b5b2c42885f5f823"/>
      <Part Type="punktas" Nr="49" Abbr="49 p." DocPartId="a5f26c4b26c9495ca3aa2da670011fc5" PartId="a27859dd95e94a6bb708254646292d8a"/>
      <Part Type="punktas" Nr="50" Abbr="50 p." DocPartId="590b3bb569f94bc1a0d54709e76ad3dd" PartId="ee46bb54324d4ab18802a2bbe52399d2"/>
      <Part Type="punktas" Nr="51" Abbr="51 p." DocPartId="3def741ba5b84bebad14d4e1d4017bf2" PartId="75744f2320394cafa0ce97a5fe63e02e"/>
      <Part Type="punktas" Nr="55-1" Abbr="55-1 p." DocPartId="0053be6bce1e43faa4c70104731f27ed" PartId="8cd2e3feedbb4847b3720c74adcd997f"/>
      <Part Type="punktas" Nr="51-2" Abbr="51-2 p." DocPartId="8fa9b9cce5434257854dfd962c744183" PartId="ed5e329dad0a4bf0a050bcf2757f6a0b"/>
      <Part Type="punktas" Nr="52" Abbr="52 p." DocPartId="6a76f0c01780448ab10af87e8b62d14b" PartId="f870a7d057e5495a867125d5f18638d5">
        <Part Type="punktas" Nr="52.1" Abbr="52.1 p." DocPartId="8f15ae2ff1c94692a1d2653123500093" PartId="52dfce9f6208442497dfe4e27705055a"/>
        <Part Type="punktas" Nr="52.2" Abbr="52.2 p." DocPartId="074971aeec694fd7bfdccb387ec9ba9f" PartId="005821737db14e1b92057d77ee0e126a"/>
        <Part Type="punktas" Nr="52-1" Abbr="52-1 p." DocPartId="0b8ead62502b4b1e92babfde3ca5b7ab" PartId="15807e6418a3491e8a78c95d26b3e81d"/>
      </Part>
      <Part Type="punktas" Nr="52-2" Abbr="52-2 p." DocPartId="d3fc27a6ade64b589c84284c683de1e2" PartId="3dbfc819400742269f685ec0005411a8"/>
      <Part Type="punktas" Nr="53" Abbr="53 p." DocPartId="2128ec6161e44c58931cfccbcbf7a57b" PartId="aee2c5cf1457445193d2c64a8951f951"/>
      <Part Type="punktas" Nr="54" Abbr="54 p." DocPartId="191660af85b04befb3e0d958034ba454" PartId="cacd8b14a8174a69a245e761db72c1b1"/>
      <Part Type="punktas" Nr="55" Abbr="55 p." DocPartId="e5218dcdbaab4c33aeeea778434c1f44" PartId="682b4ffc238f4b7594c9ed68d40edd57"/>
      <Part Type="punktas" Nr="55-1" Abbr="55-1 p." DocPartId="4a33917f47d946db8e684136b7acc4ad" PartId="0dc589c5eea540de921bdd28a4baa520"/>
      <Part Type="punktas" Nr="56" Abbr="56 p." DocPartId="75878baaa3614dbbb6a2f6aad04b23b7" PartId="0bd742a250e8450bb2f294444dfbabeb">
        <Part Type="punktas" Nr="56.1" Abbr="56.1 p." DocPartId="15c03721af854461b3993d1adb4cf3fc" PartId="ea552e5960b246b79d35bc3a5a227106"/>
        <Part Type="punktas" Nr="56.2" Abbr="56.2 p." DocPartId="42c0be695a76439d98f50637245e5146" PartId="a9da54a277aa4f74bdb6accb16bf567f"/>
        <Part Type="punktas" Nr="56.3" Abbr="56.3 p." DocPartId="875a7b3f7fa94ca891a1abd5d63ddd20" PartId="c3aa63d35c204e5dba4745e41c39b317"/>
        <Part Type="punktas" Nr="56.4" Abbr="56.4 p." DocPartId="914ee3a5b295401b9f9ef9ae7f6ff628" PartId="9c9e663008544aa2a5f93d4a3f0f99da"/>
        <Part Type="punktas" Nr="56.5" Abbr="56.5 p." DocPartId="f9a053d396794b2ab31469d44444e960" PartId="3f01b2979f53403482a5c7bfab57b95a"/>
      </Part>
      <Part Type="punktas" Nr="57" Abbr="57 p." DocPartId="65c815a74cab4cb4ac7bdd4134128fa2" PartId="1439d87039d846e2ba26c2ece2f4f5ec"/>
      <Part Type="punktas" Nr="58" Abbr="58 p." DocPartId="db815249f2954af39346be2cf881a38c" PartId="60f655d068394f1d9602cb7fa128838b"/>
      <Part Type="punktas" Nr="59" Abbr="59 p." DocPartId="5ae242283f664700a33b353a659c65ff" PartId="81d63ef2164f4581b5004d0498051f7a"/>
      <Part Type="punktas" Nr="60" Abbr="60 p." DocPartId="7926a711912d4011962fbbedb6e30d29" PartId="d5e237ae3ef941a79658831fbc30b12a">
        <Part Type="punktas" Nr="60.1" Abbr="60.1 p." DocPartId="7bd006136e7d49458a418f218b3542e9" PartId="611bf2ac407a4065bba5981083227dd5"/>
        <Part Type="punktas" Nr="60.2" Abbr="60.2 p." DocPartId="c2e096e400704692bb2bdb271e950fef" PartId="edcdf54cad3f496b93816b7cf9045864"/>
        <Part Type="punktas" Nr="60.3" Abbr="60.3 p." DocPartId="c40c8f792e794f37ace8e528094d5f71" PartId="9c15ec390c1446718b8f388238831a17"/>
        <Part Type="punktas" Nr="60.4" Abbr="60.4 p." DocPartId="5b6ddfc3871e483d88c525de55990d51" PartId="de2cd543f0624caf91bc35ee15c8bec5"/>
      </Part>
      <Part Type="punktas" Nr="61" Abbr="61 p." DocPartId="c98984ec66a94d1e8d5faecabfbae189" PartId="e80a092d3b3447039cfb4b2287fc8646"/>
      <Part Type="punktas" Nr="62" Abbr="62 p." DocPartId="ff417fe7e55849bba48c287cfc01121f" PartId="2674fb83eea44002bc8cf0cba154ac7c">
        <Part Type="punktas" Nr="62.1" Abbr="62.1 p." DocPartId="75886faca8da454990685699a62f7bf2" PartId="5137153468a342b48ce1101ea6c0386c"/>
        <Part Type="punktas" Nr="62.2" Abbr="62.2 p." DocPartId="887ed6f21aab412390875abe7a818fb9" PartId="3f0299a4ff9b4cb3ad99a37000d86f8f"/>
        <Part Type="punktas" Nr="62.3" Abbr="62.3 p." DocPartId="d62312ba446b4f57b8094c83a3bb113c" PartId="239a1651bd744339a88bed05282ab2af"/>
      </Part>
      <Part Type="punktas" Nr="62-1" Abbr="62-1 p." DocPartId="631e34a981e24b2e9e31cc0deae3f3a1" PartId="e6d2e298def640b6a02a260a0b31c1cc"/>
      <Part Type="punktas" Nr="63" Abbr="63 p." DocPartId="93ba0cdc899547888953af52d370b007" PartId="e98d1f050ef647a3a44ab70996afc57d"/>
    </Part>
    <Part Type="skyrius" Nr="10" Title="„X SKYRIUS NEATITIKTINĖS EKSPLOATACIJOS SĄLYGOS“." DocPartId="46faa68fbe0b4b3e914bf5e1ec7e69bd" PartId="0bf0b8bb227840c8a154567665452f42">
      <Part Type="punktas" Nr="64" Abbr="64 p." DocPartId="f9ce9f9af16e4aefaa2d0f035d590f19" PartId="df2a72fb84304f40b434de1d9a4638ab"/>
      <Part Type="punktas" Nr="65" Abbr="65 p." DocPartId="0c81bd19902b499f8a8354d4e9ceb906" PartId="cf8f7659cc864a5dbbbd8aa6324e43be"/>
      <Part Type="punktas" Nr="66" Abbr="66 p." DocPartId="b91e73d74059447abd3903ad237f22e2" PartId="9f08981508cc473db44a15b38900fd9c"/>
      <Part Type="punktas" Nr="67" Abbr="67 p." DocPartId="a2dbb0760252434a9e28669843183ce1" PartId="e7ea653c106d4e0ea431e1deceddff7f"/>
    </Part>
    <Part Type="skyrius" Nr="11" Title="RADIOAKTYVIŲJŲ ATLIEKŲ DEGINIMAS" DocPartId="efb2368958cf4fea9c65e5d58e666217" PartId="1385f4432b5a49c8bfc3b7d1f5395231">
      <Part Type="punktas" Nr="68" Abbr="68 p." DocPartId="c75a9036e356459fa3d164020337fa68" PartId="08a15b3240744dfc96fba4844186c100"/>
      <Part Type="punktas" Nr="69" Abbr="69 p." DocPartId="c0352f07c39043e0ba40edd99dc8de14" PartId="91a22920c5b64921ad1d8a83a7efcf83">
        <Part Type="papunktis" Nr="69.1" Abbr="69.1 pp." DocPartId="c5f6f050e2ee4c40a383f84a7f3e4b6e" PartId="ecd237af3a184015a799e5a1b80882c6"/>
        <Part Type="papunktis" Nr="69.2" Abbr="69.2 pp." DocPartId="ef54a01c1a6d4d05b07942b0ed05064f" PartId="f52a7d22a413436087dd3b8c4b5abcb5"/>
      </Part>
      <Part Type="punktas" Nr="70" Abbr="70 p." DocPartId="3a1f5e44dca5430d8f4b506a9b0a2b74" PartId="a949241f69ff48d8aafe92e7c73bc4c1"/>
      <Part Type="punktas" Nr="71" Abbr="71 p." DocPartId="c67e095762954081aaeea5d93397a956" PartId="c10a100547864861b1c0551e87ba1bfb"/>
      <Part Type="punktas" Nr="72" Abbr="72 p." DocPartId="ca555294e9d8466dafe733c9b1104bb1" PartId="6c0819a9817f4a2c9a2e274daca0fa2d"/>
      <Part Type="punktas" Nr="73" Abbr="73 p." DocPartId="a8ecf9261b1d4c3dab11913f911908a4" PartId="8ecfd9616afc466f88b6ad14ee17097b"/>
      <Part Type="punktas" Nr="74" Abbr="74 p." DocPartId="faff1edd2c5848a881d33ac51bf8cedc" PartId="84f73ca570b74c0e85af5b943977cb20"/>
      <Part Type="punktas" Nr="75" Abbr="75 p." DocPartId="59f17a96d61546148feb24763afba36b" PartId="a22cb5fa41cf47c59c43ca132108a30f"/>
      <Part Type="punktas" Nr="76" Abbr="76 p." DocPartId="ab418d51d9204068baaf841eee1dbc18" PartId="fc8c6a5b52524477ae944c1d43547524">
        <Part Type="papunktis" Nr="76.1" Abbr="76.1 pp." DocPartId="7e65b075b93e425db9df716364c372b9" PartId="77a788276e914f8784484761bf764f5e"/>
        <Part Type="papunktis" Nr="76.2" Abbr="76.2 pp." DocPartId="7991177c6eed41688efaf5542afbe80b" PartId="1ccadd478cea4ba09511af5c871b3d07"/>
        <Part Type="papunktis" Nr="76.3" Abbr="76.3 pp." DocPartId="c8680fa2e7e9464baa573e7009c717af" PartId="d1020ee66e804dc3b389a35931397bd7"/>
        <Part Type="papunktis" Nr="76.4" Abbr="76.4 pp." DocPartId="b4e539af266c4d629225858a4bba65e1" PartId="bccc838cd3414cfc8ba7ce9020bd68cd"/>
      </Part>
      <Part Type="punktas" Nr="77" Abbr="77 p." DocPartId="5f393256991a42b8a78fc62276784e4b" PartId="05f3fdc3e72d425daf9972c7dc88201b"/>
      <Part Type="punktas" Nr="78" Abbr="78 p." DocPartId="b702775a34934c2ea9a6f36e194e7dad" PartId="d2239224ab264b7c9835238b090406c1"/>
      <Part Type="punktas" Nr="79" Abbr="79 p." DocPartId="bfa013bb5bfd4382842290453ffa049e" PartId="a42486c3b4394ff89cd0f6748ed7cf79"/>
      <Part Type="punktas" Nr="80" Abbr="80 p." DocPartId="99665854d5f141e29e96764394ca8223" PartId="426938e12c3542fcb0cb58fbd8430f3e"/>
      <Part Type="punktas" Nr="81" Abbr="81 p." DocPartId="03d01d259e3a4bc2b097688a3f655ccc" PartId="56c7916abb9348acaf5f14064d5e8dff"/>
      <Part Type="punktas" Nr="82" Abbr="82 p." DocPartId="1995fb74bb7445d093bf5d950b786691" PartId="29c073fd23544138b0192188070357e3"/>
      <Part Type="punktas" Nr="83" Abbr="83 p." DocPartId="8691ae3219554696ae89b4c0f2bc2c7a" PartId="213ea9375f7747ccb82701038cdb7142"/>
    </Part>
    <Part Type="pabaiga" DocPartId="6fb74f23e51c4f00bcb52a6b3d1a9cc7" PartId="ecab8cec99314794bda46a6007a859e3"/>
  </Part>
  <Part Type="priedas" Nr="1" Abbr="1 pr." Title="DIBENZO-P-DIOKSINŲ IR DIBENZOFURANŲ EKVIVALENTIŠKUMO KOEFICIENTAI" DocPartId="61b2726b9e50401995ff40bac4d98657" PartId="1abc679c938142668a55bba0a9fe1dd4"/>
  <Part Type="priedas" Nr="2" Abbr="2 pr." Title="Į APLINKOS ORĄ IŠMETAMŲ TERŠALŲ, SUSIDARANČIŲ DEGINANT ATLIEKAS BENDRO DEGINIMO ĮRENGINIUOSE, RIBINIŲ VERČIŲ NUSTATYMAS" DocPartId="a9c633fd21404e1b8d03a1211005b431" PartId="2a56d0788d314c438107f6b6e6bf9909">
    <Part Type="punktas" Nr="1" Abbr="2 pr. 1 p." DocPartId="32b6c3c395054991a13171c8e08157fe" PartId="270a96e89b0f4e89877bd902b83e8fdc"/>
    <Part Type="punktas" Nr="2" Abbr="2 pr. 2 p." DocPartId="13d5ed32a77a4f85bdae826820951e6e" PartId="12e94500257e4aad92f350851664a3b7">
      <Part Type="punktas" Nr="2.1" Abbr="2 pr. 2.1 p." DocPartId="93b2ac9cd44544f0a084b6487d863478" PartId="d9e30e0726d146399f35f10ec7aa208b"/>
      <Part Type="punktas" Nr="2.2" Abbr="2 pr. 2.2 p." DocPartId="29ddf76a044847d68cc8ac798c3e571f" PartId="40073cfcb1544c45b5d52e82d6f375e8">
        <Part Type="pastraipa" DocPartId="08549a3e766f48c0b88b6e21ff3e595f" PartId="dfb798e7dfe3474093eee845861a2ab9"/>
        <Part Type="pastraipa" DocPartId="a641e3b491e1427782f3122fc1be87f6" PartId="878ac9ee1a394f1ca25b7c54086120f8"/>
      </Part>
      <Part Type="punktas" Nr="2.3" Abbr="2 pr. 2.3 p." DocPartId="abed5eb56f634e58a58cfb3b3028df33" PartId="f3bbc1fdaee44486b1c92b7ab9429ca2"/>
    </Part>
    <Part Type="punktas" Nr="3" Abbr="2 pr. 3 p." DocPartId="4f4250f9f1aa473f9891b2906be19083" PartId="af0ae9f3aed049ada32da668dc065ff7">
      <Part Type="punktas" Nr="3.1" Abbr="2 pr. 3.1 p." DocPartId="1965956f68a7496dabb4eb38941676d6" PartId="ea5f32ec7b5445c2bf9d09c2d58b6319">
        <Part Type="punktas" Nr="3.1.1" Abbr="2 pr. 3.1.1 p." DocPartId="7ca978cb838340a68f38e62bcf58e429" PartId="44f42bcf10ae496db08dde7536989fb3"/>
        <Part Type="punktas" Nr="3.1.2" Abbr="2 pr. 3.1.2 p." DocPartId="5e369066f1ec4fd4a9cebf5153ddf89d" PartId="df2fb91bf0dd471386ebb5ccf6456e58"/>
      </Part>
      <Part Type="punktas" Nr="3.2" Abbr="2 pr. 3.2 p." DocPartId="ee5ae986e3b9415c86a9115dba631eaa" PartId="f9e5483c92354120ac06ee614a2a622a"/>
      <Part Type="punktas" Nr="3.3" Abbr="2 pr. 3.3 p." DocPartId="96cf117ffde1419b8ae699ef353881df" PartId="0157e5ac069e4bb0a790b17de76c3548">
        <Part Type="punktas" Nr="3.3.1" Abbr="2 pr. 3.3.1 p." DocPartId="3d7e9d1261674091aedf5a06b5e68d73" PartId="180f7aef5fe54cf1abe3cee496776c26"/>
        <Part Type="punktas" Nr="3.3.2" Abbr="2 pr. 3.3.2 p." DocPartId="cac81c2786c04fcea8e95e149a3a3b7b" PartId="0a54aa28f0824ba5ab7f32186715e5bf"/>
      </Part>
      <Part Type="punktas" Nr="3.4" Abbr="2 pr. 3.4 p." DocPartId="a8c18c928a084f56a05b67c9acca4c3f" PartId="e4fa07f35f0847bd998545bcfc10ed38">
        <Part Type="punktas" Nr="3.4.1" Abbr="2 pr. 3.4.1 p." DocPartId="a23929d7131b40bbba9a05dad67abe54" PartId="33f86afb4e584174a5457b961b1e9665"/>
        <Part Type="punktas" Nr="3.4.2" Abbr="2 pr. 3.4.2 p." DocPartId="8139e66e356443b1aa840ce5ee542f3a" PartId="1f76ad2ce4cb477dacc5d8325a31c94d"/>
      </Part>
    </Part>
    <Part Type="punktas" Nr="4" Abbr="2 pr. 4 p." DocPartId="989f40d16f99403e9c1d08375f8d1668" PartId="a6e2cfb375554e9bbc2350a9c7cf73d5">
      <Part Type="punktas" Nr="4.1" Abbr="2 pr. 4.1 p." DocPartId="01dcf7a3da954501aebb85d3309f612c" PartId="ff130c60a77546a6b60609730b8a4d63">
        <Part Type="punktas" Nr="4.1.1" Abbr="2 pr. 4.1.1 p." DocPartId="d9777fcb98674b55b26280eed1c187b8" PartId="5217e3d58fa7444f93f57abc6ff3c497"/>
        <Part Type="punktas" Nr="4.1.2" Abbr="2 pr. 4.1.2 p." DocPartId="378dcbec990c4704b86394567491ea8e" PartId="4c8182b8deae4110a0773413c02c0955"/>
      </Part>
    </Part>
  </Part>
  <Part Type="priedas" Nr="3" Abbr="3 pr." Title="MATAVIMO BŪDAI" DocPartId="86748602e6fa47418d6d1cc703948bb9" PartId="9d44f347698e435d8ca05af9fc5f09f6">
    <Part Type="punktas" Nr="1" Abbr="3 pr. 1 p." DocPartId="9e681d21d189412bbc79b5baff51fd42" PartId="47c2672f8e6e4f81a98092708cfe1606"/>
    <Part Type="punktas" Nr="2" Abbr="3 pr. 2 p." DocPartId="1d203d96a64448538de6fb901c43f494" PartId="a141f08c5a274c91bb6ba33aee70a80b"/>
    <Part Type="punktas" Nr="3" Abbr="3 pr. 3 p." DocPartId="93c26fc0567b403282b48beddc38bbfc" PartId="1d7c923a93494725a56c53ca4ceb3deb"/>
  </Part>
  <Part Type="priedas" Nr="4" Abbr="4 pr." Title="IŠMETAMŲJŲ DUJŲ VALYMO NUOTEKOSE ESANČIŲ TERŠALŲ RIBINĖS VERTĖS" DocPartId="f41afb8d6ff849558fcc5d549827e72f" PartId="e7a90edf525647819f02c6ca8b439d14"/>
  <Part Type="priedas" Nr="5" Abbr="5 pr." Title="Į APLINKOS ORĄ IŠMETAMŲ TERŠALŲ RIBINĖS VERTĖS" DocPartId="df3ac709252b4eb9a61d5fafa7e88b5a" PartId="b40afe903b8d4f3f9e5db6ba29f9a3de">
    <Part Type="punktas" Nr="1" Abbr="5 pr. 1 p." DocPartId="334316e9f3774bb7b302bdb9c63462fe" PartId="9b958d6ea2b249a4a51b218919e4349c"/>
    <Part Type="punktas" Nr="2" Abbr="5 pr. 2 p." DocPartId="219ea1a5affc408faeefd85c51af249b" PartId="d09dafe69dc742caa86032d088869b95"/>
    <Part Type="punktas" Nr="3" Abbr="5 pr. 3 p." DocPartId="3824284a942d4ec581e46559394b1122" PartId="ced89f35275641b4b59e88e1feea9bf5"/>
    <Part Type="punktas" Nr="4" Abbr="5 pr. 4 p." DocPartId="79f2226ac522452cb0a7220d485e6511" PartId="afb970ff25b942a3a03e7486d7ff1f44">
      <Part Type="punktas" Nr="4.1" Abbr="4.1 p." DocPartId="80bd136ba1974ab8852c09bc760e0371" PartId="4d8776cc5f144b5ab0fef5343710b8b1"/>
    </Part>
    <Part Type="punktas" Nr="5" Abbr="5 pr. 5 p." DocPartId="c085dc7a3ecf4499b696dd085391ed0d" PartId="e9f592f66d1c4963afff5d7efa89e6df">
      <Part Type="punktas" Nr="5" Abbr="5 pr. 5 p." DocPartId="7e8bb410edfc40f2b472ffbfbecc745b" PartId="7521a2eb55b840698ff0f00cbd4015b3">
        <Part Type="punktas" Nr="5.1" Abbr="5 pr. 5.1 p." DocPartId="23c660921a794739aa3a0fba5ce2879f" PartId="54979338327349eb82ee071b1054e134">
          <Part Type="punktas" Nr="5.1.1" Abbr="5 pr. 5.1.1 p." DocPartId="31c8b91019334e12a0a0e3cdea68c3ff" PartId="0bef549424f84f12937fe24fcc162a93"/>
          <Part Type="punktas" Nr="5.1.2" Abbr="5 pr. 5.1.2 p." DocPartId="f75d7606d5024a179f11f34c204f75a4" PartId="907b29ee96ed42bebe0ac9266d6dab5f"/>
          <Part Type="punktas" Nr="5.1.3" Abbr="5 pr. 5.1.3 p." DocPartId="cf6a68e6699545dc8da67c54c54ccb57" PartId="25efe07d43ec4c7b88c0fd2a5f19d4bc"/>
        </Part>
        <Part Type="punktas" Nr="5.2" Abbr="5 pr. 5.2 p." DocPartId="befbb597b71a4d3b8fc34c46cbf6e52f" PartId="566df4bb7c1f4d949b6e0b22de1f55c4"/>
      </Part>
    </Part>
  </Part>
</Parts>
</file>

<file path=customXml/itemProps1.xml><?xml version="1.0" encoding="utf-8"?>
<ds:datastoreItem xmlns:ds="http://schemas.openxmlformats.org/officeDocument/2006/customXml" ds:itemID="{CCB61ECA-4EEE-4AE9-B441-B1CCF8DA5222}">
  <ds:schemaRefs>
    <ds:schemaRef ds:uri="http://lrs.lt/TAIS/DocParts"/>
  </ds:schemaRefs>
</ds:datastoreItem>
</file>

<file path=docProps/app.xml><?xml version="1.0" encoding="utf-8"?>
<Properties xmlns="http://schemas.openxmlformats.org/officeDocument/2006/extended-properties">
  <Template>Normal.dotm</Template>
  <TotalTime>139</TotalTime>
  <Pages>25</Pages>
  <Words>49287</Words>
  <Characters>28095</Characters>
  <Application>Microsoft Office Word</Application>
  <DocSecurity>0</DocSecurity>
  <Lines>234</Lines>
  <Paragraphs>154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77228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2015-06-11T07:46:00Z</dcterms:created>
  <dc:creator>Tadeuš Buivid</dc:creator>
  <lastModifiedBy>JUOSPONIENĖ Karolina</lastModifiedBy>
  <dcterms:modified xsi:type="dcterms:W3CDTF">2026-01-15T20:00:00Z</dcterms:modified>
  <revision>28</revision>
</coreProperties>
</file>