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2022-07-23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bd62cdfc7d8440a6af0dcb9a177a5a95"/>
        <w:lock w:val="sdtLocked"/>
        <w:richText/>
      </w:sdtPr>
      <w:sdtContent>
        <w:p>
          <w:pPr>
            <w:tabs>
              <w:tab w:val="left" w:pos="6804"/>
            </w:tabs>
            <w:ind w:left="4820"/>
          </w:pPr>
        </w:p>
        <w:p>
          <w:pPr>
            <w:tabs>
              <w:tab w:val="left" w:pos="6804"/>
            </w:tabs>
            <w:ind w:left="4820"/>
            <w:rPr>
              <w:szCs w:val="24"/>
              <w:lang w:eastAsia="ar-SA"/>
            </w:r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bd62cdfc7d8440a6af0dcb9a177a5a9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40e2d852709549939c718f6a8d47ee3f"/>
                        <w:lock w:val="sdtLocked"/>
                        <w:richText/>
                      </w:sdtPr>
                      <w:sdtContent>
                        <w:p>
                          <w:pPr>
                            <w:tabs>
                              <w:tab w:val="left" w:pos="1134"/>
                            </w:tabs>
                            <w:ind w:firstLine="709"/>
                            <w:jc w:val="both"/>
                            <w:rPr>
                              <w:szCs w:val="24"/>
                            </w:rPr>
                          </w:pPr>
                          <w:sdt>
                            <w:sdtPr>
                              <w:alias w:val="Numeris"/>
                              <w:tag w:val="nr_40e2d852709549939c718f6a8d47ee3f"/>
                              <w:lock w:val="sdtLocked"/>
                              <w:richText/>
                            </w:sdtPr>
                            <w:sdtContent>
                              <w:r>
                                <w:rPr>
                                  <w:color w:val="000000"/>
                                  <w:szCs w:val="24"/>
                                  <w:lang w:eastAsia="lt-LT"/>
                                </w:rPr>
                                <w:t>21.1.3</w:t>
                              </w:r>
                            </w:sdtContent>
                          </w:sdt>
                          <w:r>
                            <w:rPr>
                              <w:color w:val="000000"/>
                              <w:szCs w:val="24"/>
                              <w:lang w:eastAsia="lt-LT"/>
                            </w:rPr>
                            <w:t xml:space="preserve">. </w:t>
                          </w:r>
                          <w:r>
                            <w:rPr>
                              <w:szCs w:val="24"/>
                              <w:lang w:eastAsia="lt-LT"/>
                            </w:rPr>
                            <w:t>arba laimėjusio pasiūlymo kaina, įskaitant transportavimo išlaidas, laimėjusio pasiūlymo nustatymo dieną yra daugiau kaip 5 procentais mažesnė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1 p."/>
                <w:tag w:val="part_706172a6eb0f4dad83ef74796aec3210"/>
                <w:lock w:val="sdtLocked"/>
                <w:richText/>
              </w:sdtPr>
              <w:sdtContent>
                <w:p>
                  <w:pPr>
                    <w:tabs>
                      <w:tab w:val="left" w:pos="1134"/>
                    </w:tabs>
                    <w:ind w:firstLine="709"/>
                    <w:jc w:val="both"/>
                    <w:rPr>
                      <w:rFonts w:eastAsia="Calibri"/>
                      <w:lang w:eastAsia="lt-LT"/>
                    </w:rPr>
                  </w:pPr>
                  <w:sdt>
                    <w:sdtPr>
                      <w:alias w:val="Numeris"/>
                      <w:tag w:val="nr_706172a6eb0f4dad83ef74796aec3210"/>
                      <w:lock w:val="sdtLocked"/>
                      <w:richText/>
                    </w:sdtPr>
                    <w:sdtContent>
                      <w:r>
                        <w:rPr>
                          <w:rFonts w:eastAsia="Calibri"/>
                          <w:lang w:eastAsia="lt-LT"/>
                        </w:rPr>
                        <w:t>21</w:t>
                      </w:r>
                      <w:r>
                        <w:rPr>
                          <w:rFonts w:eastAsia="Calibri"/>
                          <w:vertAlign w:val="superscript"/>
                          <w:lang w:eastAsia="lt-LT"/>
                        </w:rPr>
                        <w:t>1</w:t>
                      </w:r>
                    </w:sdtContent>
                  </w:sdt>
                  <w:r>
                    <w:rPr>
                      <w:rFonts w:eastAsia="Calibri"/>
                      <w:lang w:eastAsia="lt-LT"/>
                    </w:rPr>
                    <w:t xml:space="preserve">. Šilumos tiekėjai, reguliuojami nepriklausomi šilumos gamintojai ir bendri šilumos ir elektros energijos gamintojai, kurie per metus reguliuojamajai energetikos veiklai suvartoja 50 GWh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dujas įsigyti ne biržoje gali Taisyklių 43.11 papunktyje nurodytomis sąlygomis arba esant bent vienai iš toliau nurodytų sąlygų, kai:</w:t>
                  </w:r>
                </w:p>
                <w:sdt>
                  <w:sdtPr>
                    <w:alias w:val="21-1.1 pp."/>
                    <w:tag w:val="part_ef51c34ec5e0419aa4dcfa3a931257de"/>
                    <w:lock w:val="sdtLocked"/>
                    <w:richText/>
                  </w:sdtPr>
                  <w:sdtContent>
                    <w:p>
                      <w:pPr>
                        <w:ind w:firstLine="709"/>
                        <w:jc w:val="both"/>
                        <w:rPr>
                          <w:lang w:eastAsia="lt-LT"/>
                        </w:rPr>
                      </w:pPr>
                      <w:sdt>
                        <w:sdtPr>
                          <w:alias w:val="Numeris"/>
                          <w:tag w:val="nr_ef51c34ec5e0419aa4dcfa3a931257de"/>
                          <w:lock w:val="sdtLocked"/>
                          <w:richText/>
                        </w:sdt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d04cbe03bc5c42c8bcf7ab376e528f40"/>
                    <w:lock w:val="sdtLocked"/>
                    <w:richText/>
                  </w:sdtPr>
                  <w:sdtContent>
                    <w:p>
                      <w:pPr>
                        <w:ind w:firstLine="709"/>
                        <w:jc w:val="both"/>
                      </w:pPr>
                      <w:sdt>
                        <w:sdtPr>
                          <w:alias w:val="Numeris"/>
                          <w:tag w:val="nr_d04cbe03bc5c42c8bcf7ab376e528f40"/>
                          <w:lock w:val="sdtLocked"/>
                          <w:richText/>
                        </w:sdt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 objektyvių priežasčių nebuvo galima įsigyti reikalingo gamtinių dujų kiekio ar jo dalies.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1-2 p."/>
                <w:tag w:val="part_da83902765924a7696f601783ba65858"/>
                <w:lock w:val="sdtLocked"/>
                <w:richText/>
              </w:sdtPr>
              <w:sdtContent>
                <w:p>
                  <w:pPr>
                    <w:ind w:firstLine="709"/>
                    <w:jc w:val="both"/>
                    <w:rPr>
                      <w:lang w:eastAsia="lt-LT"/>
                    </w:rPr>
                  </w:pPr>
                  <w:sdt>
                    <w:sdtPr>
                      <w:alias w:val="Numeris"/>
                      <w:tag w:val="nr_da83902765924a7696f601783ba65858"/>
                      <w:lock w:val="sdtLocked"/>
                      <w:richText/>
                    </w:sdt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def0c8b47f864d4792731ac8923729e4"/>
                    <w:lock w:val="sdtLocked"/>
                    <w:richText/>
                  </w:sdtPr>
                  <w:sdtContent>
                    <w:p>
                      <w:pPr>
                        <w:ind w:firstLine="709"/>
                        <w:jc w:val="both"/>
                        <w:rPr>
                          <w:lang w:eastAsia="lt-LT"/>
                        </w:rPr>
                      </w:pPr>
                      <w:sdt>
                        <w:sdtPr>
                          <w:alias w:val="Numeris"/>
                          <w:tag w:val="nr_def0c8b47f864d4792731ac8923729e4"/>
                          <w:lock w:val="sdtLocked"/>
                          <w:richText/>
                        </w:sdt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pavedimą biržoje įsigyti atitinkamo gamtinių dujų pristatymo laikotarpio gamtines dujas, dieninių ir (ar) mėnesinių sandorių rinkoje už laimėjusiame pasiūlyme nurodytą kainą, toks pavedimas nėra įvykdomas. Pavedimas laikomas tinkamai pateiktu, kai jis yra pateikiamas ne vėliau kaip per 3 valandas nuo prekybos sesijos pradžios ir nėra atšaukiamas ne trumpiau kaip 48 valandas nuo pavedimo pateikimo į biržą momento;</w:t>
                      </w:r>
                    </w:p>
                  </w:sdtContent>
                </w:sdt>
                <w:sdt>
                  <w:sdtPr>
                    <w:alias w:val="21-2.2 pp."/>
                    <w:tag w:val="part_aa4c0dacd9894a23ac19f6e9e7713908"/>
                    <w:lock w:val="sdtLocked"/>
                    <w:richText/>
                  </w:sdtPr>
                  <w:sdtContent>
                    <w:p>
                      <w:pPr>
                        <w:tabs>
                          <w:tab w:val="left" w:pos="1134"/>
                        </w:tabs>
                        <w:ind w:firstLine="709"/>
                        <w:jc w:val="both"/>
                        <w:rPr>
                          <w:szCs w:val="24"/>
                        </w:rPr>
                      </w:pPr>
                      <w:sdt>
                        <w:sdtPr>
                          <w:alias w:val="Numeris"/>
                          <w:tag w:val="nr_aa4c0dacd9894a23ac19f6e9e7713908"/>
                          <w:lock w:val="sdtLocked"/>
                          <w:richText/>
                        </w:sdt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rašytinis biržos operatoriaus patvirtinimas. Biržos operatorius patvirtinimą pateikia ne vėliau kaip per 2 darbo dienas nuo energetikos įmonių, energijai gaminti naudojančių gamtines dujas, kreipimosi gavimo.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3fc4416a017a4210a18580a9105545df"/>
                    <w:lock w:val="sdtLocked"/>
                    <w:richText/>
                  </w:sdtPr>
                  <w:sdtContent>
                    <w:p>
                      <w:pPr>
                        <w:tabs>
                          <w:tab w:val="left" w:pos="1134"/>
                        </w:tabs>
                        <w:ind w:firstLine="709"/>
                        <w:jc w:val="both"/>
                      </w:pPr>
                      <w:sdt>
                        <w:sdtPr>
                          <w:alias w:val="Numeris"/>
                          <w:tag w:val="nr_3fc4416a017a4210a18580a9105545df"/>
                          <w:lock w:val="sdtLocked"/>
                          <w:richText/>
                        </w:sdtPr>
                        <w:sdtContent>
                          <w:r>
                            <w:rPr>
                              <w:rFonts w:eastAsia="Calibri"/>
                            </w:rPr>
                            <w:t>42</w:t>
                          </w:r>
                        </w:sdtContent>
                      </w:sdt>
                      <w:r>
                        <w:rPr>
                          <w:rFonts w:eastAsia="Calibri"/>
                        </w:rPr>
                        <w:t>. Įsigyjančioji organizacija gali nusipirkti energijos išteklių, pakvietusi raštu pateikti pasiūlymą tiekėjus, su kuriais ji gali derėtis dėl pasiūlymo turinio, kainos ir sutarties sąlygų. Taisyklių 43.1, 43.4–43.12 papunkčiuose nustatytais atvejais gali būti kviečiamas ir vienas tiekėjas.</w:t>
                      </w:r>
                      <w:r>
                        <w:t xml:space="preserve"> </w:t>
                      </w:r>
                    </w:p>
                    <w:p>
                      <w:pPr>
                        <w:tabs>
                          <w:tab w:val="left" w:pos="1134"/>
                        </w:tabs>
                        <w:ind w:firstLine="709"/>
                        <w:jc w:val="both"/>
                      </w:pPr>
                    </w:p>
                    <w:p>
                      <w:pPr>
                        <w:tabs>
                          <w:tab w:val="left" w:pos="1134"/>
                        </w:tabs>
                        <w:jc w:val="both"/>
                        <w:rPr>
                          <w:b/>
                          <w:i/>
                          <w:sz w:val="20"/>
                        </w:rPr>
                      </w:pPr>
                      <w:r>
                        <w:rPr>
                          <w:b/>
                          <w:i/>
                          <w:sz w:val="20"/>
                        </w:rPr>
                        <w:t>Punkto redakcija nuo 2022-07-23 iki 2023-05-31:</w:t>
                      </w:r>
                    </w:p>
                    <w:p>
                      <w:pPr>
                        <w:tabs>
                          <w:tab w:val="left" w:pos="1134"/>
                        </w:tabs>
                        <w:ind w:firstLine="709"/>
                        <w:jc w:val="both"/>
                        <w:rPr>
                          <w:szCs w:val="24"/>
                        </w:rPr>
                      </w:pPr>
                      <w:sdt>
                        <w:sdtPr>
                          <w:alias w:val="Numeris"/>
                          <w:tag w:val="nr_3fc4416a017a4210a18580a9105545df"/>
                          <w:lock w:val="sdtLocked"/>
                          <w:richText/>
                        </w:sdtPr>
                        <w:sdtContent>
                          <w:r>
                            <w:t>42</w:t>
                          </w:r>
                        </w:sdtContent>
                      </w:sdt>
                      <w:r>
                        <w:t>. Įsigyjančioji organizacija gali nusipirkti energijos išteklių, pakvietusi raštu pateikti pasiūlymą tiekėjus, su kuriais ji gali derėtis dėl pasiūlymo turinio, kainos ir sutarties sąlygų. Taisyklių 43.1, 43.4–43.13 papunkčiuose nustatytais atvejais gali būti kviečiamas ir vienas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42d3065a307b45cd964aedbdd62fa317"/>
                        <w:lock w:val="sdtLocked"/>
                        <w:richText/>
                      </w:sdtPr>
                      <w:sdtContent>
                        <w:p>
                          <w:pPr>
                            <w:tabs>
                              <w:tab w:val="left" w:pos="1134"/>
                            </w:tabs>
                            <w:ind w:firstLine="709"/>
                            <w:jc w:val="both"/>
                          </w:pPr>
                          <w:sdt>
                            <w:sdtPr>
                              <w:alias w:val="Numeris"/>
                              <w:tag w:val="nr_42d3065a307b45cd964aedbdd62fa317"/>
                              <w:lock w:val="sdtLocked"/>
                              <w:richText/>
                            </w:sdt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1 pp."/>
                        <w:tag w:val="part_54f05b39a4fd41a5b8d78ee5b79a6776"/>
                        <w:lock w:val="sdtLocked"/>
                        <w:richText/>
                      </w:sdtPr>
                      <w:sdtContent>
                        <w:p>
                          <w:pPr>
                            <w:tabs>
                              <w:tab w:val="left" w:pos="1134"/>
                            </w:tabs>
                            <w:ind w:firstLine="709"/>
                            <w:jc w:val="both"/>
                            <w:rPr>
                              <w:szCs w:val="24"/>
                            </w:rPr>
                          </w:pPr>
                          <w:sdt>
                            <w:sdtPr>
                              <w:alias w:val="Numeris"/>
                              <w:tag w:val="nr_54f05b39a4fd41a5b8d78ee5b79a6776"/>
                              <w:lock w:val="sdtLocked"/>
                              <w:richText/>
                            </w:sdt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 xml:space="preserve">pagal gamtinių dujų kilmės šalis ir gamtinių dujų rinkoje įsigyti išdujintas suskystintas gamtines dujas arba tarptautinėje suskystintų gamtinių dujų rinkoje įsigyti suskystintas gamtines dujas, kai prognozuojama gamtinių dujų ateities sandorių kaina, kuri skelbiama </w:t>
                          </w:r>
                          <w:r>
                            <w:rPr>
                              <w:i/>
                              <w:iCs/>
                              <w:color w:val="000000"/>
                              <w:shd w:val="clear" w:color="auto" w:fill="FFFFFF"/>
                              <w:lang w:eastAsia="lt-LT"/>
                            </w:rPr>
                            <w:t>Intercontinental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Dutch TTF Gas Futures</w:t>
                          </w:r>
                          <w:r>
                            <w:rPr>
                              <w:color w:val="000000"/>
                              <w:shd w:val="clear" w:color="auto" w:fill="FFFFFF"/>
                              <w:lang w:eastAsia="lt-LT"/>
                            </w:rPr>
                            <w:t xml:space="preserve">, einamųjų metų šildymo sezono mėnesiams yra 3 kartus ar daugiau didesnė už įsigyjančiosios organizacijos prašymu Valstybinės energetikos reguliavimo tarybos apskaičiuotą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r>
                            <w:rPr>
                              <w:i/>
                              <w:iCs/>
                              <w:lang w:eastAsia="lt-LT"/>
                            </w:rPr>
                            <w:t>Intercontinental Exchange</w:t>
                          </w:r>
                          <w:r>
                            <w:rPr>
                              <w:lang w:eastAsia="lt-LT"/>
                            </w:rPr>
                            <w:t xml:space="preserve"> (ICE) interneto svetainės skiltyje </w:t>
                          </w:r>
                          <w:r>
                            <w:rPr>
                              <w:i/>
                              <w:iCs/>
                              <w:lang w:eastAsia="lt-LT"/>
                            </w:rPr>
                            <w:t>Dutch TTF Gas Futures</w:t>
                          </w:r>
                          <w:r>
                            <w:rPr>
                              <w:lang w:eastAsia="lt-LT"/>
                            </w:rPr>
                            <w:t xml:space="preserve"> skelbiamą atitinkamo pristatymo laikotarpio vidutinę gamtinių dujų ateities sandorių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2 pp."/>
                        <w:tag w:val="part_f08f09621b214cec9fcaa0074a47e127"/>
                        <w:lock w:val="sdtLocked"/>
                        <w:richText/>
                      </w:sdtPr>
                      <w:sdtContent>
                        <w:p>
                          <w:pPr>
                            <w:tabs>
                              <w:tab w:val="left" w:pos="1134"/>
                            </w:tabs>
                            <w:ind w:firstLine="709"/>
                            <w:jc w:val="both"/>
                            <w:rPr>
                              <w:szCs w:val="24"/>
                            </w:rPr>
                          </w:pPr>
                          <w:sdt>
                            <w:sdtPr>
                              <w:alias w:val="Numeris"/>
                              <w:tag w:val="nr_f08f09621b214cec9fcaa0074a47e127"/>
                              <w:lock w:val="sdtLocked"/>
                              <w:richText/>
                            </w:sdtPr>
                            <w:sdtContent>
                              <w:r>
                                <w:rPr>
                                  <w:color w:val="000000"/>
                                  <w:shd w:val="clear" w:color="auto" w:fill="FFFFFF"/>
                                </w:rPr>
                                <w:t>43.12</w:t>
                              </w:r>
                            </w:sdtContent>
                          </w:sdt>
                          <w:r>
                            <w:rPr>
                              <w:color w:val="000000"/>
                              <w:shd w:val="clear" w:color="auto" w:fill="FFFFFF"/>
                            </w:rPr>
                            <w:t>. perkamos gamtinės dujos siekiant energetinio saugumo, patikimumo ir efektyvumo, užtikrinant parengtį izoliuotam elektros energetikos sistemos darbui.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sdtContent>
                    </w:sdt>
                    <w:sdt>
                      <w:sdtPr>
                        <w:alias w:val="43.13 pp."/>
                        <w:tag w:val="part_984540cfc92e498c839a6933ea899809"/>
                        <w:lock w:val="sdtLocked"/>
                        <w:richText/>
                      </w:sdtPr>
                      <w:sdtContent>
                        <w:p>
                          <w:pPr>
                            <w:ind w:firstLine="709"/>
                            <w:jc w:val="both"/>
                            <w:rPr>
                              <w:szCs w:val="24"/>
                            </w:rPr>
                          </w:pPr>
                          <w:sdt>
                            <w:sdtPr>
                              <w:alias w:val="Numeris"/>
                              <w:tag w:val="nr_984540cfc92e498c839a6933ea899809"/>
                              <w:lock w:val="sdtLocked"/>
                              <w:richText/>
                            </w:sdtPr>
                            <w:sdtContent>
                              <w:r>
                                <w:t>43.13</w:t>
                              </w:r>
                            </w:sdtContent>
                          </w:sdt>
                          <w:r>
                            <w:t xml:space="preserve">. siekiant ekonominio naudingumo, ketinama diferencijuoti kuro tiekimo šaltinius pagal kuro rūšį ir naftos produktų rinkose įsigyti skysto pavidalo kuro, skirto šilumos energijai gaminti, kai prognozuojama gamtinių dujų ateities sandorių kaina, kuri skelbiama </w:t>
                          </w:r>
                          <w:r>
                            <w:rPr>
                              <w:i/>
                              <w:iCs/>
                            </w:rPr>
                            <w:t>Intercontinental Exchange</w:t>
                          </w:r>
                          <w:r>
                            <w:t xml:space="preserve"> (ICE) interneto svetainės skiltyje </w:t>
                          </w:r>
                          <w:r>
                            <w:rPr>
                              <w:i/>
                              <w:iCs/>
                            </w:rPr>
                            <w:t>Dutch TTF Gas Futures</w:t>
                          </w:r>
                          <w:r>
                            <w:t xml:space="preserve">, einamųjų metų šildymo sezono mėnesiams yra 2 kartus ar daugiau didesnė už įsigyjančiosios organizacijos prašymu Valstybinės energetikos reguliavimo tarybos apskaičiuotą svertinę vidutinę gamtinių dujų žaliavos kainą per paskutinius 36 mėnesius iki planuojamo sandorio sudarymo. Pirkimas neskelbiamų derybų būdu galimas, jeigu laimėjusio pasiūlymo kaina, išreikšta Eur/MWh, yra mažesnė už </w:t>
                          </w:r>
                          <w:r>
                            <w:rPr>
                              <w:i/>
                              <w:iCs/>
                            </w:rPr>
                            <w:t>Intercontinental Exchange</w:t>
                          </w:r>
                          <w:r>
                            <w:t xml:space="preserve"> (ICE) interneto svetainės skiltyje </w:t>
                          </w:r>
                          <w:r>
                            <w:rPr>
                              <w:i/>
                              <w:iCs/>
                            </w:rPr>
                            <w:t>Dutch TTF Gas Futures</w:t>
                          </w:r>
                          <w:r>
                            <w:t xml:space="preserve"> skelbiamą atitinkamo pristatymo laikotarpio vidutinę gamtinių dujų ateities sandorių kainą.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e43e73c4c71d485b8709249680f3234d"/>
                    <w:lock w:val="sdtLocked"/>
                    <w:richText/>
                  </w:sdtPr>
                  <w:sdtContent>
                    <w:p>
                      <w:pPr>
                        <w:ind w:firstLine="567"/>
                        <w:jc w:val="both"/>
                        <w:rPr>
                          <w:szCs w:val="24"/>
                        </w:rPr>
                      </w:pPr>
                      <w:sdt>
                        <w:sdtPr>
                          <w:alias w:val="Numeris"/>
                          <w:tag w:val="nr_e43e73c4c71d485b8709249680f3234d"/>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43.10 ir 43.12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f5503d21ee6b477682316872b1681e20"/>
                <w:lock w:val="sdtLocked"/>
                <w:richText/>
              </w:sdtPr>
              <w:sdtContent>
                <w:p>
                  <w:pPr>
                    <w:ind w:firstLine="709"/>
                    <w:jc w:val="both"/>
                    <w:rPr>
                      <w:szCs w:val="24"/>
                    </w:rPr>
                  </w:pPr>
                  <w:sdt>
                    <w:sdtPr>
                      <w:alias w:val="Numeris"/>
                      <w:tag w:val="nr_f5503d21ee6b477682316872b1681e20"/>
                      <w:lock w:val="sdtLocked"/>
                      <w:richText/>
                    </w:sdtPr>
                    <w:sdtContent>
                      <w:r>
                        <w:rPr>
                          <w:color w:val="000000"/>
                          <w:lang w:eastAsia="en-GB"/>
                        </w:rPr>
                        <w:t>118</w:t>
                      </w:r>
                    </w:sdtContent>
                  </w:sdt>
                  <w:r>
                    <w:rPr>
                      <w:color w:val="000000"/>
                      <w:lang w:eastAsia="en-GB"/>
                    </w:rPr>
                    <w:t>. Įsigyjančioji organizacija iki 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xml:space="preserve">. Iki pirkimo sutarties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nurodytas sąlygas, pateikia pavedimą įsigyti biržoje laimėjusiame pasiūlyme nurodytą biokuro ar gamtinių dujų kiekį už pasiūlyme nurodytą kainą ir sudaromas sandoris. Įsigyjančioji organizacija ne vėliau kaip per 3 darbo dienas, jeigu įsigyjamas biokuras, arba tą pačią dieną, jeigu įsigyjamos gamtinės dujos,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rPr>
                      <w:color w:val="000000"/>
                      <w:sz w:val="27"/>
                      <w:szCs w:val="27"/>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14e8806fbc11ec993ff5ca6e8ba60c">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2022-01-05,
paskelbta TAR 2022-01-07, i. k. 2022-00255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6e6b7085d611ecbd43a994b3e2e1cb">
            <w:r w:rsidRPr="00532B9F">
              <w:rPr>
                <w:rFonts w:ascii="Times New Roman" w:eastAsia="MS Mincho" w:hAnsi="Times New Roman"/>
                <w:sz w:val="20"/>
                <w:iCs/>
                <w:color w:val="0000FF" w:themeColor="hyperlink"/>
                <w:u w:val="single"/>
              </w:rPr>
              <w:t>89</w:t>
            </w:r>
          </w:fldSimple>
          <w:r>
            <w:rPr>
              <w:rFonts w:ascii="Times New Roman" w:eastAsia="MS Mincho" w:hAnsi="Times New Roman"/>
              <w:sz w:val="20"/>
              <w:iCs/>
            </w:rPr>
            <w:t>,
2022-02-02,
paskelbta TAR 2022-02-04, i. k. 2022-02103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16235009a711edb4cae1b158f98ea5">
            <w:r w:rsidRPr="00532B9F">
              <w:rPr>
                <w:rFonts w:ascii="Times New Roman" w:eastAsia="MS Mincho" w:hAnsi="Times New Roman"/>
                <w:sz w:val="20"/>
                <w:iCs/>
                <w:color w:val="0000FF" w:themeColor="hyperlink"/>
                <w:u w:val="single"/>
              </w:rPr>
              <w:t>774</w:t>
            </w:r>
          </w:fldSimple>
          <w:r>
            <w:rPr>
              <w:rFonts w:ascii="Times New Roman" w:eastAsia="MS Mincho" w:hAnsi="Times New Roman"/>
              <w:sz w:val="20"/>
              <w:iCs/>
            </w:rPr>
            <w:t>,
2022-07-20,
paskelbta TAR 2022-07-22, i. k. 2022-16016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7D220"/>
  <w15:docId w15:val="{070AC014-4E79-4ED0-A4F4-04132D0CA8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bd62cdfc7d8440a6af0dcb9a177a5a95">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40e2d852709549939c718f6a8d47ee3f"/>
        </Part>
        <Part Type="papunktis" Nr="21.2" Abbr="21.2 pp." DocPartId="beabe613d30a49089f3cdfb73b9e0b9f" PartId="e31ef717f25d4d438383b38b35233228"/>
        <Part Type="papunktis" Nr="21.3" Abbr="21.3 pp." DocPartId="0b565f98441e432e829fbcc3a75d8ff8" PartId="2f20379cbaff4ea1b64f831a571bfde5"/>
      </Part>
      <Part Type="punktas" Nr="21-1" Abbr="21-1 p." DocPartId="ca3bee94fa7840edb28ff1ab8e9c2cf0" PartId="706172a6eb0f4dad83ef74796aec3210">
        <Part Type="papunktis" Nr="21-1.1" Abbr="21-1.1 pp." DocPartId="d6d42b95155c4e25979d1416ca650fbe" PartId="ef51c34ec5e0419aa4dcfa3a931257de"/>
        <Part Type="papunktis" Nr="21-1.2" Abbr="21-1.2 pp." DocPartId="81eb4aa00b4d472c99049a3af1ef6a2a" PartId="d04cbe03bc5c42c8bcf7ab376e528f40"/>
      </Part>
      <Part Type="punktas" Nr="21-2" Abbr="21-2 p." DocPartId="bac255c2dd9a45ba8dc30cfac3cbef75" PartId="da83902765924a7696f601783ba65858">
        <Part Type="papunktis" Nr="21-2.1" Abbr="21-2.1 pp." DocPartId="b9cfc742e79347a9959d1883176f3b7f" PartId="def0c8b47f864d4792731ac8923729e4"/>
        <Part Type="papunktis" Nr="21-2.2" Abbr="21-2.2 pp." DocPartId="b05034129c6646be97e3fd2b0b3e0ce3" PartId="aa4c0dacd9894a23ac19f6e9e7713908"/>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3fc4416a017a4210a18580a9105545df"/>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42d3065a307b45cd964aedbdd62fa317"/>
          <Part Type="papunktis" Nr="43.11" Abbr="43.11 pp." DocPartId="10ef381b4c5346d3bf4d8376b34256ac" PartId="54f05b39a4fd41a5b8d78ee5b79a6776"/>
          <Part Type="papunktis" Nr="43.12" Abbr="43.12 pp." DocPartId="64b651c678fe4d4483dda623fb02770e" PartId="f08f09621b214cec9fcaa0074a47e127"/>
          <Part Type="papunktis" Nr="43.13" Abbr="43.13 pp." DocPartId="a6eb247a6cf4454998fa51cb68c49ffe" PartId="984540cfc92e498c839a6933ea899809"/>
        </Part>
        <Part Type="punktas" Nr="44" Abbr="44 p." DocPartId="1cce292b90504027a651934c1ac8ce7e" PartId="867b0f87c214481c8458512583230eaa"/>
        <Part Type="punktas" Nr="45" Abbr="45 p." DocPartId="0e8b62e81b4c45b2b82bd74cfc7e0fcf" PartId="e43e73c4c71d485b8709249680f3234d">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f5503d21ee6b477682316872b1681e20"/>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2B7A77DC-468F-41EF-8C33-2EA1E812FFAF}">
  <ds:schemaRefs>
    <ds:schemaRef ds:uri="http://lrs.lt/TAIS/DocParts"/>
  </ds:schemaRefs>
</ds:datastoreItem>
</file>

<file path=docProps/app.xml><?xml version="1.0" encoding="utf-8"?>
<Properties xmlns="http://schemas.openxmlformats.org/officeDocument/2006/extended-properties">
  <Template>Normal.dotm</Template>
  <TotalTime>68</TotalTime>
  <Pages>22</Pages>
  <Words>51707</Words>
  <Characters>29474</Characters>
  <Application>Microsoft Office Word</Application>
  <DocSecurity>0</DocSecurity>
  <Lines>245</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81019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2022-07-25T13:27:00Z</dcterms:modified>
  <revision>20</revision>
</coreProperties>
</file>