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2022-01-08 iki 2022-02-04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b8074725dd1548b4a37c4b4f8ae048af"/>
        <w:lock w:val="sdtLocked"/>
        <w:richText/>
      </w:sdtPr>
      <w:sdtContent>
        <w:p>
          <w:pPr>
            <w:tabs>
              <w:tab w:val="left" w:pos="6804"/>
            </w:tabs>
            <w:ind w:left="4820"/>
          </w:pPr>
        </w:p>
        <w:p>
          <w:pPr>
            <w:tabs>
              <w:tab w:val="left" w:pos="6804"/>
            </w:tabs>
            <w:ind w:left="4820"/>
            <w:rPr>
              <w:szCs w:val="24"/>
              <w:lang w:eastAsia="ar-SA"/>
            </w:r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b8074725dd1548b4a37c4b4f8ae048af"/>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40e2d852709549939c718f6a8d47ee3f"/>
                        <w:lock w:val="sdtLocked"/>
                        <w:richText/>
                      </w:sdtPr>
                      <w:sdtContent>
                        <w:p>
                          <w:pPr>
                            <w:tabs>
                              <w:tab w:val="left" w:pos="1134"/>
                            </w:tabs>
                            <w:ind w:firstLine="709"/>
                            <w:jc w:val="both"/>
                            <w:rPr>
                              <w:szCs w:val="24"/>
                            </w:rPr>
                          </w:pPr>
                          <w:sdt>
                            <w:sdtPr>
                              <w:alias w:val="Numeris"/>
                              <w:tag w:val="nr_40e2d852709549939c718f6a8d47ee3f"/>
                              <w:lock w:val="sdtLocked"/>
                              <w:richText/>
                            </w:sdtPr>
                            <w:sdtContent>
                              <w:r>
                                <w:rPr>
                                  <w:color w:val="000000"/>
                                  <w:szCs w:val="24"/>
                                  <w:lang w:eastAsia="lt-LT"/>
                                </w:rPr>
                                <w:t>21.1.3</w:t>
                              </w:r>
                            </w:sdtContent>
                          </w:sdt>
                          <w:r>
                            <w:rPr>
                              <w:color w:val="000000"/>
                              <w:szCs w:val="24"/>
                              <w:lang w:eastAsia="lt-LT"/>
                            </w:rPr>
                            <w:t xml:space="preserve">. </w:t>
                          </w:r>
                          <w:r>
                            <w:rPr>
                              <w:szCs w:val="24"/>
                              <w:lang w:eastAsia="lt-LT"/>
                            </w:rPr>
                            <w:t>arba laimėjusio pasiūlymo kaina, įskaitant transportavimo išlaidas, laimėjusio pasiūlymo nustatymo dieną yra daugiau kaip 5 procentais mažesnė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1 p."/>
                <w:tag w:val="part_706172a6eb0f4dad83ef74796aec3210"/>
                <w:lock w:val="sdtLocked"/>
                <w:richText/>
              </w:sdtPr>
              <w:sdtContent>
                <w:p>
                  <w:pPr>
                    <w:tabs>
                      <w:tab w:val="left" w:pos="1134"/>
                    </w:tabs>
                    <w:ind w:firstLine="709"/>
                    <w:jc w:val="both"/>
                    <w:rPr>
                      <w:rFonts w:eastAsia="Calibri"/>
                      <w:lang w:eastAsia="lt-LT"/>
                    </w:rPr>
                  </w:pPr>
                  <w:sdt>
                    <w:sdtPr>
                      <w:alias w:val="Numeris"/>
                      <w:tag w:val="nr_706172a6eb0f4dad83ef74796aec3210"/>
                      <w:lock w:val="sdtLocked"/>
                      <w:richText/>
                    </w:sdtPr>
                    <w:sdtContent>
                      <w:r>
                        <w:rPr>
                          <w:rFonts w:eastAsia="Calibri"/>
                          <w:lang w:eastAsia="lt-LT"/>
                        </w:rPr>
                        <w:t>21</w:t>
                      </w:r>
                      <w:r>
                        <w:rPr>
                          <w:rFonts w:eastAsia="Calibri"/>
                          <w:vertAlign w:val="superscript"/>
                          <w:lang w:eastAsia="lt-LT"/>
                        </w:rPr>
                        <w:t>1</w:t>
                      </w:r>
                    </w:sdtContent>
                  </w:sdt>
                  <w:r>
                    <w:rPr>
                      <w:rFonts w:eastAsia="Calibri"/>
                      <w:lang w:eastAsia="lt-LT"/>
                    </w:rPr>
                    <w:t xml:space="preserve">. Šilumos tiekėjai, reguliuojami nepriklausomi šilumos gamintojai ir bendri šilumos ir elektros energijos gamintojai, kurie per metus reguliuojamajai energetikos veiklai suvartoja 50 GWh gamtinių dujų ar daugiau </w:t>
                  </w:r>
                  <w:r>
                    <w:rPr>
                      <w:lang w:eastAsia="lt-LT"/>
                    </w:rPr>
                    <w:t>(toliau – energetikos įmonės, energijai gaminti naudojančios gamtines dujas)</w:t>
                  </w:r>
                  <w:r>
                    <w:rPr>
                      <w:rFonts w:eastAsia="Calibri"/>
                      <w:lang w:eastAsia="lt-LT"/>
                    </w:rPr>
                    <w:t>, vadovaudamiesi Lietuvos Respublikos energijos išteklių rinkos įstatymo 23 straipsnio 2 dalimi, gamtines dujas įsigyti ne biržoje gali Taisyklių 43.11 papunktyje nurodytomis sąlygomis arba esant bent vienai iš toliau nurodytų sąlygų, kai:</w:t>
                  </w:r>
                </w:p>
                <w:sdt>
                  <w:sdtPr>
                    <w:alias w:val="21-1.1 pp."/>
                    <w:tag w:val="part_ef51c34ec5e0419aa4dcfa3a931257de"/>
                    <w:lock w:val="sdtLocked"/>
                    <w:richText/>
                  </w:sdtPr>
                  <w:sdtContent>
                    <w:p>
                      <w:pPr>
                        <w:ind w:firstLine="709"/>
                        <w:jc w:val="both"/>
                        <w:rPr>
                          <w:lang w:eastAsia="lt-LT"/>
                        </w:rPr>
                      </w:pPr>
                      <w:sdt>
                        <w:sdtPr>
                          <w:alias w:val="Numeris"/>
                          <w:tag w:val="nr_ef51c34ec5e0419aa4dcfa3a931257de"/>
                          <w:lock w:val="sdtLocked"/>
                          <w:richText/>
                        </w:sdtPr>
                        <w:sdtContent>
                          <w:r>
                            <w:rPr>
                              <w:lang w:eastAsia="lt-LT"/>
                            </w:rPr>
                            <w:t>21</w:t>
                          </w:r>
                          <w:r>
                            <w:rPr>
                              <w:vertAlign w:val="superscript"/>
                              <w:lang w:eastAsia="lt-LT"/>
                            </w:rPr>
                            <w:t>1</w:t>
                          </w:r>
                          <w:r>
                            <w:rPr>
                              <w:lang w:eastAsia="lt-LT"/>
                            </w:rPr>
                            <w:t>.1</w:t>
                          </w:r>
                        </w:sdtContent>
                      </w:sdt>
                      <w:r>
                        <w:rPr>
                          <w:lang w:eastAsia="lt-LT"/>
                        </w:rPr>
                        <w:t>. laimėjusio pasiūlymo nustatymo dieną laimėjusio pasiūlymo kaina yra 5 procentais ir daugiau mažesnė už biržos operatoriaus interneto svetainėje skelbiamą atitinkamo pristatymo laikotarpio vidutinę gamtinių dujų biržos kainą Lietuvos prekybos aikštelėje, nustatomą vertinant dieninių arba mėnesinių sandorių rinkoje sudarytus sandorius;</w:t>
                      </w:r>
                    </w:p>
                  </w:sdtContent>
                </w:sdt>
                <w:sdt>
                  <w:sdtPr>
                    <w:alias w:val="21-1.2 pp."/>
                    <w:tag w:val="part_d04cbe03bc5c42c8bcf7ab376e528f40"/>
                    <w:lock w:val="sdtLocked"/>
                    <w:richText/>
                  </w:sdtPr>
                  <w:sdtContent>
                    <w:p>
                      <w:pPr>
                        <w:ind w:firstLine="709"/>
                        <w:jc w:val="both"/>
                      </w:pPr>
                      <w:sdt>
                        <w:sdtPr>
                          <w:alias w:val="Numeris"/>
                          <w:tag w:val="nr_d04cbe03bc5c42c8bcf7ab376e528f40"/>
                          <w:lock w:val="sdtLocked"/>
                          <w:richText/>
                        </w:sdtPr>
                        <w:sdtContent>
                          <w:r>
                            <w:rPr>
                              <w:rFonts w:eastAsia="Calibri"/>
                              <w:lang w:eastAsia="lt-LT"/>
                            </w:rPr>
                            <w:t>21</w:t>
                          </w:r>
                          <w:r>
                            <w:rPr>
                              <w:rFonts w:eastAsia="Calibri"/>
                              <w:vertAlign w:val="superscript"/>
                              <w:lang w:eastAsia="lt-LT"/>
                            </w:rPr>
                            <w:t>1</w:t>
                          </w:r>
                          <w:r>
                            <w:rPr>
                              <w:lang w:eastAsia="lt-LT"/>
                            </w:rPr>
                            <w:t>.2</w:t>
                          </w:r>
                        </w:sdtContent>
                      </w:sdt>
                      <w:r>
                        <w:rPr>
                          <w:lang w:eastAsia="lt-LT"/>
                        </w:rPr>
                        <w:t>. gamtinių dujų biržoje dėl objektyvių priežasčių nebuvo galima įsigyti reikalingo gamtinių dujų kiekio ar jo dalies.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1-2 p."/>
                <w:tag w:val="part_da83902765924a7696f601783ba65858"/>
                <w:lock w:val="sdtLocked"/>
                <w:richText/>
              </w:sdtPr>
              <w:sdtContent>
                <w:p>
                  <w:pPr>
                    <w:ind w:firstLine="709"/>
                    <w:jc w:val="both"/>
                    <w:rPr>
                      <w:lang w:eastAsia="lt-LT"/>
                    </w:rPr>
                  </w:pPr>
                  <w:sdt>
                    <w:sdtPr>
                      <w:alias w:val="Numeris"/>
                      <w:tag w:val="nr_da83902765924a7696f601783ba65858"/>
                      <w:lock w:val="sdtLocked"/>
                      <w:richText/>
                    </w:sdtPr>
                    <w:sdtContent>
                      <w:r>
                        <w:rPr>
                          <w:lang w:eastAsia="lt-LT"/>
                        </w:rPr>
                        <w:t>21</w:t>
                      </w:r>
                      <w:r>
                        <w:rPr>
                          <w:vertAlign w:val="superscript"/>
                          <w:lang w:eastAsia="lt-LT"/>
                        </w:rPr>
                        <w:t>2</w:t>
                      </w:r>
                    </w:sdtContent>
                  </w:sdt>
                  <w:r>
                    <w:rPr>
                      <w:lang w:eastAsia="lt-LT"/>
                    </w:rPr>
                    <w:t xml:space="preserve">. Laikoma, kad </w:t>
                  </w:r>
                  <w:r>
                    <w:rPr>
                      <w:rFonts w:eastAsia="Calibri"/>
                      <w:lang w:eastAsia="lt-LT"/>
                    </w:rPr>
                    <w:t>21</w:t>
                  </w:r>
                  <w:r>
                    <w:rPr>
                      <w:rFonts w:eastAsia="Calibri"/>
                      <w:vertAlign w:val="superscript"/>
                      <w:lang w:eastAsia="lt-LT"/>
                    </w:rPr>
                    <w:t>1</w:t>
                  </w:r>
                  <w:r>
                    <w:rPr>
                      <w:lang w:eastAsia="lt-LT"/>
                    </w:rPr>
                    <w:t>.2 papunktyje nurodyta sąlyga įvykdyta, jeigu:</w:t>
                  </w:r>
                </w:p>
                <w:sdt>
                  <w:sdtPr>
                    <w:alias w:val="21-2.1 pp."/>
                    <w:tag w:val="part_def0c8b47f864d4792731ac8923729e4"/>
                    <w:lock w:val="sdtLocked"/>
                    <w:richText/>
                  </w:sdtPr>
                  <w:sdtContent>
                    <w:p>
                      <w:pPr>
                        <w:ind w:firstLine="709"/>
                        <w:jc w:val="both"/>
                        <w:rPr>
                          <w:lang w:eastAsia="lt-LT"/>
                        </w:rPr>
                      </w:pPr>
                      <w:sdt>
                        <w:sdtPr>
                          <w:alias w:val="Numeris"/>
                          <w:tag w:val="nr_def0c8b47f864d4792731ac8923729e4"/>
                          <w:lock w:val="sdtLocked"/>
                          <w:richText/>
                        </w:sdtPr>
                        <w:sdtContent>
                          <w:r>
                            <w:rPr>
                              <w:lang w:eastAsia="lt-LT"/>
                            </w:rPr>
                            <w:t>21</w:t>
                          </w:r>
                          <w:r>
                            <w:rPr>
                              <w:rFonts w:eastAsia="Calibri"/>
                              <w:vertAlign w:val="superscript"/>
                              <w:lang w:eastAsia="lt-LT"/>
                            </w:rPr>
                            <w:t>2</w:t>
                          </w:r>
                          <w:r>
                            <w:rPr>
                              <w:lang w:eastAsia="lt-LT"/>
                            </w:rPr>
                            <w:t>.1</w:t>
                          </w:r>
                        </w:sdtContent>
                      </w:sdt>
                      <w:r>
                        <w:rPr>
                          <w:lang w:eastAsia="lt-LT"/>
                        </w:rPr>
                        <w:t>. energetikos įmonėms, energijai gaminti naudojančioms gamtines dujas, pateikus pavedimą biržoje įsigyti atitinkamo gamtinių dujų pristatymo laikotarpio gamtines dujas, dieninių ir (ar) mėnesinių sandorių rinkoje už laimėjusiame pasiūlyme nurodytą kainą, toks pavedimas nėra įvykdomas. Pavedimas laikomas tinkamai pateiktu, kai jis yra pateikiamas ne vėliau kaip per 3 valandas nuo prekybos sesijos pradžios ir nėra atšaukiamas ne trumpiau kaip 48 valandas nuo pavedimo pateikimo į biržą momento;</w:t>
                      </w:r>
                    </w:p>
                  </w:sdtContent>
                </w:sdt>
                <w:sdt>
                  <w:sdtPr>
                    <w:alias w:val="21-2.2 pp."/>
                    <w:tag w:val="part_aa4c0dacd9894a23ac19f6e9e7713908"/>
                    <w:lock w:val="sdtLocked"/>
                    <w:richText/>
                  </w:sdtPr>
                  <w:sdtContent>
                    <w:p>
                      <w:pPr>
                        <w:tabs>
                          <w:tab w:val="left" w:pos="1134"/>
                        </w:tabs>
                        <w:ind w:firstLine="709"/>
                        <w:jc w:val="both"/>
                        <w:rPr>
                          <w:szCs w:val="24"/>
                        </w:rPr>
                      </w:pPr>
                      <w:sdt>
                        <w:sdtPr>
                          <w:alias w:val="Numeris"/>
                          <w:tag w:val="nr_aa4c0dacd9894a23ac19f6e9e7713908"/>
                          <w:lock w:val="sdtLocked"/>
                          <w:richText/>
                        </w:sdtPr>
                        <w:sdtContent>
                          <w:r>
                            <w:rPr>
                              <w:rFonts w:eastAsia="Calibri"/>
                              <w:lang w:eastAsia="lt-LT"/>
                            </w:rPr>
                            <w:t>21</w:t>
                          </w:r>
                          <w:r>
                            <w:rPr>
                              <w:rFonts w:eastAsia="Calibri"/>
                              <w:vertAlign w:val="superscript"/>
                              <w:lang w:eastAsia="lt-LT"/>
                            </w:rPr>
                            <w:t>2</w:t>
                          </w:r>
                          <w:r>
                            <w:rPr>
                              <w:rFonts w:eastAsia="Calibri"/>
                              <w:lang w:eastAsia="lt-LT"/>
                            </w:rPr>
                            <w:t>.2</w:t>
                          </w:r>
                        </w:sdtContent>
                      </w:sdt>
                      <w:r>
                        <w:rPr>
                          <w:rFonts w:eastAsia="Calibri"/>
                          <w:lang w:eastAsia="lt-LT"/>
                        </w:rPr>
                        <w:t>. laikotarpiu nuo sprendimo dėl laimėjusio pasiūlymo nustatymo dienos iki sutarties su juo sudarymo gamtinių dujų biržoje dėl objektyvių priežasčių nebuvo galima įsigyti reikalingo gamtinių dujų kiekio ar jo dalies (prekyba gamtinėmis dujomis biržoje nebuvo vykdoma).</w:t>
                      </w:r>
                      <w:r>
                        <w:rPr>
                          <w:lang w:eastAsia="lt-LT"/>
                        </w:rPr>
                        <w:t xml:space="preserve"> Laikoma, kad </w:t>
                      </w:r>
                      <w:r>
                        <w:rPr>
                          <w:rFonts w:eastAsia="Calibri"/>
                          <w:lang w:eastAsia="lt-LT"/>
                        </w:rPr>
                        <w:t xml:space="preserve">gamtinėmis dujomis </w:t>
                      </w:r>
                      <w:r>
                        <w:rPr>
                          <w:lang w:eastAsia="lt-LT"/>
                        </w:rPr>
                        <w:t>biržoje neprekiaujama, jeigu gaunamas rašytinis biržos operatoriaus patvirtinimas. Biržos operatorius patvirtinimą pateikia ne vėliau kaip per 2 darbo dienas nuo energetikos įmonių, energijai gaminti naudojančių gamtines dujas, kreipimosi gavimo.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6848eff0c33e43b790165048d031cfd7"/>
                    <w:lock w:val="sdtLocked"/>
                    <w:richText/>
                  </w:sdtPr>
                  <w:sdtContent>
                    <w:p>
                      <w:pPr>
                        <w:tabs>
                          <w:tab w:val="left" w:pos="1134"/>
                        </w:tabs>
                        <w:ind w:firstLine="709"/>
                        <w:jc w:val="both"/>
                        <w:rPr>
                          <w:szCs w:val="24"/>
                        </w:rPr>
                      </w:pPr>
                      <w:sdt>
                        <w:sdtPr>
                          <w:alias w:val="Numeris"/>
                          <w:tag w:val="nr_6848eff0c33e43b790165048d031cfd7"/>
                          <w:lock w:val="sdtLocked"/>
                          <w:richText/>
                        </w:sdtPr>
                        <w:sdtContent>
                          <w:r>
                            <w:rPr>
                              <w:rFonts w:eastAsia="Calibri"/>
                              <w:lang w:eastAsia="lt-LT"/>
                            </w:rPr>
                            <w:t>42</w:t>
                          </w:r>
                        </w:sdtContent>
                      </w:sdt>
                      <w:r>
                        <w:rPr>
                          <w:rFonts w:eastAsia="Calibri"/>
                          <w:lang w:eastAsia="lt-LT"/>
                        </w:rPr>
                        <w:t>. Įsigyjančioji organizacija gali nusipirkti energijos išteklių, pakvietusi raštu pateikti pasiūlymą tiekėjus, su kuriais ji gali derėtis dėl pasiūlymo turinio, kainos ir sutarties sąlygų. Taisyklių 43.1, 43.4</w:t>
                      </w:r>
                      <w:r>
                        <w:rPr>
                          <w:lang w:eastAsia="lt-LT"/>
                        </w:rPr>
                        <w:t>–</w:t>
                      </w:r>
                      <w:r>
                        <w:rPr>
                          <w:rFonts w:eastAsia="Calibri"/>
                          <w:lang w:eastAsia="lt-LT"/>
                        </w:rPr>
                        <w:t>43.11 papunkčiuose nustatytais atvejais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42d3065a307b45cd964aedbdd62fa317"/>
                        <w:lock w:val="sdtLocked"/>
                        <w:richText/>
                      </w:sdtPr>
                      <w:sdtContent>
                        <w:p>
                          <w:pPr>
                            <w:tabs>
                              <w:tab w:val="left" w:pos="1134"/>
                            </w:tabs>
                            <w:ind w:firstLine="709"/>
                            <w:jc w:val="both"/>
                          </w:pPr>
                          <w:sdt>
                            <w:sdtPr>
                              <w:alias w:val="Numeris"/>
                              <w:tag w:val="nr_42d3065a307b45cd964aedbdd62fa317"/>
                              <w:lock w:val="sdtLocked"/>
                              <w:richText/>
                            </w:sdtPr>
                            <w:sdtContent>
                              <w:r>
                                <w:rPr>
                                  <w:rFonts w:eastAsia="Calibri"/>
                                  <w:lang w:eastAsia="lt-LT"/>
                                </w:rPr>
                                <w:t>43.10</w:t>
                              </w:r>
                            </w:sdtContent>
                          </w:sdt>
                          <w:r>
                            <w:rPr>
                              <w:rFonts w:eastAsia="Calibri"/>
                              <w:lang w:eastAsia="lt-LT"/>
                            </w:rPr>
                            <w:t xml:space="preserve">. </w:t>
                          </w:r>
                          <w:r>
                            <w:rPr>
                              <w:lang w:eastAsia="lt-LT"/>
                            </w:rPr>
                            <w:t>kai biokuras iš tiekėjo perkamas daugiau kaip 15 procentų mažesne kaina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1 pp."/>
                        <w:tag w:val="part_54f05b39a4fd41a5b8d78ee5b79a6776"/>
                        <w:lock w:val="sdtLocked"/>
                        <w:richText/>
                      </w:sdtPr>
                      <w:sdtContent>
                        <w:p>
                          <w:pPr>
                            <w:tabs>
                              <w:tab w:val="left" w:pos="1134"/>
                            </w:tabs>
                            <w:ind w:firstLine="709"/>
                            <w:jc w:val="both"/>
                            <w:rPr>
                              <w:szCs w:val="24"/>
                            </w:rPr>
                          </w:pPr>
                          <w:sdt>
                            <w:sdtPr>
                              <w:alias w:val="Numeris"/>
                              <w:tag w:val="nr_54f05b39a4fd41a5b8d78ee5b79a6776"/>
                              <w:lock w:val="sdtLocked"/>
                              <w:richText/>
                            </w:sdtPr>
                            <w:sdtContent>
                              <w:r>
                                <w:rPr>
                                  <w:color w:val="000000"/>
                                  <w:shd w:val="clear" w:color="auto" w:fill="FFFFFF"/>
                                  <w:lang w:eastAsia="lt-LT"/>
                                </w:rPr>
                                <w:t>43.11</w:t>
                              </w:r>
                            </w:sdtContent>
                          </w:sdt>
                          <w:r>
                            <w:rPr>
                              <w:color w:val="000000"/>
                              <w:shd w:val="clear" w:color="auto" w:fill="FFFFFF"/>
                              <w:lang w:eastAsia="lt-LT"/>
                            </w:rPr>
                            <w:t xml:space="preserve">. </w:t>
                          </w:r>
                          <w:r>
                            <w:rPr>
                              <w:color w:val="000000"/>
                              <w:lang w:eastAsia="lt-LT"/>
                            </w:rPr>
                            <w:t>s</w:t>
                          </w:r>
                          <w:r>
                            <w:rPr>
                              <w:lang w:eastAsia="lt-LT"/>
                            </w:rPr>
                            <w:t xml:space="preserve">iekiant ekonominio naudingumo, ketinama diferencijuoti </w:t>
                          </w:r>
                          <w:r>
                            <w:rPr>
                              <w:color w:val="000000"/>
                              <w:shd w:val="clear" w:color="auto" w:fill="FFFFFF"/>
                              <w:lang w:eastAsia="lt-LT"/>
                            </w:rPr>
                            <w:t>gamtinių dujų tiekimo šaltinius</w:t>
                          </w:r>
                          <w:r>
                            <w:rPr>
                              <w:lang w:eastAsia="lt-LT"/>
                            </w:rPr>
                            <w:t xml:space="preserve"> </w:t>
                          </w:r>
                          <w:r>
                            <w:rPr>
                              <w:color w:val="000000"/>
                              <w:shd w:val="clear" w:color="auto" w:fill="FFFFFF"/>
                              <w:lang w:eastAsia="lt-LT"/>
                            </w:rPr>
                            <w:t xml:space="preserve">pagal gamtinių dujų kilmės šalis ir gamtinių dujų rinkoje įsigyti išdujintas suskystintas gamtines dujas arba tarptautinėje suskystintų gamtinių dujų rinkoje įsigyti suskystintas gamtines dujas, kai prognozuojama gamtinių dujų ateities sandorių kaina, kuri skelbiama </w:t>
                          </w:r>
                          <w:r>
                            <w:rPr>
                              <w:i/>
                              <w:iCs/>
                              <w:color w:val="000000"/>
                              <w:shd w:val="clear" w:color="auto" w:fill="FFFFFF"/>
                              <w:lang w:eastAsia="lt-LT"/>
                            </w:rPr>
                            <w:t>Intercontinental Exchange</w:t>
                          </w:r>
                          <w:r>
                            <w:rPr>
                              <w:color w:val="000000"/>
                              <w:shd w:val="clear" w:color="auto" w:fill="FFFFFF"/>
                              <w:lang w:eastAsia="lt-LT"/>
                            </w:rPr>
                            <w:t xml:space="preserve"> (ICE) interneto svetainės skiltyje</w:t>
                          </w:r>
                          <w:r>
                            <w:rPr>
                              <w:i/>
                              <w:iCs/>
                              <w:color w:val="000000"/>
                              <w:shd w:val="clear" w:color="auto" w:fill="FFFFFF"/>
                              <w:lang w:eastAsia="lt-LT"/>
                            </w:rPr>
                            <w:t xml:space="preserve"> Dutch TTF Gas Futures</w:t>
                          </w:r>
                          <w:r>
                            <w:rPr>
                              <w:color w:val="000000"/>
                              <w:shd w:val="clear" w:color="auto" w:fill="FFFFFF"/>
                              <w:lang w:eastAsia="lt-LT"/>
                            </w:rPr>
                            <w:t xml:space="preserve">, einamųjų metų šildymo sezono mėnesiams yra 3 kartus ar daugiau didesnė už įsigyjančiosios organizacijos prašymu Valstybinės energetikos reguliavimo tarybos apskaičiuotą svertinę vidutinę gamtinių dujų žaliavos kainą per paskutinius </w:t>
                          </w:r>
                          <w:r>
                            <w:rPr>
                              <w:color w:val="000000"/>
                              <w:lang w:eastAsia="lt-LT"/>
                            </w:rPr>
                            <w:t>36</w:t>
                          </w:r>
                          <w:r>
                            <w:rPr>
                              <w:color w:val="000000"/>
                              <w:shd w:val="clear" w:color="auto" w:fill="FFFFFF"/>
                              <w:lang w:eastAsia="lt-LT"/>
                            </w:rPr>
                            <w:t xml:space="preserve"> mėnesius iki planuojamo dvišalio susitarimo sudarymo. Pirkimas neskelbiamų derybų būdu galimas</w:t>
                          </w:r>
                          <w:r>
                            <w:rPr>
                              <w:color w:val="000000"/>
                              <w:lang w:eastAsia="lt-LT"/>
                            </w:rPr>
                            <w:t>,</w:t>
                          </w:r>
                          <w:r>
                            <w:rPr>
                              <w:color w:val="000000"/>
                              <w:shd w:val="clear" w:color="auto" w:fill="FFFFFF"/>
                              <w:lang w:eastAsia="lt-LT"/>
                            </w:rPr>
                            <w:t xml:space="preserve"> jei l</w:t>
                          </w:r>
                          <w:r>
                            <w:rPr>
                              <w:lang w:eastAsia="lt-LT"/>
                            </w:rPr>
                            <w:t xml:space="preserve">aimėjusio pasiūlymo kaina yra ne daugiau kaip 10 procentų didesnė už </w:t>
                          </w:r>
                          <w:r>
                            <w:rPr>
                              <w:i/>
                              <w:iCs/>
                              <w:lang w:eastAsia="lt-LT"/>
                            </w:rPr>
                            <w:t>Intercontinental Exchange</w:t>
                          </w:r>
                          <w:r>
                            <w:rPr>
                              <w:lang w:eastAsia="lt-LT"/>
                            </w:rPr>
                            <w:t xml:space="preserve"> (ICE) interneto svetainės skiltyje </w:t>
                          </w:r>
                          <w:r>
                            <w:rPr>
                              <w:i/>
                              <w:iCs/>
                              <w:lang w:eastAsia="lt-LT"/>
                            </w:rPr>
                            <w:t>Dutch TTF Gas Futures</w:t>
                          </w:r>
                          <w:r>
                            <w:rPr>
                              <w:lang w:eastAsia="lt-LT"/>
                            </w:rPr>
                            <w:t xml:space="preserve"> skelbiamą atitinkamo pristatymo laikotarpio vidutinę gamtinių dujų ateities sandorių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b06ba236ef174904a4da47b3018ea01e"/>
                    <w:lock w:val="sdtLocked"/>
                    <w:richText/>
                  </w:sdtPr>
                  <w:sdtContent>
                    <w:p>
                      <w:pPr>
                        <w:ind w:firstLine="720"/>
                        <w:jc w:val="both"/>
                        <w:rPr>
                          <w:szCs w:val="24"/>
                        </w:rPr>
                      </w:pPr>
                      <w:sdt>
                        <w:sdtPr>
                          <w:alias w:val="Numeris"/>
                          <w:tag w:val="nr_b06ba236ef174904a4da47b3018ea01e"/>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ir 43.10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f5503d21ee6b477682316872b1681e20"/>
                <w:lock w:val="sdtLocked"/>
                <w:richText/>
              </w:sdtPr>
              <w:sdtContent>
                <w:p>
                  <w:pPr>
                    <w:ind w:firstLine="709"/>
                    <w:jc w:val="both"/>
                    <w:rPr>
                      <w:szCs w:val="24"/>
                    </w:rPr>
                  </w:pPr>
                  <w:sdt>
                    <w:sdtPr>
                      <w:alias w:val="Numeris"/>
                      <w:tag w:val="nr_f5503d21ee6b477682316872b1681e20"/>
                      <w:lock w:val="sdtLocked"/>
                      <w:richText/>
                    </w:sdtPr>
                    <w:sdtContent>
                      <w:r>
                        <w:rPr>
                          <w:color w:val="000000"/>
                          <w:lang w:eastAsia="en-GB"/>
                        </w:rPr>
                        <w:t>118</w:t>
                      </w:r>
                    </w:sdtContent>
                  </w:sdt>
                  <w:r>
                    <w:rPr>
                      <w:color w:val="000000"/>
                      <w:lang w:eastAsia="en-GB"/>
                    </w:rPr>
                    <w:t>. Įsigyjančioji organizacija iki pirkimo sutarties sudarymo turi teisę nutraukti bet kurias pirkimo procedūras, jeigu atsiranda aplinkybių, kurių nebuvo galima numatyti</w:t>
                  </w:r>
                  <w:r>
                    <w:rPr>
                      <w:lang w:eastAsia="lt-LT"/>
                    </w:rPr>
                    <w:t xml:space="preserve"> arba jeigu laimėjusio pasiūlymo kaina neatitinka Taisyklių 2</w:t>
                  </w:r>
                  <w:r>
                    <w:rPr>
                      <w:lang w:val="en-US" w:eastAsia="lt-LT"/>
                    </w:rPr>
                    <w:t>1</w:t>
                  </w:r>
                  <w:r>
                    <w:rPr>
                      <w:vertAlign w:val="superscript"/>
                      <w:lang w:eastAsia="lt-LT"/>
                    </w:rPr>
                    <w:t>1</w:t>
                  </w:r>
                  <w:r>
                    <w:rPr>
                      <w:lang w:eastAsia="lt-LT"/>
                    </w:rPr>
                    <w:t>.1 arba 43.11 papunktyje nurodytų sąlygų</w:t>
                  </w:r>
                  <w:r>
                    <w:rPr>
                      <w:color w:val="000000"/>
                      <w:lang w:eastAsia="en-GB"/>
                    </w:rPr>
                    <w:t xml:space="preserve">. Iki pirkimo sutarties sudarymo visais atvejais nutraukiamos bet kurios pirkimo procedūros, jeigu įsigyjančioji organizacija, siekdama įvykdyti Taisyklių 21 punkte </w:t>
                  </w:r>
                  <w:r>
                    <w:rPr>
                      <w:color w:val="000000"/>
                      <w:lang w:eastAsia="lt-LT"/>
                    </w:rPr>
                    <w:t>arba 21</w:t>
                  </w:r>
                  <w:r>
                    <w:rPr>
                      <w:color w:val="000000"/>
                      <w:vertAlign w:val="superscript"/>
                      <w:lang w:eastAsia="lt-LT"/>
                    </w:rPr>
                    <w:t>1</w:t>
                  </w:r>
                  <w:r>
                    <w:rPr>
                      <w:color w:val="000000"/>
                      <w:lang w:eastAsia="lt-LT"/>
                    </w:rPr>
                    <w:t>.2 papunktyje ir 21</w:t>
                  </w:r>
                  <w:r>
                    <w:rPr>
                      <w:color w:val="000000"/>
                      <w:vertAlign w:val="superscript"/>
                      <w:lang w:eastAsia="lt-LT"/>
                    </w:rPr>
                    <w:t xml:space="preserve">2 </w:t>
                  </w:r>
                  <w:r>
                    <w:rPr>
                      <w:color w:val="000000"/>
                      <w:lang w:eastAsia="lt-LT"/>
                    </w:rPr>
                    <w:t xml:space="preserve">punkte </w:t>
                  </w:r>
                  <w:r>
                    <w:rPr>
                      <w:color w:val="000000"/>
                      <w:lang w:eastAsia="en-GB"/>
                    </w:rPr>
                    <w:t>nurodytas sąlygas, pateikia pavedimą įsigyti biržoje laimėjusiame pasiūlyme nurodytą biokuro ar gamtinių dujų kiekį už pasiūlyme nurodytą kainą ir sudaromas sandoris. Įsigyjančioji organizacija ne vėliau kaip per 3 darbo dienas, jeigu įsigyjamas biokuras, arba tą pačią dieną, jeigu įsigyjamos gamtinės dujos,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rPr>
                      <w:color w:val="000000"/>
                      <w:sz w:val="27"/>
                      <w:szCs w:val="27"/>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df2aa386d69c49ddbb4da2d8b67b4431"/>
                <w:lock w:val="sdtLocked"/>
                <w:richText/>
              </w:sdtPr>
              <w:sdtContent>
                <w:p>
                  <w:pPr>
                    <w:tabs>
                      <w:tab w:val="left" w:pos="1134"/>
                    </w:tabs>
                    <w:ind w:firstLine="709"/>
                    <w:jc w:val="both"/>
                    <w:rPr>
                      <w:szCs w:val="24"/>
                    </w:rPr>
                  </w:pPr>
                  <w:sdt>
                    <w:sdtPr>
                      <w:alias w:val="Numeris"/>
                      <w:tag w:val="nr_df2aa386d69c49ddbb4da2d8b67b4431"/>
                      <w:lock w:val="sdtLocked"/>
                      <w:richText/>
                    </w:sdtPr>
                    <w:sdtContent>
                      <w:r>
                        <w:rPr>
                          <w:rFonts w:eastAsia="Calibri"/>
                          <w:szCs w:val="24"/>
                        </w:rPr>
                        <w:t>127</w:t>
                      </w:r>
                    </w:sdtContent>
                  </w:sdt>
                  <w:r>
                    <w:rPr>
                      <w:rFonts w:eastAsia="Calibri"/>
                      <w:szCs w:val="24"/>
                    </w:rPr>
                    <w:t>. Perkami biokuro produktai privalo būti įsigyjami energetiniais matavimo vienetais (MWh), išskyrus kai perkama malkinė mediena. Įsigyto biokuro kiekio apskaita atliekama energetikos ministro tvirtinamose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14e8806fbc11ec993ff5ca6e8ba60c">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2022-01-05,
paskelbta TAR 2022-01-07, i. k. 2022-00255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72475"/>
  <w15:docId w15:val="{070AC014-4E79-4ED0-A4F4-04132D0CA8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b8074725dd1548b4a37c4b4f8ae048af">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40e2d852709549939c718f6a8d47ee3f"/>
        </Part>
        <Part Type="papunktis" Nr="21.2" Abbr="21.2 pp." DocPartId="beabe613d30a49089f3cdfb73b9e0b9f" PartId="e31ef717f25d4d438383b38b35233228"/>
        <Part Type="papunktis" Nr="21.3" Abbr="21.3 pp." DocPartId="0b565f98441e432e829fbcc3a75d8ff8" PartId="2f20379cbaff4ea1b64f831a571bfde5"/>
      </Part>
      <Part Type="punktas" Nr="21-1" Abbr="21-1 p." DocPartId="ca3bee94fa7840edb28ff1ab8e9c2cf0" PartId="706172a6eb0f4dad83ef74796aec3210">
        <Part Type="papunktis" Nr="21-1.1" Abbr="21-1.1 pp." DocPartId="d6d42b95155c4e25979d1416ca650fbe" PartId="ef51c34ec5e0419aa4dcfa3a931257de"/>
        <Part Type="papunktis" Nr="21-1.2" Abbr="21-1.2 pp." DocPartId="81eb4aa00b4d472c99049a3af1ef6a2a" PartId="d04cbe03bc5c42c8bcf7ab376e528f40"/>
      </Part>
      <Part Type="punktas" Nr="21-2" Abbr="21-2 p." DocPartId="bac255c2dd9a45ba8dc30cfac3cbef75" PartId="da83902765924a7696f601783ba65858">
        <Part Type="papunktis" Nr="21-2.1" Abbr="21-2.1 pp." DocPartId="b9cfc742e79347a9959d1883176f3b7f" PartId="def0c8b47f864d4792731ac8923729e4"/>
        <Part Type="papunktis" Nr="21-2.2" Abbr="21-2.2 pp." DocPartId="b05034129c6646be97e3fd2b0b3e0ce3" PartId="aa4c0dacd9894a23ac19f6e9e7713908"/>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6848eff0c33e43b790165048d031cfd7"/>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42d3065a307b45cd964aedbdd62fa317"/>
          <Part Type="papunktis" Nr="43.11" Abbr="43.11 pp." DocPartId="10ef381b4c5346d3bf4d8376b34256ac" PartId="54f05b39a4fd41a5b8d78ee5b79a6776"/>
        </Part>
        <Part Type="punktas" Nr="44" Abbr="44 p." DocPartId="1cce292b90504027a651934c1ac8ce7e" PartId="867b0f87c214481c8458512583230eaa"/>
        <Part Type="punktas" Nr="45" Abbr="45 p." DocPartId="0e8b62e81b4c45b2b82bd74cfc7e0fcf" PartId="b06ba236ef174904a4da47b3018ea01e">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f5503d21ee6b477682316872b1681e20"/>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df2aa386d69c49ddbb4da2d8b67b4431"/>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A7C09D14-8712-4A76-BD6E-D1CCEFE6432B}">
  <ds:schemaRefs>
    <ds:schemaRef ds:uri="http://lrs.lt/TAIS/DocParts"/>
  </ds:schemaRefs>
</ds:datastoreItem>
</file>

<file path=docProps/app.xml><?xml version="1.0" encoding="utf-8"?>
<Properties xmlns="http://schemas.openxmlformats.org/officeDocument/2006/extended-properties">
  <Template>Normal.dotm</Template>
  <TotalTime>45</TotalTime>
  <Pages>22</Pages>
  <Words>52143</Words>
  <Characters>29723</Characters>
  <Application>Microsoft Office Word</Application>
  <DocSecurity>0</DocSecurity>
  <Lines>247</Lines>
  <Paragraphs>163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81703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2022-01-10T14:00:00Z</dcterms:modified>
  <revision>18</revision>
</coreProperties>
</file>