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520e4011e240d9818b5328990da415"/>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846EE1309921">
            <w:r w:rsidRPr="00532B9F">
              <w:rPr>
                <w:rFonts w:ascii="Times New Roman" w:eastAsia="MS Mincho" w:hAnsi="Times New Roman"/>
                <w:sz w:val="20"/>
                <w:i/>
                <w:iCs/>
                <w:color w:val="0000FF" w:themeColor="hyperlink"/>
                <w:u w:val="single"/>
              </w:rPr>
              <w:t>115-5179</w:t>
            </w:r>
          </w:fldSimple>
          <w:r>
            <w:rPr>
              <w:rFonts w:ascii="Times New Roman" w:eastAsia="MS Mincho" w:hAnsi="Times New Roman"/>
              <w:sz w:val="20"/>
              <w:i/>
              <w:iCs/>
            </w:rPr>
            <w:t>, i. k. 1022055ISAK00000339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fc2e3b509f3711eea5a28c81c82193a8">
            <w:r w:rsidRPr="00532B9F">
              <w:rPr>
                <w:rFonts w:ascii="Times New Roman" w:eastAsia="MS Mincho" w:hAnsi="Times New Roman"/>
                <w:sz w:val="20"/>
                <w:i/>
                <w:iCs/>
                <w:color w:val="0000FF" w:themeColor="hyperlink"/>
                <w:u w:val="single"/>
              </w:rPr>
              <w:t>VA-97</w:t>
            </w:r>
          </w:fldSimple>
          <w:r>
            <w:rPr>
              <w:rFonts w:ascii="Times New Roman" w:eastAsia="MS Mincho" w:hAnsi="Times New Roman"/>
              <w:sz w:val="20"/>
              <w:i/>
              <w:iCs/>
            </w:rPr>
            <w:t>,
2023-12-20,
paskelbta TAR 2023-12-20, i. k. 2023-24680                </w:t>
          </w:r>
        </w:p>
        <w:p>
          <w:pPr>
            <w:rPr>
              <w:rFonts w:ascii="Times New Roman" w:hAnsi="Times New Roman"/>
              <w:sz w:val="22"/>
            </w:rPr>
          </w:pPr>
        </w:p>
        <w:sdt>
          <w:sdtPr>
            <w:alias w:val="Pavadinimas"/>
            <w:tag w:val="title_21520e4011e240d9818b5328990da415"/>
            <w:lock w:val="sdtLocked"/>
            <w:richText/>
          </w:sdtPr>
          <w:sdtContent>
            <w:p>
              <w:pPr>
                <w:suppressAutoHyphens/>
                <w:jc w:val="center"/>
              </w:pPr>
              <w:r>
                <w:rPr>
                  <w:lang w:eastAsia="lt-LT"/>
                </w:rPr>
                <w:drawing>
                  <wp:inline distT="0" distB="0" distL="0" distR="0">
                    <wp:extent cx="542290" cy="55499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290" cy="554990"/>
                            </a:xfrm>
                            <a:prstGeom prst="rect">
                              <a:avLst/>
                            </a:prstGeom>
                            <a:noFill/>
                          </pic:spPr>
                        </pic:pic>
                      </a:graphicData>
                    </a:graphic>
                  </wp:inline>
                </w:drawing>
              </w:r>
            </w:p>
            <w:p>
              <w:pPr>
                <w:suppressAutoHyphens/>
                <w:jc w:val="center"/>
                <w:rPr>
                  <w:b/>
                  <w:color w:val="000000"/>
                  <w:spacing w:val="-1"/>
                  <w:szCs w:val="24"/>
                </w:rPr>
              </w:pPr>
              <w:r>
                <w:rPr>
                  <w:b/>
                  <w:color w:val="000000"/>
                  <w:spacing w:val="-1"/>
                  <w:szCs w:val="24"/>
                </w:rPr>
                <w:t>VALSTYBINĖS MOKESČIŲ INSPEKCIJOS</w:t>
              </w:r>
            </w:p>
            <w:p>
              <w:pPr>
                <w:suppressAutoHyphens/>
                <w:jc w:val="center"/>
                <w:rPr>
                  <w:b/>
                  <w:color w:val="000000"/>
                  <w:spacing w:val="-1"/>
                  <w:szCs w:val="24"/>
                </w:rPr>
              </w:pPr>
              <w:r>
                <w:rPr>
                  <w:b/>
                  <w:color w:val="000000"/>
                  <w:spacing w:val="-1"/>
                  <w:szCs w:val="24"/>
                </w:rPr>
                <w:t>PRIE LIETUVOS RESPUBLIKOS FINANSŲ MINISTERIJOS</w:t>
              </w:r>
            </w:p>
            <w:p>
              <w:pPr>
                <w:suppressAutoHyphens/>
                <w:jc w:val="center"/>
                <w:rPr>
                  <w:b/>
                  <w:color w:val="000000"/>
                  <w:spacing w:val="-1"/>
                  <w:szCs w:val="24"/>
                </w:rPr>
              </w:pPr>
              <w:r>
                <w:rPr>
                  <w:b/>
                  <w:color w:val="000000"/>
                  <w:spacing w:val="-1"/>
                  <w:szCs w:val="24"/>
                </w:rPr>
                <w:t>VIRŠININKAS</w:t>
              </w:r>
            </w:p>
          </w:sdtContent>
        </w:sdt>
        <w:p>
          <w:pPr>
            <w:suppressAutoHyphens/>
            <w:jc w:val="center"/>
            <w:rPr>
              <w:b/>
              <w:color w:val="000000"/>
              <w:spacing w:val="-1"/>
              <w:szCs w:val="24"/>
            </w:rPr>
          </w:pPr>
        </w:p>
        <w:p>
          <w:pPr>
            <w:suppressAutoHyphens/>
            <w:jc w:val="center"/>
            <w:rPr>
              <w:b/>
              <w:color w:val="000000"/>
              <w:spacing w:val="-1"/>
              <w:szCs w:val="24"/>
            </w:rPr>
          </w:pPr>
          <w:r>
            <w:rPr>
              <w:b/>
              <w:color w:val="000000"/>
              <w:spacing w:val="-1"/>
              <w:szCs w:val="24"/>
            </w:rPr>
            <w:t>ĮSAKYMAS</w:t>
          </w:r>
        </w:p>
        <w:p>
          <w:pPr>
            <w:suppressAutoHyphens/>
            <w:jc w:val="center"/>
            <w:rPr>
              <w:szCs w:val="24"/>
            </w:rPr>
          </w:pPr>
          <w:r>
            <w:rPr>
              <w:b/>
              <w:color w:val="000000"/>
              <w:spacing w:val="-1"/>
              <w:szCs w:val="24"/>
            </w:rPr>
            <w:t>DĖL UŽSIENIO APMOKESTINAMŲJŲ ASMENŲ PRAŠYMŲ GRĄŽINTI JŲ LIETUVOS RESPUBLIKOJE SUMOKĖTĄ PRIDĖTINĖS VERTĖS MOKESTĮ</w:t>
          </w:r>
        </w:p>
        <w:p>
          <w:pPr>
            <w:suppressAutoHyphens/>
            <w:jc w:val="center"/>
            <w:rPr>
              <w:szCs w:val="24"/>
            </w:rPr>
          </w:pPr>
        </w:p>
        <w:p>
          <w:pPr>
            <w:suppressAutoHyphens/>
            <w:jc w:val="center"/>
            <w:rPr>
              <w:szCs w:val="24"/>
            </w:rPr>
          </w:pPr>
          <w:r>
            <w:rPr>
              <w:szCs w:val="24"/>
            </w:rPr>
            <w:t>2002 m. lapkričio 25 d. Nr. 339</w:t>
          </w:r>
        </w:p>
        <w:p>
          <w:pPr>
            <w:suppressAutoHyphens/>
            <w:jc w:val="center"/>
            <w:rPr>
              <w:szCs w:val="24"/>
            </w:rPr>
          </w:pPr>
          <w:r>
            <w:rPr>
              <w:szCs w:val="24"/>
            </w:rPr>
            <w:t>Vilnius</w:t>
          </w:r>
        </w:p>
        <w:p>
          <w:pPr>
            <w:suppressAutoHyphens/>
            <w:jc w:val="center"/>
            <w:rPr>
              <w:szCs w:val="24"/>
            </w:rPr>
          </w:pPr>
        </w:p>
        <w:p>
          <w:pPr>
            <w:suppressAutoHyphens/>
            <w:jc w:val="center"/>
            <w:rPr>
              <w:szCs w:val="24"/>
            </w:rPr>
          </w:pPr>
        </w:p>
        <w:sdt>
          <w:sdtPr>
            <w:alias w:val="preambule"/>
            <w:tag w:val="part_f102506758fe454ebfadf98a196fcec9"/>
            <w:lock w:val="sdtLocked"/>
            <w:richText/>
          </w:sdtPr>
          <w:sdtContent>
            <w:p>
              <w:pPr>
                <w:suppressAutoHyphens/>
                <w:ind w:firstLine="720"/>
                <w:jc w:val="both"/>
                <w:rPr>
                  <w:color w:val="000000"/>
                  <w:spacing w:val="-1"/>
                  <w:szCs w:val="24"/>
                </w:rPr>
              </w:pPr>
              <w:r>
                <w:rPr>
                  <w:color w:val="000000"/>
                  <w:spacing w:val="-1"/>
                  <w:szCs w:val="24"/>
                </w:rPr>
                <w:t>Vadovaudamasi Lietuvos Respublikos pridėtinės vertės mokesčio įstatymo 119 ir 119</w:t>
              </w:r>
              <w:r>
                <w:rPr>
                  <w:color w:val="000000"/>
                  <w:spacing w:val="-1"/>
                  <w:szCs w:val="24"/>
                  <w:vertAlign w:val="superscript"/>
                </w:rPr>
                <w:t>1</w:t>
              </w:r>
              <w:r>
                <w:rPr>
                  <w:color w:val="000000"/>
                  <w:spacing w:val="-1"/>
                  <w:szCs w:val="24"/>
                </w:rPr>
                <w:t xml:space="preserve"> straipsniais, </w:t>
              </w:r>
              <w:r>
                <w:rPr>
                  <w:color w:val="000000"/>
                  <w:szCs w:val="24"/>
                  <w:shd w:val="clear" w:color="auto" w:fill="FFFFFF"/>
                </w:rPr>
                <w:t xml:space="preserve">Prašymų grąžinti už Europos Sąjungos teritorijos ribų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 </w:t>
              </w:r>
              <w:r>
                <w:rPr>
                  <w:color w:val="000000"/>
                  <w:spacing w:val="-1"/>
                  <w:szCs w:val="24"/>
                  <w:lang w:eastAsia="lt-LT"/>
                </w:rPr>
                <w:t>Valsty</w:t>
              </w:r>
              <w:r>
                <w:rPr>
                  <w:color w:val="000000"/>
                  <w:szCs w:val="24"/>
                  <w:lang w:eastAsia="lt-LT"/>
                </w:rPr>
                <w:t>binės mokesčių inspekcijos prie Lietuvos Respublikos finansų ministerijos nuostatų, patvirtintų Lietuvos Respublikos finansų ministro 1997 m. liepos 29 d. įsakymu Nr. 110 „</w:t>
              </w:r>
              <w:r>
                <w:rPr>
                  <w:bCs/>
                  <w:color w:val="000000"/>
                  <w:spacing w:val="-1"/>
                  <w:szCs w:val="24"/>
                  <w:lang w:eastAsia="lt-LT"/>
                </w:rPr>
                <w:t>Dėl Valstybinės mokesčių inspekcijos prie Lietuvos Respublikos finansų ministerijos nuostatų patvirtinimo</w:t>
              </w:r>
              <w:r>
                <w:rPr>
                  <w:color w:val="000000"/>
                  <w:spacing w:val="-1"/>
                  <w:szCs w:val="24"/>
                  <w:lang w:eastAsia="lt-LT"/>
                </w:rPr>
                <w:t>“</w:t>
              </w:r>
              <w:r>
                <w:rPr>
                  <w:color w:val="000000"/>
                  <w:szCs w:val="24"/>
                  <w:lang w:eastAsia="lt-LT"/>
                </w:rPr>
                <w:t>, 22.9 papunkčiu,</w:t>
              </w:r>
            </w:p>
          </w:sdtContent>
        </w:sdt>
        <w:sdt>
          <w:sdtPr>
            <w:alias w:val="pastraipa"/>
            <w:tag w:val="part_7cca60d46e1747e792a32145531df234"/>
            <w:lock w:val="sdtLocked"/>
            <w:richText/>
          </w:sdtPr>
          <w:sdtContent>
            <w:p>
              <w:pPr>
                <w:suppressAutoHyphens/>
                <w:ind w:firstLine="720"/>
                <w:jc w:val="both"/>
                <w:rPr>
                  <w:color w:val="000000"/>
                  <w:spacing w:val="-1"/>
                  <w:szCs w:val="24"/>
                </w:rPr>
              </w:pPr>
              <w:r>
                <w:rPr>
                  <w:spacing w:val="80"/>
                  <w:szCs w:val="24"/>
                  <w:lang w:eastAsia="lt-LT"/>
                </w:rPr>
                <w:t>tvirtinu</w:t>
              </w:r>
              <w:r>
                <w:rPr>
                  <w:color w:val="000000"/>
                  <w:spacing w:val="-1"/>
                  <w:szCs w:val="24"/>
                </w:rPr>
                <w:t xml:space="preserve"> pridedamas:</w:t>
              </w:r>
            </w:p>
          </w:sdtContent>
        </w:sdt>
        <w:sdt>
          <w:sdtPr>
            <w:alias w:val="1 p."/>
            <w:tag w:val="part_a71cf063e2c5416b8b4c02f004c14258"/>
            <w:lock w:val="sdtLocked"/>
            <w:richText/>
          </w:sdtPr>
          <w:sdtContent>
            <w:p>
              <w:pPr>
                <w:suppressAutoHyphens/>
                <w:ind w:firstLine="720"/>
                <w:jc w:val="both"/>
                <w:rPr>
                  <w:color w:val="000000"/>
                  <w:spacing w:val="-1"/>
                  <w:szCs w:val="24"/>
                </w:rPr>
              </w:pPr>
              <w:sdt>
                <w:sdtPr>
                  <w:alias w:val="Numeris"/>
                  <w:tag w:val="nr_a71cf063e2c5416b8b4c02f004c14258"/>
                  <w:lock w:val="sdtLocked"/>
                  <w:richText/>
                </w:sdtPr>
                <w:sdtContent>
                  <w:r>
                    <w:rPr>
                      <w:color w:val="000000"/>
                      <w:spacing w:val="-1"/>
                      <w:szCs w:val="24"/>
                    </w:rPr>
                    <w:t>1</w:t>
                  </w:r>
                </w:sdtContent>
              </w:sdt>
              <w:r>
                <w:rPr>
                  <w:color w:val="000000"/>
                  <w:spacing w:val="-1"/>
                  <w:szCs w:val="24"/>
                </w:rPr>
                <w:t>. Už Europos Sąjungos teritorijos ribų įsikūrusio apmokestinamojo asmens prašymo grąžinti pridėtinės vertės mokestį užpildymo ir pakeitimo taisykles;</w:t>
              </w:r>
            </w:p>
          </w:sdtContent>
        </w:sdt>
        <w:sdt>
          <w:sdtPr>
            <w:alias w:val="2 p."/>
            <w:tag w:val="part_87f42ce0b6594e20b7beabae736cd3aa"/>
            <w:lock w:val="sdtLocked"/>
            <w:richText/>
          </w:sdtPr>
          <w:sdtContent>
            <w:p>
              <w:pPr>
                <w:suppressAutoHyphens/>
                <w:ind w:firstLine="720"/>
                <w:jc w:val="both"/>
                <w:rPr>
                  <w:color w:val="000000"/>
                  <w:spacing w:val="-1"/>
                  <w:szCs w:val="24"/>
                </w:rPr>
              </w:pPr>
              <w:sdt>
                <w:sdtPr>
                  <w:alias w:val="Numeris"/>
                  <w:tag w:val="nr_87f42ce0b6594e20b7beabae736cd3aa"/>
                  <w:lock w:val="sdtLocked"/>
                  <w:richText/>
                </w:sdtPr>
                <w:sdtContent>
                  <w:r>
                    <w:rPr>
                      <w:color w:val="000000"/>
                      <w:spacing w:val="-1"/>
                      <w:szCs w:val="24"/>
                    </w:rPr>
                    <w:t>2</w:t>
                  </w:r>
                </w:sdtContent>
              </w:sdt>
              <w:r>
                <w:rPr>
                  <w:color w:val="000000"/>
                  <w:spacing w:val="-1"/>
                  <w:szCs w:val="24"/>
                </w:rPr>
                <w:t>. Sprendimo grąžinti pridėtinės vertės mokestį už Europos Sąjungos teritorijos ribų įsikūrusiam apmokestinamajam asmeniui pavyzdinę FR0446 formą;</w:t>
              </w:r>
            </w:p>
          </w:sdtContent>
        </w:sdt>
        <w:sdt>
          <w:sdtPr>
            <w:alias w:val="3 p."/>
            <w:tag w:val="part_a1f49a15ad5041fb879ce00cd9c0b933"/>
            <w:lock w:val="sdtLocked"/>
            <w:richText/>
          </w:sdtPr>
          <w:sdtContent>
            <w:p>
              <w:pPr>
                <w:suppressAutoHyphens/>
                <w:ind w:firstLine="720"/>
                <w:jc w:val="both"/>
                <w:rPr>
                  <w:color w:val="000000"/>
                  <w:spacing w:val="-1"/>
                  <w:szCs w:val="24"/>
                </w:rPr>
              </w:pPr>
              <w:sdt>
                <w:sdtPr>
                  <w:alias w:val="Numeris"/>
                  <w:tag w:val="nr_a1f49a15ad5041fb879ce00cd9c0b933"/>
                  <w:lock w:val="sdtLocked"/>
                  <w:richText/>
                </w:sdtPr>
                <w:sdtContent>
                  <w:r>
                    <w:rPr>
                      <w:color w:val="000000"/>
                      <w:spacing w:val="-1"/>
                      <w:szCs w:val="24"/>
                    </w:rPr>
                    <w:t>3</w:t>
                  </w:r>
                </w:sdtContent>
              </w:sdt>
              <w:r>
                <w:rPr>
                  <w:color w:val="000000"/>
                  <w:spacing w:val="-1"/>
                  <w:szCs w:val="24"/>
                </w:rPr>
                <w:t>.</w:t>
              </w:r>
              <w:r>
                <w:rPr>
                  <w:szCs w:val="24"/>
                  <w:lang w:eastAsia="lt-LT"/>
                </w:rPr>
                <w:t xml:space="preserve"> </w:t>
              </w:r>
              <w:r>
                <w:rPr>
                  <w:color w:val="000000"/>
                  <w:spacing w:val="-1"/>
                  <w:szCs w:val="24"/>
                </w:rPr>
                <w:t>Kitoje Europos Sąjungos valstybėje narėje įsikūrusio apmokestinamojo asmens prašyme grąžinti pridėtinės vertės mokestį nurodomų prekių ir paslaugų aprašymo, prašymo tikslinimo ir prašymo priedų pateikimo elektroninėmis priemonėmis taisykles;</w:t>
              </w:r>
            </w:p>
          </w:sdtContent>
        </w:sdt>
        <w:sdt>
          <w:sdtPr>
            <w:alias w:val="4 p."/>
            <w:tag w:val="part_011df783106c461b87ea19e9cbece09c"/>
            <w:lock w:val="sdtLocked"/>
            <w:richText/>
          </w:sdtPr>
          <w:sdtContent>
            <w:p>
              <w:pPr>
                <w:suppressAutoHyphens/>
                <w:ind w:firstLine="720"/>
                <w:jc w:val="both"/>
                <w:rPr>
                  <w:color w:val="000000"/>
                  <w:spacing w:val="-1"/>
                  <w:szCs w:val="24"/>
                </w:rPr>
              </w:pPr>
              <w:sdt>
                <w:sdtPr>
                  <w:alias w:val="Numeris"/>
                  <w:tag w:val="nr_011df783106c461b87ea19e9cbece09c"/>
                  <w:lock w:val="sdtLocked"/>
                  <w:richText/>
                </w:sdtPr>
                <w:sdtContent>
                  <w:r>
                    <w:rPr>
                      <w:color w:val="000000"/>
                      <w:spacing w:val="-1"/>
                      <w:szCs w:val="24"/>
                    </w:rPr>
                    <w:t>4</w:t>
                  </w:r>
                </w:sdtContent>
              </w:sdt>
              <w:r>
                <w:rPr>
                  <w:color w:val="000000"/>
                  <w:spacing w:val="-1"/>
                  <w:szCs w:val="24"/>
                </w:rPr>
                <w:t>. Sprendimo grąžinti pridėtinės vertės mokestį kitoje Europos Sąjungos valstybėje narėje įsikūrusiam apmokestinamajam asmeniui pavyzdinę FR1084 formą;</w:t>
              </w:r>
            </w:p>
          </w:sdtContent>
        </w:sdt>
        <w:sdt>
          <w:sdtPr>
            <w:alias w:val="5 p."/>
            <w:tag w:val="part_d4ddb857cfb74e1fb5344ea5c174e678"/>
            <w:lock w:val="sdtLocked"/>
            <w:richText/>
          </w:sdtPr>
          <w:sdtContent>
            <w:p>
              <w:pPr>
                <w:suppressAutoHyphens/>
                <w:ind w:firstLine="720"/>
                <w:jc w:val="both"/>
              </w:pPr>
              <w:sdt>
                <w:sdtPr>
                  <w:alias w:val="Numeris"/>
                  <w:tag w:val="nr_d4ddb857cfb74e1fb5344ea5c174e678"/>
                  <w:lock w:val="sdtLocked"/>
                  <w:richText/>
                </w:sdtPr>
                <w:sdtContent>
                  <w:r>
                    <w:rPr>
                      <w:color w:val="000000"/>
                      <w:spacing w:val="-1"/>
                      <w:szCs w:val="24"/>
                    </w:rPr>
                    <w:t>5</w:t>
                  </w:r>
                </w:sdtContent>
              </w:sdt>
              <w:r>
                <w:rPr>
                  <w:color w:val="000000"/>
                  <w:spacing w:val="-1"/>
                  <w:szCs w:val="24"/>
                </w:rPr>
                <w:t>. Sprendimo grąžinti perskaičiuotą pridėtinės vertės mokestį kitoje Europos Sąjungos valstybėje narėje įsikūrusiam apmokestinamajam asmeniui po pridėtinės vertės mokesčio atskaitos procento patikslinimo pavyzdinę FR1085 formą.</w:t>
              </w:r>
            </w:p>
          </w:sdtContent>
        </w:sdt>
        <w:sdt>
          <w:sdtPr>
            <w:alias w:val="signatura"/>
            <w:tag w:val="part_2d1584a7c4fd4999a4b6762c056d8a14"/>
            <w:lock w:val="sdtLocked"/>
            <w:richText/>
          </w:sdtPr>
          <w:sdtContent>
            <w:p>
              <w:pPr>
                <w:tabs>
                  <w:tab w:val="right" w:pos="9639"/>
                </w:tabs>
              </w:pPr>
            </w:p>
            <w:p>
              <w:pPr>
                <w:tabs>
                  <w:tab w:val="right" w:pos="9639"/>
                </w:tabs>
              </w:pPr>
            </w:p>
            <w:p>
              <w:pPr>
                <w:tabs>
                  <w:tab w:val="right" w:pos="9639"/>
                </w:tabs>
              </w:pPr>
            </w:p>
            <w:p>
              <w:pPr>
                <w:tabs>
                  <w:tab w:val="right" w:pos="9639"/>
                </w:tabs>
              </w:pPr>
              <w:r>
                <w:rPr>
                  <w:caps/>
                </w:rPr>
                <w:t>VIRŠININKĖ</w:t>
                <w:tab/>
                <w:t>VIOLETA LATVIENĖ</w:t>
              </w:r>
            </w:p>
          </w:sdtContent>
        </w:sdt>
        <w:p/>
      </w:sdtContent>
    </w:sdt>
    <w:sdt>
      <w:sdtPr>
        <w:alias w:val="patvirtinta"/>
        <w:tag w:val="part_5a6ce9bb68c84639b6aabaddd18b00b3"/>
        <w:lock w:val="sdtLocked"/>
        <w:richText/>
      </w:sdtPr>
      <w:sdtContent>
        <w:p>
          <w:pPr>
            <w:tabs>
              <w:tab w:val="left" w:pos="4410"/>
            </w:tabs>
            <w:suppressAutoHyphens/>
            <w:ind w:left="5040"/>
            <w:jc w:val="both"/>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formProt w:val="0"/>
              <w:titlePg/>
              <w:docGrid w:linePitch="360"/>
            </w:sectPr>
          </w:pPr>
        </w:p>
        <w:p>
          <w:pPr>
            <w:tabs>
              <w:tab w:val="left" w:pos="4410"/>
            </w:tabs>
            <w:suppressAutoHyphens/>
            <w:ind w:left="5040"/>
            <w:jc w:val="both"/>
            <w:rPr>
              <w:szCs w:val="24"/>
            </w:rPr>
          </w:pPr>
          <w:r>
            <w:rPr>
              <w:szCs w:val="24"/>
            </w:rPr>
            <w:t>PATVIRTINTA</w:t>
          </w:r>
        </w:p>
        <w:p>
          <w:pPr>
            <w:tabs>
              <w:tab w:val="left" w:pos="4410"/>
            </w:tabs>
            <w:suppressAutoHyphens/>
            <w:ind w:left="5040"/>
            <w:jc w:val="both"/>
            <w:rPr>
              <w:szCs w:val="24"/>
            </w:rPr>
          </w:pPr>
          <w:r>
            <w:rPr>
              <w:szCs w:val="24"/>
            </w:rPr>
            <w:t xml:space="preserve">Valstybinės mokesčių inspekcijos prie Lietuvos  </w:t>
          </w:r>
        </w:p>
        <w:p>
          <w:pPr>
            <w:tabs>
              <w:tab w:val="left" w:pos="4410"/>
            </w:tabs>
            <w:suppressAutoHyphens/>
            <w:ind w:left="5040"/>
            <w:jc w:val="both"/>
            <w:rPr>
              <w:szCs w:val="24"/>
            </w:rPr>
          </w:pPr>
          <w:r>
            <w:rPr>
              <w:szCs w:val="24"/>
            </w:rPr>
            <w:t xml:space="preserve">Respublikos finansų ministerijos viršininko </w:t>
          </w:r>
        </w:p>
        <w:p>
          <w:pPr>
            <w:tabs>
              <w:tab w:val="left" w:pos="4410"/>
            </w:tabs>
            <w:suppressAutoHyphens/>
            <w:ind w:left="5040"/>
            <w:jc w:val="both"/>
            <w:rPr>
              <w:szCs w:val="24"/>
            </w:rPr>
          </w:pPr>
          <w:r>
            <w:rPr>
              <w:szCs w:val="24"/>
            </w:rPr>
            <w:t>2002 m. lapkričio 25 d. įsakymu Nr. 339</w:t>
          </w:r>
        </w:p>
        <w:p>
          <w:pPr>
            <w:tabs>
              <w:tab w:val="left" w:pos="4410"/>
            </w:tabs>
            <w:suppressAutoHyphens/>
            <w:ind w:left="5040"/>
            <w:jc w:val="both"/>
            <w:rPr>
              <w:szCs w:val="24"/>
            </w:rPr>
          </w:pPr>
          <w:r>
            <w:rPr>
              <w:szCs w:val="24"/>
            </w:rPr>
            <w:t xml:space="preserve">(Valstybinės mokesčių inspekcijos prie </w:t>
          </w:r>
        </w:p>
        <w:p>
          <w:pPr>
            <w:tabs>
              <w:tab w:val="left" w:pos="4410"/>
            </w:tabs>
            <w:suppressAutoHyphens/>
            <w:ind w:left="5040"/>
            <w:jc w:val="both"/>
            <w:rPr>
              <w:szCs w:val="24"/>
            </w:rPr>
          </w:pPr>
          <w:r>
            <w:rPr>
              <w:szCs w:val="24"/>
            </w:rPr>
            <w:t>Lietuvos Respublikos finansų ministerijos</w:t>
          </w:r>
        </w:p>
        <w:p>
          <w:pPr>
            <w:tabs>
              <w:tab w:val="left" w:pos="4410"/>
            </w:tabs>
            <w:suppressAutoHyphens/>
            <w:ind w:left="5040"/>
            <w:jc w:val="both"/>
            <w:rPr>
              <w:szCs w:val="24"/>
            </w:rPr>
          </w:pPr>
          <w:r>
            <w:rPr>
              <w:szCs w:val="24"/>
            </w:rPr>
            <w:t xml:space="preserve"> viršininko</w:t>
          </w:r>
        </w:p>
        <w:p>
          <w:pPr>
            <w:tabs>
              <w:tab w:val="left" w:pos="4410"/>
            </w:tabs>
            <w:suppressAutoHyphens/>
            <w:ind w:left="5040"/>
            <w:jc w:val="both"/>
            <w:rPr>
              <w:szCs w:val="24"/>
            </w:rPr>
          </w:pPr>
          <w:r>
            <w:rPr>
              <w:szCs w:val="24"/>
            </w:rPr>
            <w:t xml:space="preserve">2023 m. gruodžio 20 d. įsakymo Nr. </w:t>
          </w:r>
          <w:r>
            <w:t>VA-97</w:t>
          </w:r>
          <w:r>
            <w:rPr>
              <w:szCs w:val="24"/>
            </w:rPr>
            <w:t xml:space="preserve"> </w:t>
          </w:r>
        </w:p>
        <w:p>
          <w:pPr>
            <w:tabs>
              <w:tab w:val="left" w:pos="4410"/>
            </w:tabs>
            <w:suppressAutoHyphens/>
            <w:ind w:left="5040"/>
            <w:jc w:val="both"/>
            <w:rPr>
              <w:szCs w:val="24"/>
            </w:rPr>
          </w:pPr>
          <w:r>
            <w:rPr>
              <w:szCs w:val="24"/>
            </w:rPr>
            <w:t>redakcija)</w:t>
          </w:r>
        </w:p>
        <w:p>
          <w:pPr>
            <w:suppressAutoHyphens/>
            <w:jc w:val="both"/>
            <w:rPr>
              <w:szCs w:val="24"/>
            </w:rPr>
          </w:pPr>
        </w:p>
        <w:p>
          <w:pPr>
            <w:suppressAutoHyphens/>
            <w:jc w:val="both"/>
            <w:rPr>
              <w:szCs w:val="24"/>
            </w:rPr>
          </w:pPr>
        </w:p>
        <w:p>
          <w:pPr>
            <w:suppressAutoHyphens/>
            <w:jc w:val="center"/>
            <w:rPr>
              <w:b/>
              <w:szCs w:val="24"/>
            </w:rPr>
          </w:pPr>
          <w:sdt>
            <w:sdtPr>
              <w:alias w:val="Pavadinimas"/>
              <w:tag w:val="title_5a6ce9bb68c84639b6aabaddd18b00b3"/>
              <w:lock w:val="sdtLocked"/>
              <w:richText/>
            </w:sdtPr>
            <w:sdtContent>
              <w:r>
                <w:rPr>
                  <w:b/>
                  <w:szCs w:val="24"/>
                </w:rPr>
                <w:t>UŽ EUROPOS SĄJUNGOS TERITORIJOS RIBŲ ĮSIKŪRUSIO APMOKESTINAMOJO ASMENS PRAŠYMO GRĄŽINTI PRIDĖTINĖS VERTĖS MOKESTĮ UŽPILDYMO IR PATEIKIMO TAISYKLĖS</w:t>
              </w:r>
            </w:sdtContent>
          </w:sdt>
        </w:p>
        <w:p>
          <w:pPr>
            <w:suppressAutoHyphens/>
            <w:jc w:val="both"/>
            <w:rPr>
              <w:szCs w:val="24"/>
            </w:rPr>
          </w:pPr>
        </w:p>
        <w:sdt>
          <w:sdtPr>
            <w:alias w:val="skyrius"/>
            <w:tag w:val="part_22710338e12c434886a32753131ad700"/>
            <w:lock w:val="sdtLocked"/>
            <w:richText/>
          </w:sdtPr>
          <w:sdtContent>
            <w:p>
              <w:pPr>
                <w:suppressAutoHyphens/>
                <w:jc w:val="center"/>
                <w:rPr>
                  <w:b/>
                  <w:szCs w:val="24"/>
                </w:rPr>
              </w:pPr>
              <w:sdt>
                <w:sdtPr>
                  <w:alias w:val="Numeris"/>
                  <w:tag w:val="nr_22710338e12c434886a32753131ad700"/>
                  <w:lock w:val="sdtLocked"/>
                  <w:richText/>
                </w:sdtPr>
                <w:sdtContent>
                  <w:r>
                    <w:rPr>
                      <w:b/>
                      <w:szCs w:val="24"/>
                    </w:rPr>
                    <w:t>I</w:t>
                  </w:r>
                </w:sdtContent>
              </w:sdt>
              <w:r>
                <w:rPr>
                  <w:b/>
                  <w:szCs w:val="24"/>
                </w:rPr>
                <w:t xml:space="preserve"> SKYRIUS</w:t>
              </w:r>
            </w:p>
            <w:p>
              <w:pPr>
                <w:suppressAutoHyphens/>
                <w:jc w:val="center"/>
                <w:rPr>
                  <w:b/>
                  <w:szCs w:val="24"/>
                </w:rPr>
              </w:pPr>
              <w:sdt>
                <w:sdtPr>
                  <w:alias w:val="Pavadinimas"/>
                  <w:tag w:val="title_22710338e12c434886a32753131ad700"/>
                  <w:lock w:val="sdtLocked"/>
                  <w:richText/>
                </w:sdtPr>
                <w:sdtContent>
                  <w:r>
                    <w:rPr>
                      <w:b/>
                      <w:szCs w:val="24"/>
                    </w:rPr>
                    <w:t>BENDROSIOS NUOSTATOS</w:t>
                  </w:r>
                </w:sdtContent>
              </w:sdt>
            </w:p>
            <w:p>
              <w:pPr>
                <w:suppressAutoHyphens/>
                <w:jc w:val="both"/>
                <w:rPr>
                  <w:szCs w:val="24"/>
                </w:rPr>
              </w:pPr>
            </w:p>
            <w:sdt>
              <w:sdtPr>
                <w:alias w:val="1 p."/>
                <w:tag w:val="part_b9db6473290a4c0590bdf9a0f9ac27b5"/>
                <w:lock w:val="sdtLocked"/>
                <w:richText/>
              </w:sdtPr>
              <w:sdtContent>
                <w:p>
                  <w:pPr>
                    <w:suppressAutoHyphens/>
                    <w:ind w:firstLine="709"/>
                    <w:jc w:val="both"/>
                    <w:rPr>
                      <w:szCs w:val="24"/>
                    </w:rPr>
                  </w:pPr>
                  <w:sdt>
                    <w:sdtPr>
                      <w:alias w:val="Numeris"/>
                      <w:tag w:val="nr_b9db6473290a4c0590bdf9a0f9ac27b5"/>
                      <w:lock w:val="sdtLocked"/>
                      <w:richText/>
                    </w:sdtPr>
                    <w:sdtContent>
                      <w:r>
                        <w:rPr>
                          <w:szCs w:val="24"/>
                        </w:rPr>
                        <w:t>1</w:t>
                      </w:r>
                    </w:sdtContent>
                  </w:sdt>
                  <w:r>
                    <w:rPr>
                      <w:szCs w:val="24"/>
                    </w:rPr>
                    <w:t xml:space="preserve">. Už Europos Sąjungos teritorijos ribų įsikūrusio apmokestinamojo asmens prašymo grąžinti pridėtinės vertės mokestį užpildymo ir pateikimo taisyklės (toliau – Taisyklės) nustato apmokestinamojo asmens, įsikūrusio už Europos Sąjungos (toliau – ES) teritorijos ribų, elektroniniu būdu pateikiamo prašymo grąžinti Lietuvoje sumokėtą pridėtinės vertės mokestį (toliau – Prašymas) užpildymo ir pateikimo tvarką. </w:t>
                  </w:r>
                </w:p>
              </w:sdtContent>
            </w:sdt>
            <w:sdt>
              <w:sdtPr>
                <w:alias w:val="2 p."/>
                <w:tag w:val="part_9493337b13954fc4abe0abebe875d596"/>
                <w:lock w:val="sdtLocked"/>
                <w:richText/>
              </w:sdtPr>
              <w:sdtContent>
                <w:p>
                  <w:pPr>
                    <w:suppressAutoHyphens/>
                    <w:ind w:firstLine="709"/>
                    <w:jc w:val="both"/>
                    <w:rPr>
                      <w:szCs w:val="24"/>
                    </w:rPr>
                  </w:pPr>
                  <w:sdt>
                    <w:sdtPr>
                      <w:alias w:val="Numeris"/>
                      <w:tag w:val="nr_9493337b13954fc4abe0abebe875d596"/>
                      <w:lock w:val="sdtLocked"/>
                      <w:richText/>
                    </w:sdtPr>
                    <w:sdtContent>
                      <w:r>
                        <w:rPr>
                          <w:szCs w:val="24"/>
                        </w:rPr>
                        <w:t>2</w:t>
                      </w:r>
                    </w:sdtContent>
                  </w:sdt>
                  <w:r>
                    <w:rPr>
                      <w:szCs w:val="24"/>
                    </w:rPr>
                    <w:t>. Taisyklės parengtos, vadovaujantis Lietuvos Respublikos pridėtinės vertės mokesčio įstatymu (toliau – PVM įstatymas), Prašymų grąžinti už Europos Sąjungos teritorijos ribų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w:t>
                  </w:r>
                </w:p>
              </w:sdtContent>
            </w:sdt>
            <w:sdt>
              <w:sdtPr>
                <w:alias w:val="3 p."/>
                <w:tag w:val="part_ba69e4144e804cfdb4705ccbd620cefd"/>
                <w:lock w:val="sdtLocked"/>
                <w:richText/>
              </w:sdtPr>
              <w:sdtContent>
                <w:p>
                  <w:pPr>
                    <w:suppressAutoHyphens/>
                    <w:ind w:firstLine="709"/>
                    <w:jc w:val="both"/>
                    <w:rPr>
                      <w:szCs w:val="24"/>
                    </w:rPr>
                  </w:pPr>
                  <w:sdt>
                    <w:sdtPr>
                      <w:alias w:val="Numeris"/>
                      <w:tag w:val="nr_ba69e4144e804cfdb4705ccbd620cefd"/>
                      <w:lock w:val="sdtLocked"/>
                      <w:richText/>
                    </w:sdtPr>
                    <w:sdtContent>
                      <w:r>
                        <w:rPr>
                          <w:szCs w:val="24"/>
                        </w:rPr>
                        <w:t>3</w:t>
                      </w:r>
                    </w:sdtContent>
                  </w:sdt>
                  <w:r>
                    <w:rPr>
                      <w:szCs w:val="24"/>
                    </w:rPr>
                    <w:t>. Taisyklėse vartojamos sąvokos atitinka PVM įstatyme nustatytas sąvokas.</w:t>
                  </w:r>
                </w:p>
                <w:p>
                  <w:pPr>
                    <w:suppressAutoHyphens/>
                    <w:ind w:firstLine="709"/>
                    <w:jc w:val="center"/>
                    <w:rPr>
                      <w:szCs w:val="24"/>
                    </w:rPr>
                  </w:pPr>
                </w:p>
              </w:sdtContent>
            </w:sdt>
          </w:sdtContent>
        </w:sdt>
        <w:sdt>
          <w:sdtPr>
            <w:alias w:val="skyrius"/>
            <w:tag w:val="part_1d14c9850cdf4b93903663ce946a6177"/>
            <w:lock w:val="sdtLocked"/>
            <w:richText/>
          </w:sdtPr>
          <w:sdtContent>
            <w:p>
              <w:pPr>
                <w:suppressAutoHyphens/>
                <w:jc w:val="center"/>
                <w:rPr>
                  <w:b/>
                  <w:szCs w:val="24"/>
                </w:rPr>
              </w:pPr>
              <w:sdt>
                <w:sdtPr>
                  <w:alias w:val="Numeris"/>
                  <w:tag w:val="nr_1d14c9850cdf4b93903663ce946a6177"/>
                  <w:lock w:val="sdtLocked"/>
                  <w:richText/>
                </w:sdtPr>
                <w:sdtContent>
                  <w:r>
                    <w:rPr>
                      <w:b/>
                      <w:szCs w:val="24"/>
                    </w:rPr>
                    <w:t>II</w:t>
                  </w:r>
                </w:sdtContent>
              </w:sdt>
              <w:r>
                <w:rPr>
                  <w:b/>
                  <w:szCs w:val="24"/>
                </w:rPr>
                <w:t xml:space="preserve"> SKYRIUS</w:t>
              </w:r>
            </w:p>
            <w:p>
              <w:pPr>
                <w:suppressAutoHyphens/>
                <w:ind w:firstLine="709"/>
                <w:jc w:val="center"/>
                <w:rPr>
                  <w:b/>
                  <w:szCs w:val="24"/>
                </w:rPr>
              </w:pPr>
              <w:sdt>
                <w:sdtPr>
                  <w:alias w:val="Pavadinimas"/>
                  <w:tag w:val="title_1d14c9850cdf4b93903663ce946a6177"/>
                  <w:lock w:val="sdtLocked"/>
                  <w:richText/>
                </w:sdtPr>
                <w:sdtContent>
                  <w:r>
                    <w:rPr>
                      <w:b/>
                      <w:szCs w:val="24"/>
                    </w:rPr>
                    <w:t>PRAŠYMO IR REIKALINGŲ DOKUMENTŲ PATEIKIMO TVARKA IR TERMINAI</w:t>
                  </w:r>
                </w:sdtContent>
              </w:sdt>
            </w:p>
            <w:p>
              <w:pPr>
                <w:suppressAutoHyphens/>
                <w:ind w:firstLine="709"/>
                <w:jc w:val="both"/>
                <w:rPr>
                  <w:szCs w:val="24"/>
                </w:rPr>
              </w:pPr>
            </w:p>
            <w:sdt>
              <w:sdtPr>
                <w:alias w:val="4 p."/>
                <w:tag w:val="part_85f4033f1da4454caec0d40b602beaf0"/>
                <w:lock w:val="sdtLocked"/>
                <w:richText/>
              </w:sdtPr>
              <w:sdtContent>
                <w:p>
                  <w:pPr>
                    <w:suppressAutoHyphens/>
                    <w:ind w:firstLine="709"/>
                    <w:jc w:val="both"/>
                    <w:rPr>
                      <w:szCs w:val="24"/>
                    </w:rPr>
                  </w:pPr>
                  <w:sdt>
                    <w:sdtPr>
                      <w:alias w:val="Numeris"/>
                      <w:tag w:val="nr_85f4033f1da4454caec0d40b602beaf0"/>
                      <w:lock w:val="sdtLocked"/>
                      <w:richText/>
                    </w:sdtPr>
                    <w:sdtContent>
                      <w:r>
                        <w:rPr>
                          <w:szCs w:val="24"/>
                        </w:rPr>
                        <w:t>4</w:t>
                      </w:r>
                    </w:sdtContent>
                  </w:sdt>
                  <w:r>
                    <w:rPr>
                      <w:szCs w:val="24"/>
                    </w:rPr>
                    <w:t>. Prašymą teikia už ES teritorijos ribų įsikūręs apmokestinamasis asmuo, atitinkantis šių Taisyklių 16 punkte išdėstytus reikalavimus (toliau – užsienio apmokestinamasis asmuo).</w:t>
                  </w:r>
                </w:p>
              </w:sdtContent>
            </w:sdt>
            <w:sdt>
              <w:sdtPr>
                <w:alias w:val="5 p."/>
                <w:tag w:val="part_79d91259075c45d1885c8f273ec5a0a0"/>
                <w:lock w:val="sdtLocked"/>
                <w:richText/>
              </w:sdtPr>
              <w:sdtContent>
                <w:p>
                  <w:pPr>
                    <w:suppressAutoHyphens/>
                    <w:ind w:firstLine="709"/>
                    <w:jc w:val="both"/>
                    <w:rPr>
                      <w:strike/>
                      <w:szCs w:val="24"/>
                    </w:rPr>
                  </w:pPr>
                  <w:sdt>
                    <w:sdtPr>
                      <w:alias w:val="Numeris"/>
                      <w:tag w:val="nr_79d91259075c45d1885c8f273ec5a0a0"/>
                      <w:lock w:val="sdtLocked"/>
                      <w:richText/>
                    </w:sdtPr>
                    <w:sdtContent>
                      <w:r>
                        <w:rPr>
                          <w:szCs w:val="24"/>
                        </w:rPr>
                        <w:t>5</w:t>
                      </w:r>
                    </w:sdtContent>
                  </w:sdt>
                  <w:r>
                    <w:rPr>
                      <w:szCs w:val="24"/>
                    </w:rPr>
                    <w:t xml:space="preserve">. Tinkamai užpildytas Prašymas pateikiamas Valstybinei mokesčių inspekcijai (toliau – VMI), vadovaujantis Lietuvos Respublikos finansų ministro 2002 m. birželio 21 d. įsakymo Nr. 189 „Dėl Prašymų grąžinti užsienio apmokestinamiesiems asmenims jų sumokėtą PVM pateikimo ir nagrinėjimo bei PVM grąžinimo taisyklių patvirtinimo“ 4 punkte numatytomis sąlygomis ir </w:t>
                  </w:r>
                  <w:r>
                    <w:rPr>
                      <w:szCs w:val="24"/>
                      <w:lang w:eastAsia="lt-LT"/>
                    </w:rPr>
                    <w:t xml:space="preserve">Prašymų grąžinti už Europos Sąjungos teritorijos ribų įsikūrusiems apmokestinamiesiems asmenims jų Lietuvos Respublikoje sumokėtą PVM pateikimo ir nagrinėjimo bei PVM grąžinimo taisyklių, patvirtintų </w:t>
                  </w:r>
                  <w:r>
                    <w:rPr>
                      <w:szCs w:val="24"/>
                    </w:rPr>
                    <w:t xml:space="preserve">Lietuvos Respublikos finansų ministro 2002 m. birželio 21 d. įsakymu Nr. 189 „Dėl Prašymų grąžinti užsienio apmokestinamiesiems asmenims jų sumokėtą PVM pateikimo ir nagrinėjimo bei PVM grąžinimo taisyklių patvirtinimo“, 2 punkte nustatytais terminais. </w:t>
                  </w:r>
                </w:p>
              </w:sdtContent>
            </w:sdt>
            <w:sdt>
              <w:sdtPr>
                <w:alias w:val="6 p."/>
                <w:tag w:val="part_eff31ceb1347492599ebf3da3dc0c06e"/>
                <w:lock w:val="sdtLocked"/>
                <w:richText/>
              </w:sdtPr>
              <w:sdtContent>
                <w:p>
                  <w:pPr>
                    <w:suppressAutoHyphens/>
                    <w:ind w:firstLine="709"/>
                    <w:jc w:val="both"/>
                    <w:rPr>
                      <w:strike/>
                      <w:szCs w:val="24"/>
                    </w:rPr>
                  </w:pPr>
                  <w:sdt>
                    <w:sdtPr>
                      <w:alias w:val="Numeris"/>
                      <w:tag w:val="nr_eff31ceb1347492599ebf3da3dc0c06e"/>
                      <w:lock w:val="sdtLocked"/>
                      <w:richText/>
                    </w:sdtPr>
                    <w:sdtContent>
                      <w:r>
                        <w:rPr>
                          <w:szCs w:val="24"/>
                        </w:rPr>
                        <w:t>6</w:t>
                      </w:r>
                    </w:sdtContent>
                  </w:sdt>
                  <w:r>
                    <w:rPr>
                      <w:szCs w:val="24"/>
                    </w:rPr>
                    <w:t>. Prašymas teikiamas elektroniniu būdu per Valstybinės mokesčių inspekcijos portalo e. VMI autorizuotų elektroninių paslaugų sritį Mano VMI (toliau – Mano VMI).</w:t>
                  </w:r>
                </w:p>
              </w:sdtContent>
            </w:sdt>
            <w:sdt>
              <w:sdtPr>
                <w:alias w:val="7 p."/>
                <w:tag w:val="part_3a2ba89e0a744f1ba2ed9adae7699959"/>
                <w:lock w:val="sdtLocked"/>
                <w:richText/>
              </w:sdtPr>
              <w:sdtContent>
                <w:p>
                  <w:pPr>
                    <w:suppressAutoHyphens/>
                    <w:ind w:firstLine="709"/>
                    <w:jc w:val="both"/>
                    <w:rPr>
                      <w:strike/>
                      <w:szCs w:val="24"/>
                    </w:rPr>
                  </w:pPr>
                  <w:sdt>
                    <w:sdtPr>
                      <w:alias w:val="Numeris"/>
                      <w:tag w:val="nr_3a2ba89e0a744f1ba2ed9adae7699959"/>
                      <w:lock w:val="sdtLocked"/>
                      <w:richText/>
                    </w:sdtPr>
                    <w:sdtContent>
                      <w:r>
                        <w:rPr>
                          <w:szCs w:val="24"/>
                        </w:rPr>
                        <w:t>7</w:t>
                      </w:r>
                    </w:sdtContent>
                  </w:sdt>
                  <w:r>
                    <w:rPr>
                      <w:szCs w:val="24"/>
                    </w:rPr>
                    <w:t xml:space="preserve">. Užsienio apmokestinamasis asmuo (fizinis asmuo, juridinio asmens vadovas arba valdymo organo įgaliotas asmuo) prisijungimo priemones prie Mano VMI gali gauti, vadovaudamasis </w:t>
                  </w:r>
                  <w:r>
                    <w:rPr>
                      <w:szCs w:val="24"/>
                      <w:shd w:val="clear" w:color="auto" w:fill="FFFFFF"/>
                    </w:rPr>
                    <w:t>Valstybinės mokesčių inspekcijos elektroninių paslaugų naudotojų prisijungimo prie Valstybinės mokesčių inspekcijos informacinių sistemų taisyklėmis</w:t>
                  </w:r>
                  <w:r>
                    <w:rPr>
                      <w:bCs/>
                      <w:szCs w:val="24"/>
                    </w:rPr>
                    <w:t xml:space="preserve">, patvirtintomis </w:t>
                  </w:r>
                  <w:r>
                    <w:rPr>
                      <w:szCs w:val="24"/>
                    </w:rPr>
                    <w:t>Valstybinės mokesčių inspekcijos prie Lietuvos Respublikos finansų ministerijos </w:t>
                  </w:r>
                  <w:r>
                    <w:rPr>
                      <w:bCs/>
                      <w:szCs w:val="24"/>
                    </w:rPr>
                    <w:t xml:space="preserve"> viršininko 2010 m. liepos 21 d. įsakymu Nr. VA-83 „Dėl </w:t>
                  </w:r>
                  <w:r>
                    <w:rPr>
                      <w:szCs w:val="24"/>
                    </w:rPr>
                    <w:t>Valstybinės mokesčių inspekcijos elektroninių paslaugų naudotojų prisijungimo prie Valstybinės mokesčių inspekcijos informacinių sistemų taisyklių patvirtinimo</w:t>
                  </w:r>
                  <w:r>
                    <w:rPr>
                      <w:bCs/>
                      <w:szCs w:val="24"/>
                    </w:rPr>
                    <w:t>“.</w:t>
                  </w:r>
                </w:p>
              </w:sdtContent>
            </w:sdt>
            <w:sdt>
              <w:sdtPr>
                <w:alias w:val="8 p."/>
                <w:tag w:val="part_e7a7f69bee3f44e9b877c1b907b095c9"/>
                <w:lock w:val="sdtLocked"/>
                <w:richText/>
              </w:sdtPr>
              <w:sdtContent>
                <w:p>
                  <w:pPr>
                    <w:suppressAutoHyphens/>
                    <w:ind w:firstLine="709"/>
                    <w:jc w:val="both"/>
                    <w:rPr>
                      <w:szCs w:val="24"/>
                    </w:rPr>
                  </w:pPr>
                  <w:sdt>
                    <w:sdtPr>
                      <w:alias w:val="Numeris"/>
                      <w:tag w:val="nr_e7a7f69bee3f44e9b877c1b907b095c9"/>
                      <w:lock w:val="sdtLocked"/>
                      <w:richText/>
                    </w:sdtPr>
                    <w:sdtContent>
                      <w:r>
                        <w:rPr>
                          <w:bCs/>
                          <w:szCs w:val="24"/>
                        </w:rPr>
                        <w:t>8</w:t>
                      </w:r>
                    </w:sdtContent>
                  </w:sdt>
                  <w:r>
                    <w:rPr>
                      <w:bCs/>
                      <w:szCs w:val="24"/>
                    </w:rPr>
                    <w:t xml:space="preserve">. Užsienio apmokestinamojo asmens (juridinio asmens), kuris neturi VMI suteikto mokesčių mokėtojo kodo, vadovas arba valdymo organo įgaliotas asmuo privalo </w:t>
                  </w:r>
                  <w:r>
                    <w:rPr>
                      <w:szCs w:val="24"/>
                    </w:rPr>
                    <w:t xml:space="preserve">pateikti užsienio juridinio asmens, kurio vardu bus teikiamas Prašymas, </w:t>
                  </w:r>
                  <w:r>
                    <w:rPr>
                      <w:szCs w:val="24"/>
                      <w:lang w:eastAsia="lt-LT"/>
                    </w:rPr>
                    <w:t>Užsienio juridinio asmens prašymo įregistruoti į Mokesčių mokėtojų registrą / išregistruoti iš Mokesčių mokėtojų registro FR0227 formą, patvirtintą Valstybinės mokesčių inspekcijos prie Lietuvos Respublikos finansų ministerijos viršininko 2005 m. birželio 14 d. įsakymu Nr. VA-52 „Dėl užsienio juridinio asmens įregistravimo į Mokesčių mokėtojų registrą / išregistravimo iš Mokesčių mokėtojų registro“ ,</w:t>
                  </w:r>
                  <w:r>
                    <w:rPr>
                      <w:szCs w:val="24"/>
                    </w:rPr>
                    <w:t xml:space="preserve"> VMI aptarnavimo skyriuje arba atsiųsti ją paštu.</w:t>
                  </w:r>
                </w:p>
              </w:sdtContent>
            </w:sdt>
            <w:sdt>
              <w:sdtPr>
                <w:alias w:val="9 p."/>
                <w:tag w:val="part_39291d7dabc04bbfa46d113d611d2640"/>
                <w:lock w:val="sdtLocked"/>
                <w:richText/>
              </w:sdtPr>
              <w:sdtContent>
                <w:p>
                  <w:pPr>
                    <w:suppressAutoHyphens/>
                    <w:ind w:firstLine="709"/>
                    <w:jc w:val="both"/>
                    <w:rPr>
                      <w:color w:val="000000"/>
                      <w:szCs w:val="24"/>
                    </w:rPr>
                  </w:pPr>
                  <w:sdt>
                    <w:sdtPr>
                      <w:alias w:val="Numeris"/>
                      <w:tag w:val="nr_39291d7dabc04bbfa46d113d611d2640"/>
                      <w:lock w:val="sdtLocked"/>
                      <w:richText/>
                    </w:sdtPr>
                    <w:sdtContent>
                      <w:r>
                        <w:rPr>
                          <w:szCs w:val="24"/>
                        </w:rPr>
                        <w:t>9</w:t>
                      </w:r>
                    </w:sdtContent>
                  </w:sdt>
                  <w:r>
                    <w:rPr>
                      <w:szCs w:val="24"/>
                    </w:rPr>
                    <w:t>. Kartu su Prašymu turi būti pateikiamos PVM sąskaitų faktūrų arba importo deklaracijų, pagal kurias Lietuvos Respublikoje buvo sumokėtos atitinkamos PVM sumos, kopijos</w:t>
                  </w:r>
                  <w:r>
                    <w:rPr>
                      <w:b/>
                      <w:szCs w:val="24"/>
                    </w:rPr>
                    <w:t xml:space="preserve"> </w:t>
                  </w:r>
                  <w:r>
                    <w:rPr>
                      <w:szCs w:val="24"/>
                    </w:rPr>
                    <w:t>bei užsienio valstybės kompetentingos institucijos išduota pažyma (sertifikatas), patvirtinanti</w:t>
                  </w:r>
                  <w:r>
                    <w:rPr>
                      <w:color w:val="000000"/>
                      <w:szCs w:val="24"/>
                    </w:rPr>
                    <w:t xml:space="preserve">, kad užsienio asmuo valstybėje arba valstybėje, kurioje jis veikia per nuolatinę buveinę, yra registruotas PVM ar jam tapataus mokesčio mokėtoju, išskyrus atvejus, kai prašymą teikia </w:t>
                  </w:r>
                  <w:r>
                    <w:rPr>
                      <w:szCs w:val="24"/>
                    </w:rPr>
                    <w:t>Ekonominio bendradarbiavimo ir plėtros organizacijos valstybėje narėje, kurioje nėra PVM (ar jam tapataus mokesčio), įsikūręs apmokestinamasis asmuo</w:t>
                  </w:r>
                  <w:r>
                    <w:rPr>
                      <w:color w:val="000000"/>
                      <w:szCs w:val="24"/>
                    </w:rPr>
                    <w:t>. Jeigu pažyma (sertifikatas) yra išrašyta ne lietuvių ar anglų kalba, turi būti pateiktas šio dokumento vertimas į lietuvių kalbą, patvirtintas vertėjo parašu su nuoroda, kad vertimas yra teisingas. Jeigu užsienio asmuo prašo grąžinti Lietuvos Respublikoje sumokėtą PVM nebe pirmą kartą, tai šiame papunktyje nurodyta pažyma (sertifikatas) turi būti pateikiama tik tuo atveju, jei nuo pateiktos paskiausios pažymos (sertifikato) išdavimo praėjo daugiau kaip 12 mėnesių arba jei pasikeitė toje pažymoje (sertifikate) nurodyti rekvizitai.</w:t>
                  </w:r>
                </w:p>
              </w:sdtContent>
            </w:sdt>
            <w:sdt>
              <w:sdtPr>
                <w:alias w:val="10 p."/>
                <w:tag w:val="part_8d7c44b5437e4e23b290a94f627773ec"/>
                <w:lock w:val="sdtLocked"/>
                <w:richText/>
              </w:sdtPr>
              <w:sdtContent>
                <w:p>
                  <w:pPr>
                    <w:suppressAutoHyphens/>
                    <w:ind w:firstLine="709"/>
                    <w:jc w:val="both"/>
                    <w:rPr>
                      <w:szCs w:val="24"/>
                    </w:rPr>
                  </w:pPr>
                  <w:sdt>
                    <w:sdtPr>
                      <w:alias w:val="Numeris"/>
                      <w:tag w:val="nr_8d7c44b5437e4e23b290a94f627773ec"/>
                      <w:lock w:val="sdtLocked"/>
                      <w:richText/>
                    </w:sdtPr>
                    <w:sdtContent>
                      <w:r>
                        <w:rPr>
                          <w:szCs w:val="24"/>
                        </w:rPr>
                        <w:t>10</w:t>
                      </w:r>
                    </w:sdtContent>
                  </w:sdt>
                  <w:r>
                    <w:rPr>
                      <w:szCs w:val="24"/>
                    </w:rPr>
                    <w:t xml:space="preserve">. Kopijos pateikiamos per Mano VMI docx, xlsx, pptx, ppsx, odt, ods, odp, pdf, tif, tiff, jpg, jpeg, jfif, png, adoc formato rinkmenomis. Vienos rinkmenos dydis negali viršyti 4 MB, tačiau pateikiamų rinkmenų kiekis neribojamas. </w:t>
                  </w:r>
                </w:p>
              </w:sdtContent>
            </w:sdt>
            <w:sdt>
              <w:sdtPr>
                <w:alias w:val="11 p."/>
                <w:tag w:val="part_b9695894596946c8bde47793dac50d7a"/>
                <w:lock w:val="sdtLocked"/>
                <w:richText/>
              </w:sdtPr>
              <w:sdtContent>
                <w:p>
                  <w:pPr>
                    <w:suppressAutoHyphens/>
                    <w:ind w:firstLine="709"/>
                    <w:jc w:val="both"/>
                    <w:rPr>
                      <w:szCs w:val="24"/>
                    </w:rPr>
                  </w:pPr>
                  <w:sdt>
                    <w:sdtPr>
                      <w:alias w:val="Numeris"/>
                      <w:tag w:val="nr_b9695894596946c8bde47793dac50d7a"/>
                      <w:lock w:val="sdtLocked"/>
                      <w:richText/>
                    </w:sdtPr>
                    <w:sdtContent>
                      <w:r>
                        <w:rPr>
                          <w:szCs w:val="24"/>
                        </w:rPr>
                        <w:t>11</w:t>
                      </w:r>
                    </w:sdtContent>
                  </w:sdt>
                  <w:r>
                    <w:rPr>
                      <w:szCs w:val="24"/>
                    </w:rPr>
                    <w:t xml:space="preserve">. Jeigu pateiktas prašymas dar neišnagrinėtas, o prašymą pateikęs asmuo po prašymo pateikimo pastebi pateiktame prašyme padarytą klaidą ar prašymą nori papildyti, jis privalo pateikti naują prašymą ir atsisakyti prieš tai pateikto klaidingo prašymo. </w:t>
                  </w:r>
                </w:p>
                <w:p>
                  <w:pPr>
                    <w:suppressAutoHyphens/>
                    <w:ind w:firstLine="709"/>
                    <w:jc w:val="both"/>
                    <w:rPr>
                      <w:szCs w:val="24"/>
                    </w:rPr>
                  </w:pPr>
                </w:p>
              </w:sdtContent>
            </w:sdt>
          </w:sdtContent>
        </w:sdt>
        <w:sdt>
          <w:sdtPr>
            <w:alias w:val="skyrius"/>
            <w:tag w:val="part_ca340e7a53794635b5c25217857ef4b4"/>
            <w:lock w:val="sdtLocked"/>
            <w:richText/>
          </w:sdtPr>
          <w:sdtContent>
            <w:p>
              <w:pPr>
                <w:suppressAutoHyphens/>
                <w:jc w:val="center"/>
                <w:rPr>
                  <w:b/>
                  <w:szCs w:val="24"/>
                </w:rPr>
              </w:pPr>
              <w:sdt>
                <w:sdtPr>
                  <w:alias w:val="Numeris"/>
                  <w:tag w:val="nr_ca340e7a53794635b5c25217857ef4b4"/>
                  <w:lock w:val="sdtLocked"/>
                  <w:richText/>
                </w:sdtPr>
                <w:sdtContent>
                  <w:r>
                    <w:rPr>
                      <w:b/>
                      <w:szCs w:val="24"/>
                    </w:rPr>
                    <w:t>III</w:t>
                  </w:r>
                </w:sdtContent>
              </w:sdt>
              <w:r>
                <w:rPr>
                  <w:b/>
                  <w:szCs w:val="24"/>
                </w:rPr>
                <w:t xml:space="preserve"> SKYRIUS</w:t>
              </w:r>
            </w:p>
            <w:p>
              <w:pPr>
                <w:suppressAutoHyphens/>
                <w:jc w:val="center"/>
                <w:rPr>
                  <w:b/>
                  <w:szCs w:val="24"/>
                </w:rPr>
              </w:pPr>
              <w:sdt>
                <w:sdtPr>
                  <w:alias w:val="Pavadinimas"/>
                  <w:tag w:val="title_ca340e7a53794635b5c25217857ef4b4"/>
                  <w:lock w:val="sdtLocked"/>
                  <w:richText/>
                </w:sdtPr>
                <w:sdtContent>
                  <w:r>
                    <w:rPr>
                      <w:b/>
                      <w:szCs w:val="24"/>
                    </w:rPr>
                    <w:t>PRAŠYMO UŽPILDYMAS</w:t>
                  </w:r>
                </w:sdtContent>
              </w:sdt>
            </w:p>
            <w:p>
              <w:pPr>
                <w:suppressAutoHyphens/>
                <w:ind w:firstLine="709"/>
                <w:jc w:val="both"/>
                <w:rPr>
                  <w:szCs w:val="24"/>
                </w:rPr>
              </w:pPr>
            </w:p>
            <w:sdt>
              <w:sdtPr>
                <w:alias w:val="12 p."/>
                <w:tag w:val="part_302ff8b9aa734731b35a479eb22555a6"/>
                <w:lock w:val="sdtLocked"/>
                <w:richText/>
              </w:sdtPr>
              <w:sdtContent>
                <w:p>
                  <w:pPr>
                    <w:suppressAutoHyphens/>
                    <w:ind w:firstLine="709"/>
                    <w:jc w:val="both"/>
                    <w:rPr>
                      <w:szCs w:val="24"/>
                    </w:rPr>
                  </w:pPr>
                  <w:sdt>
                    <w:sdtPr>
                      <w:alias w:val="Numeris"/>
                      <w:tag w:val="nr_302ff8b9aa734731b35a479eb22555a6"/>
                      <w:lock w:val="sdtLocked"/>
                      <w:richText/>
                    </w:sdtPr>
                    <w:sdtContent>
                      <w:r>
                        <w:rPr>
                          <w:szCs w:val="24"/>
                        </w:rPr>
                        <w:t>12</w:t>
                      </w:r>
                    </w:sdtContent>
                  </w:sdt>
                  <w:r>
                    <w:rPr>
                      <w:szCs w:val="24"/>
                    </w:rPr>
                    <w:t>. Prašymas užpildomas lietuvių arba anglų kalba.</w:t>
                  </w:r>
                </w:p>
              </w:sdtContent>
            </w:sdt>
            <w:sdt>
              <w:sdtPr>
                <w:alias w:val="13 p."/>
                <w:tag w:val="part_d76806f7240f4a55ab15717e985fa6d2"/>
                <w:lock w:val="sdtLocked"/>
                <w:richText/>
              </w:sdtPr>
              <w:sdtContent>
                <w:p>
                  <w:pPr>
                    <w:suppressAutoHyphens/>
                    <w:ind w:firstLine="709"/>
                    <w:jc w:val="both"/>
                    <w:rPr>
                      <w:rFonts w:ascii="Helvetica Neue" w:hAnsi="Helvetica Neue"/>
                      <w:strike/>
                      <w:color w:val="454545"/>
                      <w:sz w:val="18"/>
                      <w:szCs w:val="24"/>
                      <w:lang w:eastAsia="en-GB"/>
                    </w:rPr>
                  </w:pPr>
                  <w:sdt>
                    <w:sdtPr>
                      <w:alias w:val="Numeris"/>
                      <w:tag w:val="nr_d76806f7240f4a55ab15717e985fa6d2"/>
                      <w:lock w:val="sdtLocked"/>
                      <w:richText/>
                    </w:sdtPr>
                    <w:sdtContent>
                      <w:r>
                        <w:rPr>
                          <w:color w:val="000000"/>
                          <w:szCs w:val="24"/>
                          <w:lang w:eastAsia="en-GB"/>
                        </w:rPr>
                        <w:t>13</w:t>
                      </w:r>
                    </w:sdtContent>
                  </w:sdt>
                  <w:r>
                    <w:rPr>
                      <w:color w:val="000000"/>
                      <w:szCs w:val="24"/>
                      <w:lang w:eastAsia="en-GB"/>
                    </w:rPr>
                    <w:t>. Pra</w:t>
                  </w:r>
                  <w:r>
                    <w:rPr>
                      <w:rFonts w:eastAsia="Calibri"/>
                      <w:color w:val="000000"/>
                      <w:szCs w:val="24"/>
                      <w:lang w:eastAsia="en-GB"/>
                    </w:rPr>
                    <w:t>šymo</w:t>
                  </w:r>
                  <w:r>
                    <w:rPr>
                      <w:color w:val="000000"/>
                      <w:szCs w:val="24"/>
                      <w:lang w:eastAsia="en-GB"/>
                    </w:rPr>
                    <w:t xml:space="preserve"> </w:t>
                  </w:r>
                  <w:r>
                    <w:rPr>
                      <w:rFonts w:eastAsia="Calibri"/>
                      <w:color w:val="000000"/>
                      <w:szCs w:val="24"/>
                      <w:lang w:eastAsia="en-GB"/>
                    </w:rPr>
                    <w:t>l</w:t>
                  </w:r>
                  <w:r>
                    <w:rPr>
                      <w:color w:val="000000"/>
                      <w:szCs w:val="24"/>
                      <w:lang w:eastAsia="en-GB"/>
                    </w:rPr>
                    <w:t xml:space="preserve">aukeliuose </w:t>
                  </w:r>
                  <w:r>
                    <w:rPr>
                      <w:rFonts w:eastAsia="Calibri"/>
                      <w:color w:val="000000"/>
                      <w:szCs w:val="24"/>
                      <w:lang w:eastAsia="en-GB"/>
                    </w:rPr>
                    <w:t>„Laikotarpio</w:t>
                  </w:r>
                  <w:r>
                    <w:rPr>
                      <w:color w:val="000000"/>
                      <w:szCs w:val="24"/>
                      <w:lang w:eastAsia="en-GB"/>
                    </w:rPr>
                    <w:t xml:space="preserve"> </w:t>
                  </w:r>
                  <w:r>
                    <w:rPr>
                      <w:rFonts w:eastAsia="Calibri"/>
                      <w:color w:val="000000"/>
                      <w:szCs w:val="24"/>
                      <w:lang w:eastAsia="en-GB"/>
                    </w:rPr>
                    <w:t>pradžia“</w:t>
                  </w:r>
                  <w:r>
                    <w:rPr>
                      <w:color w:val="000000"/>
                      <w:szCs w:val="24"/>
                      <w:lang w:eastAsia="en-GB"/>
                    </w:rPr>
                    <w:t xml:space="preserve"> </w:t>
                  </w:r>
                  <w:r>
                    <w:rPr>
                      <w:rFonts w:eastAsia="Calibri"/>
                      <w:color w:val="000000"/>
                      <w:szCs w:val="24"/>
                      <w:lang w:eastAsia="en-GB"/>
                    </w:rPr>
                    <w:t>ir</w:t>
                  </w:r>
                  <w:r>
                    <w:rPr>
                      <w:color w:val="000000"/>
                      <w:szCs w:val="24"/>
                      <w:lang w:eastAsia="en-GB"/>
                    </w:rPr>
                    <w:t xml:space="preserve"> </w:t>
                  </w:r>
                  <w:r>
                    <w:rPr>
                      <w:rFonts w:eastAsia="Calibri"/>
                      <w:color w:val="000000"/>
                      <w:szCs w:val="24"/>
                      <w:lang w:eastAsia="en-GB"/>
                    </w:rPr>
                    <w:t>„Laikotarpio</w:t>
                  </w:r>
                  <w:r>
                    <w:rPr>
                      <w:color w:val="000000"/>
                      <w:szCs w:val="24"/>
                      <w:lang w:eastAsia="en-GB"/>
                    </w:rPr>
                    <w:t xml:space="preserve"> </w:t>
                  </w:r>
                  <w:r>
                    <w:rPr>
                      <w:rFonts w:eastAsia="Calibri"/>
                      <w:color w:val="000000"/>
                      <w:szCs w:val="24"/>
                      <w:lang w:eastAsia="en-GB"/>
                    </w:rPr>
                    <w:t>pabaiga“</w:t>
                  </w:r>
                  <w:r>
                    <w:rPr>
                      <w:color w:val="000000"/>
                      <w:szCs w:val="24"/>
                      <w:lang w:eastAsia="en-GB"/>
                    </w:rPr>
                    <w:t xml:space="preserve"> </w:t>
                  </w:r>
                  <w:r>
                    <w:rPr>
                      <w:rFonts w:eastAsia="Calibri"/>
                      <w:color w:val="000000"/>
                      <w:szCs w:val="24"/>
                      <w:lang w:eastAsia="en-GB"/>
                    </w:rPr>
                    <w:t>nurodomas</w:t>
                  </w:r>
                  <w:r>
                    <w:rPr>
                      <w:color w:val="000000"/>
                      <w:szCs w:val="24"/>
                      <w:lang w:eastAsia="en-GB"/>
                    </w:rPr>
                    <w:t xml:space="preserve"> </w:t>
                  </w:r>
                  <w:r>
                    <w:rPr>
                      <w:rFonts w:eastAsia="Calibri"/>
                      <w:color w:val="000000"/>
                      <w:szCs w:val="24"/>
                      <w:lang w:eastAsia="en-GB"/>
                    </w:rPr>
                    <w:t>laikotarpis,</w:t>
                  </w:r>
                  <w:r>
                    <w:rPr>
                      <w:color w:val="000000"/>
                      <w:szCs w:val="24"/>
                      <w:lang w:eastAsia="en-GB"/>
                    </w:rPr>
                    <w:t xml:space="preserve"> </w:t>
                  </w:r>
                  <w:r>
                    <w:rPr>
                      <w:rFonts w:eastAsia="Calibri"/>
                      <w:color w:val="000000"/>
                      <w:szCs w:val="24"/>
                      <w:lang w:eastAsia="en-GB"/>
                    </w:rPr>
                    <w:t>per</w:t>
                  </w:r>
                  <w:r>
                    <w:rPr>
                      <w:color w:val="000000"/>
                      <w:szCs w:val="24"/>
                      <w:lang w:eastAsia="en-GB"/>
                    </w:rPr>
                    <w:t xml:space="preserve"> </w:t>
                  </w:r>
                  <w:r>
                    <w:rPr>
                      <w:rFonts w:eastAsia="Calibri"/>
                      <w:color w:val="000000"/>
                      <w:szCs w:val="24"/>
                      <w:lang w:eastAsia="en-GB"/>
                    </w:rPr>
                    <w:t>kurį</w:t>
                  </w:r>
                  <w:r>
                    <w:rPr>
                      <w:color w:val="000000"/>
                      <w:szCs w:val="24"/>
                      <w:lang w:eastAsia="en-GB"/>
                    </w:rPr>
                    <w:t xml:space="preserve"> </w:t>
                  </w:r>
                  <w:r>
                    <w:rPr>
                      <w:rFonts w:eastAsia="Calibri"/>
                      <w:color w:val="000000"/>
                      <w:szCs w:val="24"/>
                      <w:lang w:eastAsia="en-GB"/>
                    </w:rPr>
                    <w:t>sumokėtą</w:t>
                  </w:r>
                  <w:r>
                    <w:rPr>
                      <w:color w:val="000000"/>
                      <w:szCs w:val="24"/>
                      <w:lang w:eastAsia="en-GB"/>
                    </w:rPr>
                    <w:t xml:space="preserve"> </w:t>
                  </w:r>
                  <w:r>
                    <w:rPr>
                      <w:rFonts w:eastAsia="Calibri"/>
                      <w:color w:val="000000"/>
                      <w:szCs w:val="24"/>
                      <w:lang w:eastAsia="en-GB"/>
                    </w:rPr>
                    <w:t>PVM</w:t>
                  </w:r>
                  <w:r>
                    <w:rPr>
                      <w:color w:val="000000"/>
                      <w:szCs w:val="24"/>
                      <w:lang w:eastAsia="en-GB"/>
                    </w:rPr>
                    <w:t xml:space="preserve"> </w:t>
                  </w:r>
                  <w:r>
                    <w:rPr>
                      <w:rFonts w:eastAsia="Calibri"/>
                      <w:color w:val="000000"/>
                      <w:szCs w:val="24"/>
                      <w:lang w:eastAsia="en-GB"/>
                    </w:rPr>
                    <w:t>norima</w:t>
                  </w:r>
                  <w:r>
                    <w:rPr>
                      <w:color w:val="000000"/>
                      <w:szCs w:val="24"/>
                      <w:lang w:eastAsia="en-GB"/>
                    </w:rPr>
                    <w:t xml:space="preserve"> </w:t>
                  </w:r>
                  <w:r>
                    <w:rPr>
                      <w:rFonts w:eastAsia="Calibri"/>
                      <w:color w:val="000000"/>
                      <w:szCs w:val="24"/>
                      <w:lang w:eastAsia="en-GB"/>
                    </w:rPr>
                    <w:t>susigrąžinti.</w:t>
                  </w:r>
                  <w:r>
                    <w:rPr>
                      <w:color w:val="000000"/>
                      <w:szCs w:val="24"/>
                      <w:lang w:eastAsia="en-GB"/>
                    </w:rPr>
                    <w:t xml:space="preserve"> </w:t>
                  </w:r>
                  <w:r>
                    <w:rPr>
                      <w:rFonts w:eastAsia="Calibri"/>
                      <w:color w:val="000000"/>
                      <w:szCs w:val="24"/>
                      <w:lang w:eastAsia="en-GB"/>
                    </w:rPr>
                    <w:t>Prašymas</w:t>
                  </w:r>
                  <w:r>
                    <w:rPr>
                      <w:color w:val="000000"/>
                      <w:szCs w:val="24"/>
                      <w:lang w:eastAsia="en-GB"/>
                    </w:rPr>
                    <w:t xml:space="preserve"> </w:t>
                  </w:r>
                  <w:r>
                    <w:rPr>
                      <w:rFonts w:eastAsia="Calibri"/>
                      <w:color w:val="000000"/>
                      <w:szCs w:val="24"/>
                      <w:lang w:eastAsia="en-GB"/>
                    </w:rPr>
                    <w:t>gali</w:t>
                  </w:r>
                  <w:r>
                    <w:rPr>
                      <w:color w:val="000000"/>
                      <w:szCs w:val="24"/>
                      <w:lang w:eastAsia="en-GB"/>
                    </w:rPr>
                    <w:t xml:space="preserve"> </w:t>
                  </w:r>
                  <w:r>
                    <w:rPr>
                      <w:rFonts w:eastAsia="Calibri"/>
                      <w:color w:val="000000"/>
                      <w:szCs w:val="24"/>
                      <w:lang w:eastAsia="en-GB"/>
                    </w:rPr>
                    <w:t>apimti</w:t>
                  </w:r>
                  <w:r>
                    <w:rPr>
                      <w:color w:val="000000"/>
                      <w:szCs w:val="24"/>
                      <w:lang w:eastAsia="en-GB"/>
                    </w:rPr>
                    <w:t xml:space="preserve"> </w:t>
                  </w:r>
                  <w:r>
                    <w:rPr>
                      <w:rFonts w:eastAsia="Calibri"/>
                      <w:color w:val="000000"/>
                      <w:szCs w:val="24"/>
                      <w:lang w:eastAsia="en-GB"/>
                    </w:rPr>
                    <w:t>laikotarpį,</w:t>
                  </w:r>
                  <w:r>
                    <w:rPr>
                      <w:color w:val="000000"/>
                      <w:szCs w:val="24"/>
                      <w:lang w:eastAsia="en-GB"/>
                    </w:rPr>
                    <w:t xml:space="preserve"> </w:t>
                  </w:r>
                  <w:r>
                    <w:rPr>
                      <w:rFonts w:eastAsia="Calibri"/>
                      <w:color w:val="000000"/>
                      <w:szCs w:val="24"/>
                      <w:lang w:eastAsia="en-GB"/>
                    </w:rPr>
                    <w:t>ne</w:t>
                  </w:r>
                  <w:r>
                    <w:rPr>
                      <w:color w:val="000000"/>
                      <w:szCs w:val="24"/>
                      <w:lang w:eastAsia="en-GB"/>
                    </w:rPr>
                    <w:t xml:space="preserve"> </w:t>
                  </w:r>
                  <w:r>
                    <w:rPr>
                      <w:rFonts w:eastAsia="Calibri"/>
                      <w:color w:val="000000"/>
                      <w:szCs w:val="24"/>
                      <w:lang w:eastAsia="en-GB"/>
                    </w:rPr>
                    <w:t>ilgesnį</w:t>
                  </w:r>
                  <w:r>
                    <w:rPr>
                      <w:color w:val="000000"/>
                      <w:szCs w:val="24"/>
                      <w:lang w:eastAsia="en-GB"/>
                    </w:rPr>
                    <w:t xml:space="preserve"> </w:t>
                  </w:r>
                  <w:r>
                    <w:rPr>
                      <w:rFonts w:eastAsia="Calibri"/>
                      <w:color w:val="000000"/>
                      <w:szCs w:val="24"/>
                      <w:lang w:eastAsia="en-GB"/>
                    </w:rPr>
                    <w:t>kaip</w:t>
                  </w:r>
                  <w:r>
                    <w:rPr>
                      <w:color w:val="000000"/>
                      <w:szCs w:val="24"/>
                      <w:lang w:eastAsia="en-GB"/>
                    </w:rPr>
                    <w:t xml:space="preserve"> </w:t>
                  </w:r>
                  <w:r>
                    <w:rPr>
                      <w:rFonts w:eastAsia="Calibri"/>
                      <w:color w:val="000000"/>
                      <w:szCs w:val="24"/>
                      <w:lang w:eastAsia="en-GB"/>
                    </w:rPr>
                    <w:t>vieneri</w:t>
                  </w:r>
                  <w:r>
                    <w:rPr>
                      <w:color w:val="000000"/>
                      <w:szCs w:val="24"/>
                      <w:lang w:eastAsia="en-GB"/>
                    </w:rPr>
                    <w:t xml:space="preserve"> </w:t>
                  </w:r>
                  <w:r>
                    <w:rPr>
                      <w:rFonts w:eastAsia="Calibri"/>
                      <w:color w:val="000000"/>
                      <w:szCs w:val="24"/>
                      <w:lang w:eastAsia="en-GB"/>
                    </w:rPr>
                    <w:t>kalendoriniai</w:t>
                  </w:r>
                  <w:r>
                    <w:rPr>
                      <w:color w:val="000000"/>
                      <w:szCs w:val="24"/>
                      <w:lang w:eastAsia="en-GB"/>
                    </w:rPr>
                    <w:t xml:space="preserve"> </w:t>
                  </w:r>
                  <w:r>
                    <w:rPr>
                      <w:rFonts w:eastAsia="Calibri"/>
                      <w:color w:val="000000"/>
                      <w:szCs w:val="24"/>
                      <w:lang w:eastAsia="en-GB"/>
                    </w:rPr>
                    <w:t>metai</w:t>
                  </w:r>
                  <w:r>
                    <w:rPr>
                      <w:color w:val="000000"/>
                      <w:szCs w:val="24"/>
                      <w:lang w:eastAsia="en-GB"/>
                    </w:rPr>
                    <w:t xml:space="preserve"> </w:t>
                  </w:r>
                  <w:r>
                    <w:rPr>
                      <w:rFonts w:eastAsia="Calibri"/>
                      <w:color w:val="000000"/>
                      <w:szCs w:val="24"/>
                      <w:lang w:eastAsia="en-GB"/>
                    </w:rPr>
                    <w:t>ir</w:t>
                  </w:r>
                  <w:r>
                    <w:rPr>
                      <w:color w:val="000000"/>
                      <w:szCs w:val="24"/>
                      <w:lang w:eastAsia="en-GB"/>
                    </w:rPr>
                    <w:t xml:space="preserve"> </w:t>
                  </w:r>
                  <w:r>
                    <w:rPr>
                      <w:rFonts w:eastAsia="Calibri"/>
                      <w:color w:val="000000"/>
                      <w:szCs w:val="24"/>
                      <w:lang w:eastAsia="en-GB"/>
                    </w:rPr>
                    <w:t>ne</w:t>
                  </w:r>
                  <w:r>
                    <w:rPr>
                      <w:color w:val="000000"/>
                      <w:szCs w:val="24"/>
                      <w:lang w:eastAsia="en-GB"/>
                    </w:rPr>
                    <w:t xml:space="preserve"> </w:t>
                  </w:r>
                  <w:r>
                    <w:rPr>
                      <w:rFonts w:eastAsia="Calibri"/>
                      <w:color w:val="000000"/>
                      <w:szCs w:val="24"/>
                      <w:lang w:eastAsia="en-GB"/>
                    </w:rPr>
                    <w:t>trumpesnį</w:t>
                  </w:r>
                  <w:r>
                    <w:rPr>
                      <w:color w:val="000000"/>
                      <w:szCs w:val="24"/>
                      <w:lang w:eastAsia="en-GB"/>
                    </w:rPr>
                    <w:t xml:space="preserve"> </w:t>
                  </w:r>
                  <w:r>
                    <w:rPr>
                      <w:rFonts w:eastAsia="Calibri"/>
                      <w:color w:val="000000"/>
                      <w:szCs w:val="24"/>
                      <w:lang w:eastAsia="en-GB"/>
                    </w:rPr>
                    <w:t>kaip</w:t>
                  </w:r>
                  <w:r>
                    <w:rPr>
                      <w:color w:val="000000"/>
                      <w:szCs w:val="24"/>
                      <w:lang w:eastAsia="en-GB"/>
                    </w:rPr>
                    <w:t xml:space="preserve"> </w:t>
                  </w:r>
                  <w:r>
                    <w:rPr>
                      <w:rFonts w:eastAsia="Calibri"/>
                      <w:color w:val="000000"/>
                      <w:szCs w:val="24"/>
                      <w:lang w:eastAsia="en-GB"/>
                    </w:rPr>
                    <w:t>tų</w:t>
                  </w:r>
                  <w:r>
                    <w:rPr>
                      <w:color w:val="000000"/>
                      <w:szCs w:val="24"/>
                      <w:lang w:eastAsia="en-GB"/>
                    </w:rPr>
                    <w:t xml:space="preserve"> </w:t>
                  </w:r>
                  <w:r>
                    <w:rPr>
                      <w:rFonts w:eastAsia="Calibri"/>
                      <w:color w:val="000000"/>
                      <w:szCs w:val="24"/>
                      <w:lang w:eastAsia="en-GB"/>
                    </w:rPr>
                    <w:t>pačių</w:t>
                  </w:r>
                  <w:r>
                    <w:rPr>
                      <w:color w:val="000000"/>
                      <w:szCs w:val="24"/>
                      <w:lang w:eastAsia="en-GB"/>
                    </w:rPr>
                    <w:t xml:space="preserve"> </w:t>
                  </w:r>
                  <w:r>
                    <w:rPr>
                      <w:rFonts w:eastAsia="Calibri"/>
                      <w:color w:val="000000"/>
                      <w:szCs w:val="24"/>
                      <w:lang w:eastAsia="en-GB"/>
                    </w:rPr>
                    <w:t>kalendorinių</w:t>
                  </w:r>
                  <w:r>
                    <w:rPr>
                      <w:color w:val="000000"/>
                      <w:szCs w:val="24"/>
                      <w:lang w:eastAsia="en-GB"/>
                    </w:rPr>
                    <w:t xml:space="preserve"> </w:t>
                  </w:r>
                  <w:r>
                    <w:rPr>
                      <w:rFonts w:eastAsia="Calibri"/>
                      <w:color w:val="000000"/>
                      <w:szCs w:val="24"/>
                      <w:lang w:eastAsia="en-GB"/>
                    </w:rPr>
                    <w:t>metų</w:t>
                  </w:r>
                  <w:r>
                    <w:rPr>
                      <w:color w:val="000000"/>
                      <w:szCs w:val="24"/>
                      <w:lang w:eastAsia="en-GB"/>
                    </w:rPr>
                    <w:t xml:space="preserve"> </w:t>
                  </w:r>
                  <w:r>
                    <w:rPr>
                      <w:rFonts w:eastAsia="Calibri"/>
                      <w:color w:val="000000"/>
                      <w:szCs w:val="24"/>
                      <w:lang w:eastAsia="en-GB"/>
                    </w:rPr>
                    <w:t>3</w:t>
                  </w:r>
                  <w:r>
                    <w:rPr>
                      <w:color w:val="000000"/>
                      <w:szCs w:val="24"/>
                      <w:lang w:eastAsia="en-GB"/>
                    </w:rPr>
                    <w:t xml:space="preserve"> </w:t>
                  </w:r>
                  <w:r>
                    <w:rPr>
                      <w:rFonts w:eastAsia="Calibri"/>
                      <w:color w:val="000000"/>
                      <w:szCs w:val="24"/>
                      <w:lang w:eastAsia="en-GB"/>
                    </w:rPr>
                    <w:t>kalen</w:t>
                  </w:r>
                  <w:r>
                    <w:rPr>
                      <w:color w:val="000000"/>
                      <w:szCs w:val="24"/>
                      <w:lang w:eastAsia="en-GB"/>
                    </w:rPr>
                    <w:t>doriniai m</w:t>
                  </w:r>
                  <w:r>
                    <w:rPr>
                      <w:rFonts w:eastAsia="Calibri"/>
                      <w:color w:val="000000"/>
                      <w:szCs w:val="24"/>
                      <w:lang w:eastAsia="en-GB"/>
                    </w:rPr>
                    <w:t>ėnesiai</w:t>
                  </w:r>
                  <w:r>
                    <w:rPr>
                      <w:color w:val="000000"/>
                      <w:szCs w:val="24"/>
                      <w:lang w:eastAsia="en-GB"/>
                    </w:rPr>
                    <w:t xml:space="preserve"> (</w:t>
                  </w:r>
                  <w:r>
                    <w:rPr>
                      <w:rFonts w:eastAsia="Calibri"/>
                      <w:color w:val="000000"/>
                      <w:szCs w:val="24"/>
                      <w:lang w:eastAsia="en-GB"/>
                    </w:rPr>
                    <w:t>išskyrus</w:t>
                  </w:r>
                  <w:r>
                    <w:rPr>
                      <w:color w:val="000000"/>
                      <w:szCs w:val="24"/>
                      <w:lang w:eastAsia="en-GB"/>
                    </w:rPr>
                    <w:t xml:space="preserve"> </w:t>
                  </w:r>
                  <w:r>
                    <w:rPr>
                      <w:rFonts w:eastAsia="Calibri"/>
                      <w:color w:val="000000"/>
                      <w:szCs w:val="24"/>
                      <w:lang w:eastAsia="en-GB"/>
                    </w:rPr>
                    <w:t>atvejus,</w:t>
                  </w:r>
                  <w:r>
                    <w:rPr>
                      <w:color w:val="000000"/>
                      <w:szCs w:val="24"/>
                      <w:lang w:eastAsia="en-GB"/>
                    </w:rPr>
                    <w:t xml:space="preserve"> </w:t>
                  </w:r>
                  <w:r>
                    <w:rPr>
                      <w:rFonts w:eastAsia="Calibri"/>
                      <w:color w:val="000000"/>
                      <w:szCs w:val="24"/>
                      <w:lang w:eastAsia="en-GB"/>
                    </w:rPr>
                    <w:t>kai</w:t>
                  </w:r>
                  <w:r>
                    <w:rPr>
                      <w:color w:val="000000"/>
                      <w:szCs w:val="24"/>
                      <w:lang w:eastAsia="en-GB"/>
                    </w:rPr>
                    <w:t xml:space="preserve"> </w:t>
                  </w:r>
                  <w:r>
                    <w:rPr>
                      <w:rFonts w:eastAsia="Calibri"/>
                      <w:color w:val="000000"/>
                      <w:szCs w:val="24"/>
                      <w:lang w:eastAsia="en-GB"/>
                    </w:rPr>
                    <w:t>prašoma</w:t>
                  </w:r>
                  <w:r>
                    <w:rPr>
                      <w:color w:val="000000"/>
                      <w:szCs w:val="24"/>
                      <w:lang w:eastAsia="en-GB"/>
                    </w:rPr>
                    <w:t xml:space="preserve"> </w:t>
                  </w:r>
                  <w:r>
                    <w:rPr>
                      <w:rFonts w:eastAsia="Calibri"/>
                      <w:color w:val="000000"/>
                      <w:szCs w:val="24"/>
                      <w:lang w:eastAsia="en-GB"/>
                    </w:rPr>
                    <w:t>grąžinti</w:t>
                  </w:r>
                  <w:r>
                    <w:rPr>
                      <w:color w:val="000000"/>
                      <w:szCs w:val="24"/>
                      <w:lang w:eastAsia="en-GB"/>
                    </w:rPr>
                    <w:t xml:space="preserve"> </w:t>
                  </w:r>
                  <w:r>
                    <w:rPr>
                      <w:rFonts w:eastAsia="Calibri"/>
                      <w:color w:val="000000"/>
                      <w:szCs w:val="24"/>
                      <w:lang w:eastAsia="en-GB"/>
                    </w:rPr>
                    <w:t>PVM,</w:t>
                  </w:r>
                  <w:r>
                    <w:rPr>
                      <w:color w:val="000000"/>
                      <w:szCs w:val="24"/>
                      <w:lang w:eastAsia="en-GB"/>
                    </w:rPr>
                    <w:t xml:space="preserve"> </w:t>
                  </w:r>
                  <w:r>
                    <w:rPr>
                      <w:rFonts w:eastAsia="Calibri"/>
                      <w:color w:val="000000"/>
                      <w:szCs w:val="24"/>
                      <w:lang w:eastAsia="en-GB"/>
                    </w:rPr>
                    <w:t>sumokėtą</w:t>
                  </w:r>
                  <w:r>
                    <w:rPr>
                      <w:color w:val="000000"/>
                      <w:szCs w:val="24"/>
                      <w:lang w:eastAsia="en-GB"/>
                    </w:rPr>
                    <w:t xml:space="preserve"> </w:t>
                  </w:r>
                  <w:r>
                    <w:rPr>
                      <w:rFonts w:eastAsia="Calibri"/>
                      <w:color w:val="000000"/>
                      <w:szCs w:val="24"/>
                      <w:lang w:eastAsia="en-GB"/>
                    </w:rPr>
                    <w:t>per</w:t>
                  </w:r>
                  <w:r>
                    <w:rPr>
                      <w:color w:val="000000"/>
                      <w:szCs w:val="24"/>
                      <w:lang w:eastAsia="en-GB"/>
                    </w:rPr>
                    <w:t xml:space="preserve"> </w:t>
                  </w:r>
                  <w:r>
                    <w:rPr>
                      <w:rFonts w:eastAsia="Calibri"/>
                      <w:color w:val="000000"/>
                      <w:szCs w:val="24"/>
                      <w:lang w:eastAsia="en-GB"/>
                    </w:rPr>
                    <w:t>trumpesnį</w:t>
                  </w:r>
                  <w:r>
                    <w:rPr>
                      <w:color w:val="000000"/>
                      <w:szCs w:val="24"/>
                      <w:lang w:eastAsia="en-GB"/>
                    </w:rPr>
                    <w:t xml:space="preserve"> </w:t>
                  </w:r>
                  <w:r>
                    <w:rPr>
                      <w:rFonts w:eastAsia="Calibri"/>
                      <w:color w:val="000000"/>
                      <w:szCs w:val="24"/>
                      <w:lang w:eastAsia="en-GB"/>
                    </w:rPr>
                    <w:t>kaip</w:t>
                  </w:r>
                  <w:r>
                    <w:rPr>
                      <w:color w:val="000000"/>
                      <w:szCs w:val="24"/>
                      <w:lang w:eastAsia="en-GB"/>
                    </w:rPr>
                    <w:t xml:space="preserve"> </w:t>
                  </w:r>
                  <w:r>
                    <w:rPr>
                      <w:rFonts w:eastAsia="Calibri"/>
                      <w:color w:val="000000"/>
                      <w:szCs w:val="24"/>
                      <w:lang w:eastAsia="en-GB"/>
                    </w:rPr>
                    <w:t>3</w:t>
                  </w:r>
                  <w:r>
                    <w:rPr>
                      <w:color w:val="000000"/>
                      <w:szCs w:val="24"/>
                      <w:lang w:eastAsia="en-GB"/>
                    </w:rPr>
                    <w:t xml:space="preserve"> </w:t>
                  </w:r>
                  <w:r>
                    <w:rPr>
                      <w:rFonts w:eastAsia="Calibri"/>
                      <w:color w:val="000000"/>
                      <w:szCs w:val="24"/>
                      <w:lang w:eastAsia="en-GB"/>
                    </w:rPr>
                    <w:t>kalendorinių</w:t>
                  </w:r>
                  <w:r>
                    <w:rPr>
                      <w:color w:val="000000"/>
                      <w:szCs w:val="24"/>
                      <w:lang w:eastAsia="en-GB"/>
                    </w:rPr>
                    <w:t xml:space="preserve"> </w:t>
                  </w:r>
                  <w:r>
                    <w:rPr>
                      <w:rFonts w:eastAsia="Calibri"/>
                      <w:color w:val="000000"/>
                      <w:szCs w:val="24"/>
                      <w:lang w:eastAsia="en-GB"/>
                    </w:rPr>
                    <w:t>mėnesių</w:t>
                  </w:r>
                  <w:r>
                    <w:rPr>
                      <w:color w:val="000000"/>
                      <w:szCs w:val="24"/>
                      <w:lang w:eastAsia="en-GB"/>
                    </w:rPr>
                    <w:t xml:space="preserve"> </w:t>
                  </w:r>
                  <w:r>
                    <w:rPr>
                      <w:rFonts w:eastAsia="Calibri"/>
                      <w:color w:val="000000"/>
                      <w:szCs w:val="24"/>
                      <w:lang w:eastAsia="en-GB"/>
                    </w:rPr>
                    <w:t>laikotarpį,</w:t>
                  </w:r>
                  <w:r>
                    <w:rPr>
                      <w:color w:val="000000"/>
                      <w:szCs w:val="24"/>
                      <w:lang w:eastAsia="en-GB"/>
                    </w:rPr>
                    <w:t xml:space="preserve"> </w:t>
                  </w:r>
                  <w:r>
                    <w:rPr>
                      <w:rFonts w:eastAsia="Calibri"/>
                      <w:color w:val="000000"/>
                      <w:szCs w:val="24"/>
                      <w:lang w:eastAsia="en-GB"/>
                    </w:rPr>
                    <w:t>likusį</w:t>
                  </w:r>
                  <w:r>
                    <w:rPr>
                      <w:color w:val="000000"/>
                      <w:szCs w:val="24"/>
                      <w:lang w:eastAsia="en-GB"/>
                    </w:rPr>
                    <w:t xml:space="preserve"> </w:t>
                  </w:r>
                  <w:r>
                    <w:rPr>
                      <w:rFonts w:eastAsia="Calibri"/>
                      <w:color w:val="000000"/>
                      <w:szCs w:val="24"/>
                      <w:lang w:eastAsia="en-GB"/>
                    </w:rPr>
                    <w:t>iki</w:t>
                  </w:r>
                  <w:r>
                    <w:rPr>
                      <w:color w:val="000000"/>
                      <w:szCs w:val="24"/>
                      <w:lang w:eastAsia="en-GB"/>
                    </w:rPr>
                    <w:t xml:space="preserve"> </w:t>
                  </w:r>
                  <w:r>
                    <w:rPr>
                      <w:rFonts w:eastAsia="Calibri"/>
                      <w:color w:val="000000"/>
                      <w:szCs w:val="24"/>
                      <w:lang w:eastAsia="en-GB"/>
                    </w:rPr>
                    <w:t>kalendorinių</w:t>
                  </w:r>
                  <w:r>
                    <w:rPr>
                      <w:color w:val="000000"/>
                      <w:szCs w:val="24"/>
                      <w:lang w:eastAsia="en-GB"/>
                    </w:rPr>
                    <w:t xml:space="preserve"> </w:t>
                  </w:r>
                  <w:r>
                    <w:rPr>
                      <w:rFonts w:eastAsia="Calibri"/>
                      <w:color w:val="000000"/>
                      <w:szCs w:val="24"/>
                      <w:lang w:eastAsia="en-GB"/>
                    </w:rPr>
                    <w:t>metų</w:t>
                  </w:r>
                  <w:r>
                    <w:rPr>
                      <w:color w:val="000000"/>
                      <w:szCs w:val="24"/>
                      <w:lang w:eastAsia="en-GB"/>
                    </w:rPr>
                    <w:t xml:space="preserve"> </w:t>
                  </w:r>
                  <w:r>
                    <w:rPr>
                      <w:rFonts w:eastAsia="Calibri"/>
                      <w:color w:val="000000"/>
                      <w:szCs w:val="24"/>
                      <w:lang w:eastAsia="en-GB"/>
                    </w:rPr>
                    <w:t>pabaigos</w:t>
                  </w:r>
                  <w:r>
                    <w:rPr>
                      <w:color w:val="000000"/>
                      <w:szCs w:val="24"/>
                      <w:lang w:eastAsia="en-GB"/>
                    </w:rPr>
                    <w:t xml:space="preserve">). </w:t>
                  </w:r>
                </w:p>
              </w:sdtContent>
            </w:sdt>
            <w:sdt>
              <w:sdtPr>
                <w:alias w:val="14 p."/>
                <w:tag w:val="part_4ec2649fd45e4f0db39a3dc69f7139ee"/>
                <w:lock w:val="sdtLocked"/>
                <w:richText/>
              </w:sdtPr>
              <w:sdtContent>
                <w:p>
                  <w:pPr>
                    <w:suppressAutoHyphens/>
                    <w:ind w:firstLine="709"/>
                    <w:jc w:val="both"/>
                    <w:rPr>
                      <w:szCs w:val="24"/>
                    </w:rPr>
                  </w:pPr>
                  <w:sdt>
                    <w:sdtPr>
                      <w:alias w:val="Numeris"/>
                      <w:tag w:val="nr_4ec2649fd45e4f0db39a3dc69f7139ee"/>
                      <w:lock w:val="sdtLocked"/>
                      <w:richText/>
                    </w:sdtPr>
                    <w:sdtContent>
                      <w:r>
                        <w:rPr>
                          <w:szCs w:val="24"/>
                        </w:rPr>
                        <w:t>14</w:t>
                      </w:r>
                    </w:sdtContent>
                  </w:sdt>
                  <w:r>
                    <w:rPr>
                      <w:szCs w:val="24"/>
                    </w:rPr>
                    <w:t>. Prašymo laukelyje „Veiklos pobūdis“ turi būti nurodoma užsienio asmens vykdoma veikla.</w:t>
                  </w:r>
                </w:p>
              </w:sdtContent>
            </w:sdt>
            <w:sdt>
              <w:sdtPr>
                <w:alias w:val="15 p."/>
                <w:tag w:val="part_a0b22e48ae1f4e3d9522839315172136"/>
                <w:lock w:val="sdtLocked"/>
                <w:richText/>
              </w:sdtPr>
              <w:sdtContent>
                <w:p>
                  <w:pPr>
                    <w:suppressAutoHyphens/>
                    <w:ind w:firstLine="709"/>
                    <w:jc w:val="both"/>
                    <w:rPr>
                      <w:szCs w:val="24"/>
                    </w:rPr>
                  </w:pPr>
                  <w:sdt>
                    <w:sdtPr>
                      <w:alias w:val="Numeris"/>
                      <w:tag w:val="nr_a0b22e48ae1f4e3d9522839315172136"/>
                      <w:lock w:val="sdtLocked"/>
                      <w:richText/>
                    </w:sdtPr>
                    <w:sdtContent>
                      <w:r>
                        <w:rPr>
                          <w:szCs w:val="24"/>
                        </w:rPr>
                        <w:t>15</w:t>
                      </w:r>
                    </w:sdtContent>
                  </w:sdt>
                  <w:r>
                    <w:rPr>
                      <w:szCs w:val="24"/>
                    </w:rPr>
                    <w:t>. Prašymo laukelyje „PVM mokėtojo kodas įsikūrimo valstybėje“ įrašomas užsienio asmens PVM mokėtojo kodas toje užsienio valstybėje iš šiam asmeniui išduotos pažymos (sertifikato), patvirtinančios, kad užsienio asmuo savo valstybėje registruotas PVM ar jam tapataus mokesčio mokėtoju.</w:t>
                  </w:r>
                </w:p>
              </w:sdtContent>
            </w:sdt>
            <w:sdt>
              <w:sdtPr>
                <w:alias w:val="16 p."/>
                <w:tag w:val="part_7b1c103ccdf94b298ca1423cd24b448e"/>
                <w:lock w:val="sdtLocked"/>
                <w:richText/>
              </w:sdtPr>
              <w:sdtContent>
                <w:p>
                  <w:pPr>
                    <w:suppressAutoHyphens/>
                    <w:ind w:firstLine="709"/>
                    <w:jc w:val="both"/>
                    <w:rPr>
                      <w:szCs w:val="24"/>
                    </w:rPr>
                  </w:pPr>
                  <w:sdt>
                    <w:sdtPr>
                      <w:alias w:val="Numeris"/>
                      <w:tag w:val="nr_7b1c103ccdf94b298ca1423cd24b448e"/>
                      <w:lock w:val="sdtLocked"/>
                      <w:richText/>
                    </w:sdtPr>
                    <w:sdtContent>
                      <w:r>
                        <w:rPr>
                          <w:szCs w:val="24"/>
                        </w:rPr>
                        <w:t>16</w:t>
                      </w:r>
                    </w:sdtContent>
                  </w:sdt>
                  <w:r>
                    <w:rPr>
                      <w:szCs w:val="24"/>
                    </w:rPr>
                    <w:t>. Prašyme užsienio apmokestinamasis asmuo patvirtina, kad:</w:t>
                  </w:r>
                </w:p>
                <w:sdt>
                  <w:sdtPr>
                    <w:alias w:val="16.1 pp."/>
                    <w:tag w:val="part_015af98320ff45e88819d3d895239bef"/>
                    <w:lock w:val="sdtLocked"/>
                    <w:richText/>
                  </w:sdtPr>
                  <w:sdtContent>
                    <w:p>
                      <w:pPr>
                        <w:suppressAutoHyphens/>
                        <w:ind w:firstLine="709"/>
                        <w:jc w:val="both"/>
                        <w:rPr>
                          <w:szCs w:val="24"/>
                        </w:rPr>
                      </w:pPr>
                      <w:sdt>
                        <w:sdtPr>
                          <w:alias w:val="Numeris"/>
                          <w:tag w:val="nr_015af98320ff45e88819d3d895239bef"/>
                          <w:lock w:val="sdtLocked"/>
                          <w:richText/>
                        </w:sdtPr>
                        <w:sdtContent>
                          <w:r>
                            <w:rPr>
                              <w:szCs w:val="24"/>
                            </w:rPr>
                            <w:t>16.1</w:t>
                          </w:r>
                        </w:sdtContent>
                      </w:sdt>
                      <w:r>
                        <w:rPr>
                          <w:szCs w:val="24"/>
                        </w:rPr>
                        <w:t>. „neturėjo Lietuvos Respublikoje padalinio, per kurį vykdė ekonominę veiklą“ – pagal PVM įstatymo 117 straipsnį Prašymą gali pateikti tik toks užsienio asmuo, kuris neturėjo Lietuvos Respublikoje padalinio, per kurį vykdė ekonominę veiklą;</w:t>
                      </w:r>
                    </w:p>
                  </w:sdtContent>
                </w:sdt>
                <w:sdt>
                  <w:sdtPr>
                    <w:alias w:val="16.2 pp."/>
                    <w:tag w:val="part_9157057c3bbe4df6a847ed6772a83f70"/>
                    <w:lock w:val="sdtLocked"/>
                    <w:richText/>
                  </w:sdtPr>
                  <w:sdtContent>
                    <w:p>
                      <w:pPr>
                        <w:suppressAutoHyphens/>
                        <w:ind w:firstLine="709"/>
                        <w:jc w:val="both"/>
                        <w:rPr>
                          <w:szCs w:val="24"/>
                        </w:rPr>
                      </w:pPr>
                      <w:sdt>
                        <w:sdtPr>
                          <w:alias w:val="Numeris"/>
                          <w:tag w:val="nr_9157057c3bbe4df6a847ed6772a83f70"/>
                          <w:lock w:val="sdtLocked"/>
                          <w:richText/>
                        </w:sdtPr>
                        <w:sdtContent>
                          <w:r>
                            <w:rPr>
                              <w:szCs w:val="24"/>
                            </w:rPr>
                            <w:t>16.2</w:t>
                          </w:r>
                        </w:sdtContent>
                      </w:sdt>
                      <w:r>
                        <w:rPr>
                          <w:szCs w:val="24"/>
                        </w:rPr>
                        <w:t>. „nevykdė jokios veiklos, kuri pagal PVM įstatymą yra PVM objektas, išskyrus veiklą, nurodytą PVM įstatymo 117 straipsnio 2 dalyje“ – užsienio asmuo turi teisę pateikti Prašymą, jeigu jis tuo laikotarpiu, kurio sumokėtą PVM prašo grąžinti, nevykdė Lietuvos Respublikoje jokios veiklos, kuri pagal PVM įstatymą yra PVM objektas, arba teikė tik prekių vežimo ir papildomas vežimo paslaugas, kurios pagal PVM įstatymo 43, 45, 47, 52, 53 straipsnių nuostatas būtų apmokestinamos, taikant 0 procentų PVM tarifą. Užsienio asmuo taip pat gali teikti Prašymą, jei Lietuvos Respublikoje teikė tik tokias paslaugas ar tiekė tik tokias prekes, už kurias mokestį pagal PVM įstatymo 95 straipsnio 2–4 dalių nuostatas privalo apskaičiuoti ir sumokėti jų pirkėjas, arba vykdė veiklą, nurodytą PVM įstatymo XII skyriaus penktajame skirsnyje;</w:t>
                      </w:r>
                    </w:p>
                  </w:sdtContent>
                </w:sdt>
                <w:sdt>
                  <w:sdtPr>
                    <w:alias w:val="16.3 pp."/>
                    <w:tag w:val="part_3050c55ff78f40b8b04c355468311921"/>
                    <w:lock w:val="sdtLocked"/>
                    <w:richText/>
                  </w:sdtPr>
                  <w:sdtContent>
                    <w:p>
                      <w:pPr>
                        <w:suppressAutoHyphens/>
                        <w:ind w:firstLine="709"/>
                        <w:jc w:val="both"/>
                        <w:rPr>
                          <w:color w:val="000000"/>
                          <w:szCs w:val="24"/>
                        </w:rPr>
                      </w:pPr>
                      <w:sdt>
                        <w:sdtPr>
                          <w:alias w:val="Numeris"/>
                          <w:tag w:val="nr_3050c55ff78f40b8b04c355468311921"/>
                          <w:lock w:val="sdtLocked"/>
                          <w:richText/>
                        </w:sdtPr>
                        <w:sdtContent>
                          <w:r>
                            <w:rPr>
                              <w:color w:val="000000"/>
                              <w:szCs w:val="24"/>
                            </w:rPr>
                            <w:t>16.3</w:t>
                          </w:r>
                        </w:sdtContent>
                      </w:sdt>
                      <w:r>
                        <w:rPr>
                          <w:color w:val="000000"/>
                          <w:szCs w:val="24"/>
                        </w:rPr>
                        <w:t>. „jei tai fizinis asmuo – dar ir jo nuolatinė gyvenamoji vieta nebuvo Europos Sąjungoje“ – pagal PVM įstatymo 117 straipsnį Prašymą gali pateikti tik toks užsienio fizinis asmuo, kurio nuolatinė gyvenamoji vieta nebuvo ES.</w:t>
                      </w:r>
                    </w:p>
                  </w:sdtContent>
                </w:sdt>
              </w:sdtContent>
            </w:sdt>
            <w:sdt>
              <w:sdtPr>
                <w:alias w:val="17 p."/>
                <w:tag w:val="part_3410061199e949e788aa85b03171884f"/>
                <w:lock w:val="sdtLocked"/>
                <w:richText/>
              </w:sdtPr>
              <w:sdtContent>
                <w:p>
                  <w:pPr>
                    <w:suppressAutoHyphens/>
                    <w:ind w:firstLine="709"/>
                    <w:jc w:val="both"/>
                    <w:rPr>
                      <w:color w:val="000000"/>
                      <w:szCs w:val="24"/>
                      <w:lang w:eastAsia="en-GB"/>
                    </w:rPr>
                  </w:pPr>
                  <w:sdt>
                    <w:sdtPr>
                      <w:alias w:val="Numeris"/>
                      <w:tag w:val="nr_3410061199e949e788aa85b03171884f"/>
                      <w:lock w:val="sdtLocked"/>
                      <w:richText/>
                    </w:sdtPr>
                    <w:sdtContent>
                      <w:r>
                        <w:rPr>
                          <w:color w:val="000000"/>
                          <w:szCs w:val="24"/>
                          <w:lang w:eastAsia="en-GB"/>
                        </w:rPr>
                        <w:t>17</w:t>
                      </w:r>
                    </w:sdtContent>
                  </w:sdt>
                  <w:r>
                    <w:rPr>
                      <w:color w:val="000000"/>
                      <w:szCs w:val="24"/>
                      <w:lang w:eastAsia="en-GB"/>
                    </w:rPr>
                    <w:t xml:space="preserve">. Prašymo laukelyje „Atstovo informacija“ įrašomi užsienio asmeniui atstovaujančio asmens duomenys (asmens tipas, valstybė, asmens identifikacinis numeris (kodas), išduotas įsikūrimo </w:t>
                  </w:r>
                  <w:r>
                    <w:rPr>
                      <w:szCs w:val="24"/>
                      <w:lang w:eastAsia="en-GB"/>
                    </w:rPr>
                    <w:t xml:space="preserve">valstybės, ir pavadinimas, jeigu tai yra fizinis asmuo – vardas, pavardė). </w:t>
                  </w:r>
                  <w:r>
                    <w:rPr>
                      <w:szCs w:val="24"/>
                      <w:shd w:val="clear" w:color="auto" w:fill="FFFFFF"/>
                      <w:lang w:eastAsia="en-GB"/>
                    </w:rPr>
                    <w:t xml:space="preserve">Kartu su Prašymu turi būti pateikta pavedimo sutartis (įgaliojimas). Jeigu pavedimo sutartis (įgaliojimas) buvo sudaryta ne lietuvių ar anglų kalba, turi būti pateiktas šio dokumento vertimas į lietuvių kalbą. </w:t>
                  </w:r>
                  <w:r>
                    <w:rPr>
                      <w:szCs w:val="24"/>
                      <w:lang w:eastAsia="en-GB"/>
                    </w:rPr>
                    <w:t>Užsienio apmokestinamasis asmuo</w:t>
                  </w:r>
                  <w:r>
                    <w:rPr>
                      <w:szCs w:val="24"/>
                      <w:shd w:val="clear" w:color="auto" w:fill="FFFFFF"/>
                      <w:lang w:eastAsia="en-GB"/>
                    </w:rPr>
                    <w:t xml:space="preserve"> gali </w:t>
                  </w:r>
                  <w:r>
                    <w:rPr>
                      <w:color w:val="000000"/>
                      <w:szCs w:val="24"/>
                      <w:shd w:val="clear" w:color="auto" w:fill="FFFFFF"/>
                      <w:lang w:eastAsia="en-GB"/>
                    </w:rPr>
                    <w:t>įgalioti atlikti Taisyklėse nustatytus veiksmus tik vieną asmenį.</w:t>
                  </w:r>
                </w:p>
                <w:p>
                  <w:pPr>
                    <w:suppressAutoHyphens/>
                    <w:ind w:firstLine="709"/>
                    <w:jc w:val="both"/>
                    <w:rPr>
                      <w:color w:val="000000"/>
                      <w:szCs w:val="24"/>
                      <w:lang w:eastAsia="en-GB"/>
                    </w:rPr>
                  </w:pPr>
                  <w:r>
                    <w:rPr>
                      <w:color w:val="000000"/>
                      <w:szCs w:val="24"/>
                      <w:lang w:eastAsia="en-GB"/>
                    </w:rPr>
                    <w:t xml:space="preserve">Jei užsienio asmuo atstovo neturi, tai šiame laukelyje vietoje atstovo duomenų turi būti nurodomi paties užsienio asmens duomenys. </w:t>
                  </w:r>
                </w:p>
              </w:sdtContent>
            </w:sdt>
            <w:sdt>
              <w:sdtPr>
                <w:alias w:val="18 p."/>
                <w:tag w:val="part_8400404493a04c648611392c826c08ca"/>
                <w:lock w:val="sdtLocked"/>
                <w:richText/>
              </w:sdtPr>
              <w:sdtContent>
                <w:p>
                  <w:pPr>
                    <w:suppressAutoHyphens/>
                    <w:ind w:firstLine="709"/>
                    <w:jc w:val="both"/>
                    <w:rPr>
                      <w:color w:val="000000"/>
                      <w:szCs w:val="24"/>
                      <w:lang w:eastAsia="en-GB"/>
                    </w:rPr>
                  </w:pPr>
                  <w:sdt>
                    <w:sdtPr>
                      <w:alias w:val="Numeris"/>
                      <w:tag w:val="nr_8400404493a04c648611392c826c08ca"/>
                      <w:lock w:val="sdtLocked"/>
                      <w:richText/>
                    </w:sdtPr>
                    <w:sdtContent>
                      <w:r>
                        <w:rPr>
                          <w:color w:val="000000"/>
                          <w:szCs w:val="24"/>
                          <w:lang w:eastAsia="en-GB"/>
                        </w:rPr>
                        <w:t>18</w:t>
                      </w:r>
                    </w:sdtContent>
                  </w:sdt>
                  <w:r>
                    <w:rPr>
                      <w:color w:val="000000"/>
                      <w:szCs w:val="24"/>
                      <w:lang w:eastAsia="en-GB"/>
                    </w:rPr>
                    <w:t>. Duomenys apie prekes ir paslaugas, už kurias sumokėtą PVM yra prašoma grąžinti, yra pateikiami tokiu būdu:</w:t>
                  </w:r>
                </w:p>
                <w:sdt>
                  <w:sdtPr>
                    <w:alias w:val="18.1 pp."/>
                    <w:tag w:val="part_d28a62f1ea704d0c955b07b38ec50d65"/>
                    <w:lock w:val="sdtLocked"/>
                    <w:richText/>
                  </w:sdtPr>
                  <w:sdtContent>
                    <w:p>
                      <w:pPr>
                        <w:suppressAutoHyphens/>
                        <w:ind w:firstLine="709"/>
                        <w:jc w:val="both"/>
                        <w:rPr>
                          <w:color w:val="000000"/>
                          <w:szCs w:val="24"/>
                          <w:lang w:eastAsia="en-GB"/>
                        </w:rPr>
                      </w:pPr>
                      <w:sdt>
                        <w:sdtPr>
                          <w:alias w:val="Numeris"/>
                          <w:tag w:val="nr_d28a62f1ea704d0c955b07b38ec50d65"/>
                          <w:lock w:val="sdtLocked"/>
                          <w:richText/>
                        </w:sdtPr>
                        <w:sdtContent>
                          <w:r>
                            <w:rPr>
                              <w:color w:val="000000"/>
                              <w:szCs w:val="24"/>
                              <w:lang w:eastAsia="en-GB"/>
                            </w:rPr>
                            <w:t>18.1</w:t>
                          </w:r>
                        </w:sdtContent>
                      </w:sdt>
                      <w:r>
                        <w:rPr>
                          <w:color w:val="000000"/>
                          <w:szCs w:val="24"/>
                          <w:lang w:eastAsia="en-GB"/>
                        </w:rPr>
                        <w:t>. Prašymo laukelyje „Sumokėto PVM duomenys“ mygtuku „pridėti“ atidaromoje lentelėje „Sumokėto PVM duomenų įvedimas“ nurodoma, ar prašomas grąžinti PVM buvo sumokėtas už nusipirktas prekes ar paslaugas, ar už importuojamas prekes;</w:t>
                      </w:r>
                    </w:p>
                  </w:sdtContent>
                </w:sdt>
                <w:sdt>
                  <w:sdtPr>
                    <w:alias w:val="18.2 pp."/>
                    <w:tag w:val="part_e35ae2cc8388442982fc65ef9850935e"/>
                    <w:lock w:val="sdtLocked"/>
                    <w:richText/>
                  </w:sdtPr>
                  <w:sdtContent>
                    <w:p>
                      <w:pPr>
                        <w:suppressAutoHyphens/>
                        <w:ind w:firstLine="709"/>
                        <w:jc w:val="both"/>
                        <w:rPr>
                          <w:color w:val="000000"/>
                          <w:szCs w:val="24"/>
                          <w:lang w:eastAsia="en-GB"/>
                        </w:rPr>
                      </w:pPr>
                      <w:sdt>
                        <w:sdtPr>
                          <w:alias w:val="Numeris"/>
                          <w:tag w:val="nr_e35ae2cc8388442982fc65ef9850935e"/>
                          <w:lock w:val="sdtLocked"/>
                          <w:richText/>
                        </w:sdtPr>
                        <w:sdtContent>
                          <w:r>
                            <w:rPr>
                              <w:color w:val="000000"/>
                              <w:szCs w:val="24"/>
                              <w:lang w:eastAsia="en-GB"/>
                            </w:rPr>
                            <w:t>18.2</w:t>
                          </w:r>
                        </w:sdtContent>
                      </w:sdt>
                      <w:r>
                        <w:rPr>
                          <w:color w:val="000000"/>
                          <w:szCs w:val="24"/>
                          <w:lang w:eastAsia="en-GB"/>
                        </w:rPr>
                        <w:t>. dokumento (PVM sąskaitos faktūros, įskaitant patikslinančią PVM sąskaitą faktūrą, importo deklaracijos), pagal kurį prašoma grąžinti sumokėtą PVM, data bei serija ir (ar) numeris;</w:t>
                      </w:r>
                    </w:p>
                  </w:sdtContent>
                </w:sdt>
                <w:sdt>
                  <w:sdtPr>
                    <w:alias w:val="18.3 pp."/>
                    <w:tag w:val="part_3bec788c0b7e4eacbec026a7f346400a"/>
                    <w:lock w:val="sdtLocked"/>
                    <w:richText/>
                  </w:sdtPr>
                  <w:sdtContent>
                    <w:p>
                      <w:pPr>
                        <w:suppressAutoHyphens/>
                        <w:ind w:firstLine="709"/>
                        <w:jc w:val="both"/>
                        <w:rPr>
                          <w:color w:val="000000"/>
                          <w:szCs w:val="24"/>
                          <w:lang w:eastAsia="en-GB"/>
                        </w:rPr>
                      </w:pPr>
                      <w:sdt>
                        <w:sdtPr>
                          <w:alias w:val="Numeris"/>
                          <w:tag w:val="nr_3bec788c0b7e4eacbec026a7f346400a"/>
                          <w:lock w:val="sdtLocked"/>
                          <w:richText/>
                        </w:sdtPr>
                        <w:sdtContent>
                          <w:r>
                            <w:rPr>
                              <w:color w:val="000000"/>
                              <w:szCs w:val="24"/>
                              <w:lang w:eastAsia="en-GB"/>
                            </w:rPr>
                            <w:t>18.3</w:t>
                          </w:r>
                        </w:sdtContent>
                      </w:sdt>
                      <w:r>
                        <w:rPr>
                          <w:color w:val="000000"/>
                          <w:szCs w:val="24"/>
                          <w:lang w:eastAsia="en-GB"/>
                        </w:rPr>
                        <w:t>. pardavėjo PVM mokėtojo kodas bei adresas, o jei prekės buvo importuotos, tai vietoje PVM mokėtojo kodo nurodomas pardavėjo pavadinimas arba vardas, pavardė bei adresas;</w:t>
                      </w:r>
                    </w:p>
                  </w:sdtContent>
                </w:sdt>
                <w:sdt>
                  <w:sdtPr>
                    <w:alias w:val="18.4 pp."/>
                    <w:tag w:val="part_9a9d865b5b3b4242aa770102422d83c2"/>
                    <w:lock w:val="sdtLocked"/>
                    <w:richText/>
                  </w:sdtPr>
                  <w:sdtContent>
                    <w:p>
                      <w:pPr>
                        <w:suppressAutoHyphens/>
                        <w:ind w:firstLine="709"/>
                        <w:jc w:val="both"/>
                        <w:rPr>
                          <w:color w:val="000000"/>
                          <w:szCs w:val="24"/>
                          <w:lang w:eastAsia="en-GB"/>
                        </w:rPr>
                      </w:pPr>
                      <w:sdt>
                        <w:sdtPr>
                          <w:alias w:val="Numeris"/>
                          <w:tag w:val="nr_9a9d865b5b3b4242aa770102422d83c2"/>
                          <w:lock w:val="sdtLocked"/>
                          <w:richText/>
                        </w:sdtPr>
                        <w:sdtContent>
                          <w:r>
                            <w:rPr>
                              <w:color w:val="000000"/>
                              <w:szCs w:val="24"/>
                              <w:lang w:eastAsia="en-GB"/>
                            </w:rPr>
                            <w:t>18.4</w:t>
                          </w:r>
                        </w:sdtContent>
                      </w:sdt>
                      <w:r>
                        <w:rPr>
                          <w:color w:val="000000"/>
                          <w:szCs w:val="24"/>
                          <w:lang w:eastAsia="en-GB"/>
                        </w:rPr>
                        <w:t>. įsigytos prekės ar paslaugos vertė be PVM;</w:t>
                      </w:r>
                    </w:p>
                  </w:sdtContent>
                </w:sdt>
                <w:sdt>
                  <w:sdtPr>
                    <w:alias w:val="18.5 pp."/>
                    <w:tag w:val="part_1e41e0eab7364e54a91225856a02c560"/>
                    <w:lock w:val="sdtLocked"/>
                    <w:richText/>
                  </w:sdtPr>
                  <w:sdtContent>
                    <w:p>
                      <w:pPr>
                        <w:suppressAutoHyphens/>
                        <w:ind w:firstLine="709"/>
                        <w:jc w:val="both"/>
                        <w:rPr>
                          <w:rFonts w:ascii="Helvetica Neue" w:hAnsi="Helvetica Neue"/>
                          <w:strike/>
                          <w:color w:val="454545"/>
                          <w:sz w:val="18"/>
                          <w:szCs w:val="24"/>
                          <w:lang w:eastAsia="en-GB"/>
                        </w:rPr>
                      </w:pPr>
                      <w:sdt>
                        <w:sdtPr>
                          <w:alias w:val="Numeris"/>
                          <w:tag w:val="nr_1e41e0eab7364e54a91225856a02c560"/>
                          <w:lock w:val="sdtLocked"/>
                          <w:richText/>
                        </w:sdtPr>
                        <w:sdtContent>
                          <w:r>
                            <w:rPr>
                              <w:color w:val="000000"/>
                              <w:szCs w:val="24"/>
                              <w:lang w:eastAsia="en-GB"/>
                            </w:rPr>
                            <w:t>18.5</w:t>
                          </w:r>
                        </w:sdtContent>
                      </w:sdt>
                      <w:r>
                        <w:rPr>
                          <w:color w:val="000000"/>
                          <w:szCs w:val="24"/>
                          <w:lang w:eastAsia="en-GB"/>
                        </w:rPr>
                        <w:t>. įsigijimo dokumente apskaičiuota PVM suma.</w:t>
                      </w:r>
                    </w:p>
                  </w:sdtContent>
                </w:sdt>
              </w:sdtContent>
            </w:sdt>
            <w:sdt>
              <w:sdtPr>
                <w:alias w:val="19 p."/>
                <w:tag w:val="part_3fbab56ba88d4898a9f4a85510f10589"/>
                <w:lock w:val="sdtLocked"/>
                <w:richText/>
              </w:sdtPr>
              <w:sdtContent>
                <w:p>
                  <w:pPr>
                    <w:suppressAutoHyphens/>
                    <w:ind w:firstLine="709"/>
                    <w:jc w:val="both"/>
                    <w:rPr>
                      <w:szCs w:val="24"/>
                    </w:rPr>
                  </w:pPr>
                  <w:sdt>
                    <w:sdtPr>
                      <w:alias w:val="Numeris"/>
                      <w:tag w:val="nr_3fbab56ba88d4898a9f4a85510f10589"/>
                      <w:lock w:val="sdtLocked"/>
                      <w:richText/>
                    </w:sdtPr>
                    <w:sdtContent>
                      <w:r>
                        <w:rPr>
                          <w:szCs w:val="24"/>
                        </w:rPr>
                        <w:t>19</w:t>
                      </w:r>
                    </w:sdtContent>
                  </w:sdt>
                  <w:r>
                    <w:rPr>
                      <w:szCs w:val="24"/>
                    </w:rPr>
                    <w:t xml:space="preserve">. Prašymo laukelyje </w:t>
                  </w:r>
                  <w:r>
                    <w:rPr>
                      <w:color w:val="000000"/>
                      <w:szCs w:val="24"/>
                    </w:rPr>
                    <w:t>„</w:t>
                  </w:r>
                  <w:r>
                    <w:rPr>
                      <w:szCs w:val="24"/>
                    </w:rPr>
                    <w:t xml:space="preserve">Kokiai veiklai vykdyti buvo įsigytos prekės ar paslaugos“ užsienio asmuo turi nurodyti veiklą, kuriai vykdyti buvo įsigytos prekės ar paslaugos. </w:t>
                  </w:r>
                </w:p>
              </w:sdtContent>
            </w:sdt>
            <w:sdt>
              <w:sdtPr>
                <w:alias w:val="20 p."/>
                <w:tag w:val="part_88d5a2fd6a35485ba0668600c418b8ac"/>
                <w:lock w:val="sdtLocked"/>
                <w:richText/>
              </w:sdtPr>
              <w:sdtContent>
                <w:p>
                  <w:pPr>
                    <w:suppressAutoHyphens/>
                    <w:ind w:firstLine="709"/>
                    <w:jc w:val="both"/>
                    <w:rPr>
                      <w:strike/>
                      <w:szCs w:val="24"/>
                    </w:rPr>
                  </w:pPr>
                  <w:sdt>
                    <w:sdtPr>
                      <w:alias w:val="Numeris"/>
                      <w:tag w:val="nr_88d5a2fd6a35485ba0668600c418b8ac"/>
                      <w:lock w:val="sdtLocked"/>
                      <w:richText/>
                    </w:sdtPr>
                    <w:sdtContent>
                      <w:r>
                        <w:rPr>
                          <w:szCs w:val="24"/>
                        </w:rPr>
                        <w:t>20</w:t>
                      </w:r>
                    </w:sdtContent>
                  </w:sdt>
                  <w:r>
                    <w:rPr>
                      <w:szCs w:val="24"/>
                    </w:rPr>
                    <w:t xml:space="preserve">. Prašymo laukelyje </w:t>
                  </w:r>
                  <w:r>
                    <w:rPr>
                      <w:color w:val="000000"/>
                      <w:szCs w:val="24"/>
                    </w:rPr>
                    <w:t>„</w:t>
                  </w:r>
                  <w:r>
                    <w:rPr>
                      <w:szCs w:val="24"/>
                    </w:rPr>
                    <w:t>Mokesčio grąžinimas“ nurodoma:</w:t>
                  </w:r>
                </w:p>
                <w:sdt>
                  <w:sdtPr>
                    <w:alias w:val="20.1 pp."/>
                    <w:tag w:val="part_7976807a3c624ee4b760926989f321e6"/>
                    <w:lock w:val="sdtLocked"/>
                    <w:richText/>
                  </w:sdtPr>
                  <w:sdtContent>
                    <w:p>
                      <w:pPr>
                        <w:suppressAutoHyphens/>
                        <w:ind w:firstLine="709"/>
                        <w:jc w:val="both"/>
                        <w:rPr>
                          <w:strike/>
                          <w:szCs w:val="24"/>
                        </w:rPr>
                      </w:pPr>
                      <w:sdt>
                        <w:sdtPr>
                          <w:alias w:val="Numeris"/>
                          <w:tag w:val="nr_7976807a3c624ee4b760926989f321e6"/>
                          <w:lock w:val="sdtLocked"/>
                          <w:richText/>
                        </w:sdtPr>
                        <w:sdtContent>
                          <w:r>
                            <w:rPr>
                              <w:szCs w:val="24"/>
                            </w:rPr>
                            <w:t>20.1</w:t>
                          </w:r>
                        </w:sdtContent>
                      </w:sdt>
                      <w:r>
                        <w:rPr>
                          <w:szCs w:val="24"/>
                        </w:rPr>
                        <w:t xml:space="preserve">. gavėjo, t. y. asmens, kuriam priklauso </w:t>
                      </w:r>
                      <w:r>
                        <w:rPr>
                          <w:bCs/>
                          <w:szCs w:val="24"/>
                          <w:lang w:eastAsia="lt-LT"/>
                        </w:rPr>
                        <w:t>kredito, mokėjimo ar elektroninių pinigų įstaigos</w:t>
                      </w:r>
                      <w:r>
                        <w:rPr>
                          <w:szCs w:val="24"/>
                        </w:rPr>
                        <w:t xml:space="preserve"> sąskaita, į kurią bus pervedama grąžintina PVM suma, pavadinimas arba vardas pavardė bei identifikacinis kodas, išduotas gavėjo įsikūrimo valstybės;</w:t>
                      </w:r>
                    </w:p>
                  </w:sdtContent>
                </w:sdt>
                <w:sdt>
                  <w:sdtPr>
                    <w:alias w:val="20.2 pp."/>
                    <w:tag w:val="part_7c4cfc4844d242c09049f0037df1a86f"/>
                    <w:lock w:val="sdtLocked"/>
                    <w:richText/>
                  </w:sdtPr>
                  <w:sdtContent>
                    <w:p>
                      <w:pPr>
                        <w:suppressAutoHyphens/>
                        <w:ind w:firstLine="709"/>
                        <w:jc w:val="both"/>
                        <w:rPr>
                          <w:szCs w:val="24"/>
                        </w:rPr>
                      </w:pPr>
                      <w:sdt>
                        <w:sdtPr>
                          <w:alias w:val="Numeris"/>
                          <w:tag w:val="nr_7c4cfc4844d242c09049f0037df1a86f"/>
                          <w:lock w:val="sdtLocked"/>
                          <w:richText/>
                        </w:sdtPr>
                        <w:sdtContent>
                          <w:r>
                            <w:rPr>
                              <w:szCs w:val="24"/>
                            </w:rPr>
                            <w:t>20.2</w:t>
                          </w:r>
                        </w:sdtContent>
                      </w:sdt>
                      <w:r>
                        <w:rPr>
                          <w:szCs w:val="24"/>
                        </w:rPr>
                        <w:t xml:space="preserve">. gavėjo įsikūrimo valstybės adresas, pašto indeksas, valstybė; </w:t>
                      </w:r>
                    </w:p>
                  </w:sdtContent>
                </w:sdt>
                <w:sdt>
                  <w:sdtPr>
                    <w:alias w:val="20.3 pp."/>
                    <w:tag w:val="part_03e4a9043a3648e98c2047f20cb59821"/>
                    <w:lock w:val="sdtLocked"/>
                    <w:richText/>
                  </w:sdtPr>
                  <w:sdtContent>
                    <w:p>
                      <w:pPr>
                        <w:suppressAutoHyphens/>
                        <w:ind w:firstLine="709"/>
                        <w:jc w:val="both"/>
                        <w:rPr>
                          <w:bCs/>
                          <w:szCs w:val="24"/>
                          <w:lang w:eastAsia="lt-LT"/>
                        </w:rPr>
                      </w:pPr>
                      <w:sdt>
                        <w:sdtPr>
                          <w:alias w:val="Numeris"/>
                          <w:tag w:val="nr_03e4a9043a3648e98c2047f20cb59821"/>
                          <w:lock w:val="sdtLocked"/>
                          <w:richText/>
                        </w:sdtPr>
                        <w:sdtContent>
                          <w:r>
                            <w:rPr>
                              <w:szCs w:val="24"/>
                            </w:rPr>
                            <w:t>20.3</w:t>
                          </w:r>
                        </w:sdtContent>
                      </w:sdt>
                      <w:r>
                        <w:rPr>
                          <w:szCs w:val="24"/>
                        </w:rPr>
                        <w:t xml:space="preserve">. </w:t>
                      </w:r>
                      <w:r>
                        <w:rPr>
                          <w:bCs/>
                          <w:szCs w:val="24"/>
                          <w:lang w:eastAsia="lt-LT"/>
                        </w:rPr>
                        <w:t>kredito, mokėjimo ar elektroninių pinigų įstaigos, į kurią bus pervedama grąžintina PVM suma, numeris IBAN arba OBAN formatu ir valiutos kodas;</w:t>
                      </w:r>
                    </w:p>
                  </w:sdtContent>
                </w:sdt>
                <w:sdt>
                  <w:sdtPr>
                    <w:alias w:val="20.4 pp."/>
                    <w:tag w:val="part_9d5288920ba346e6ab3d399b1e724b55"/>
                    <w:lock w:val="sdtLocked"/>
                    <w:richText/>
                  </w:sdtPr>
                  <w:sdtContent>
                    <w:p>
                      <w:pPr>
                        <w:suppressAutoHyphens/>
                        <w:ind w:firstLine="709"/>
                        <w:jc w:val="both"/>
                        <w:rPr>
                          <w:bCs/>
                          <w:szCs w:val="24"/>
                          <w:lang w:eastAsia="lt-LT"/>
                        </w:rPr>
                      </w:pPr>
                      <w:sdt>
                        <w:sdtPr>
                          <w:alias w:val="Numeris"/>
                          <w:tag w:val="nr_9d5288920ba346e6ab3d399b1e724b55"/>
                          <w:lock w:val="sdtLocked"/>
                          <w:richText/>
                        </w:sdtPr>
                        <w:sdtContent>
                          <w:r>
                            <w:rPr>
                              <w:bCs/>
                              <w:szCs w:val="24"/>
                              <w:lang w:eastAsia="lt-LT"/>
                            </w:rPr>
                            <w:t>20.4</w:t>
                          </w:r>
                        </w:sdtContent>
                      </w:sdt>
                      <w:r>
                        <w:rPr>
                          <w:bCs/>
                          <w:szCs w:val="24"/>
                          <w:lang w:eastAsia="lt-LT"/>
                        </w:rPr>
                        <w:t xml:space="preserve">. kredito, mokėjimo ar elektroninių pinigų įstaigos SWIFT ar BIC kodas, įstaigos pavadinimas ir adresas. Ši informacija gali būti nenurodoma, jei nurodyta įstaigos sąskaita yra atidaryta įstaigoje, esančioje Lietuvoje. </w:t>
                      </w:r>
                    </w:p>
                  </w:sdtContent>
                </w:sdt>
              </w:sdtContent>
            </w:sdt>
            <w:sdt>
              <w:sdtPr>
                <w:alias w:val="21 p."/>
                <w:tag w:val="part_4b89e7a3fa2f4fdfb49ce170f12cca99"/>
                <w:lock w:val="sdtLocked"/>
                <w:richText/>
              </w:sdtPr>
              <w:sdtContent>
                <w:p>
                  <w:pPr>
                    <w:suppressAutoHyphens/>
                    <w:ind w:firstLine="709"/>
                    <w:jc w:val="both"/>
                    <w:rPr>
                      <w:color w:val="000000"/>
                      <w:szCs w:val="24"/>
                      <w:lang w:eastAsia="en-GB"/>
                    </w:rPr>
                  </w:pPr>
                  <w:sdt>
                    <w:sdtPr>
                      <w:alias w:val="Numeris"/>
                      <w:tag w:val="nr_4b89e7a3fa2f4fdfb49ce170f12cca99"/>
                      <w:lock w:val="sdtLocked"/>
                      <w:richText/>
                    </w:sdtPr>
                    <w:sdtContent>
                      <w:r>
                        <w:rPr>
                          <w:bCs/>
                          <w:szCs w:val="24"/>
                          <w:lang w:eastAsia="lt-LT"/>
                        </w:rPr>
                        <w:t>21</w:t>
                      </w:r>
                    </w:sdtContent>
                  </w:sdt>
                  <w:r>
                    <w:rPr>
                      <w:bCs/>
                      <w:szCs w:val="24"/>
                      <w:lang w:eastAsia="lt-LT"/>
                    </w:rPr>
                    <w:t xml:space="preserve">. Prašymo skiltyje </w:t>
                  </w:r>
                  <w:r>
                    <w:rPr>
                      <w:color w:val="000000"/>
                      <w:szCs w:val="24"/>
                    </w:rPr>
                    <w:t>„</w:t>
                  </w:r>
                  <w:r>
                    <w:rPr>
                      <w:bCs/>
                      <w:szCs w:val="24"/>
                      <w:lang w:eastAsia="lt-LT"/>
                    </w:rPr>
                    <w:t>Pridedami dokumentai“ pasirenkamas vienas iš veiksmų:</w:t>
                  </w:r>
                </w:p>
                <w:sdt>
                  <w:sdtPr>
                    <w:alias w:val="21.1 pp."/>
                    <w:tag w:val="part_fb243cfb6e4a457391b32246bfaa46d4"/>
                    <w:lock w:val="sdtLocked"/>
                    <w:richText/>
                  </w:sdtPr>
                  <w:sdtContent>
                    <w:p>
                      <w:pPr>
                        <w:suppressAutoHyphens/>
                        <w:ind w:firstLine="709"/>
                        <w:jc w:val="both"/>
                        <w:rPr>
                          <w:color w:val="000000"/>
                          <w:szCs w:val="24"/>
                          <w:lang w:eastAsia="en-GB"/>
                        </w:rPr>
                      </w:pPr>
                      <w:sdt>
                        <w:sdtPr>
                          <w:alias w:val="Numeris"/>
                          <w:tag w:val="nr_fb243cfb6e4a457391b32246bfaa46d4"/>
                          <w:lock w:val="sdtLocked"/>
                          <w:richText/>
                        </w:sdtPr>
                        <w:sdtContent>
                          <w:r>
                            <w:rPr>
                              <w:color w:val="000000"/>
                              <w:szCs w:val="24"/>
                              <w:lang w:eastAsia="en-GB"/>
                            </w:rPr>
                            <w:t>21.1</w:t>
                          </w:r>
                        </w:sdtContent>
                      </w:sdt>
                      <w:r>
                        <w:rPr>
                          <w:color w:val="000000"/>
                          <w:szCs w:val="24"/>
                          <w:lang w:eastAsia="en-GB"/>
                        </w:rPr>
                        <w:t xml:space="preserve">. įkelti naują dokumentą; </w:t>
                      </w:r>
                    </w:p>
                  </w:sdtContent>
                </w:sdt>
                <w:sdt>
                  <w:sdtPr>
                    <w:alias w:val="21.2 pp."/>
                    <w:tag w:val="part_79de97ad5550463caa6eb892faf73413"/>
                    <w:lock w:val="sdtLocked"/>
                    <w:richText/>
                  </w:sdtPr>
                  <w:sdtContent>
                    <w:p>
                      <w:pPr>
                        <w:suppressAutoHyphens/>
                        <w:ind w:firstLine="709"/>
                        <w:jc w:val="both"/>
                        <w:rPr>
                          <w:color w:val="000000"/>
                          <w:szCs w:val="24"/>
                          <w:lang w:eastAsia="en-GB"/>
                        </w:rPr>
                      </w:pPr>
                      <w:sdt>
                        <w:sdtPr>
                          <w:alias w:val="Numeris"/>
                          <w:tag w:val="nr_79de97ad5550463caa6eb892faf73413"/>
                          <w:lock w:val="sdtLocked"/>
                          <w:richText/>
                        </w:sdtPr>
                        <w:sdtContent>
                          <w:r>
                            <w:rPr>
                              <w:color w:val="000000"/>
                              <w:szCs w:val="24"/>
                              <w:lang w:eastAsia="en-GB"/>
                            </w:rPr>
                            <w:t>21.2</w:t>
                          </w:r>
                        </w:sdtContent>
                      </w:sdt>
                      <w:r>
                        <w:rPr>
                          <w:color w:val="000000"/>
                          <w:szCs w:val="24"/>
                          <w:lang w:eastAsia="en-GB"/>
                        </w:rPr>
                        <w:t>. įkelti anksčiau įkeltą dokumentą.</w:t>
                      </w:r>
                    </w:p>
                    <w:p>
                      <w:pPr>
                        <w:suppressAutoHyphens/>
                        <w:ind w:firstLine="709"/>
                        <w:jc w:val="both"/>
                        <w:rPr>
                          <w:color w:val="000000"/>
                          <w:szCs w:val="24"/>
                          <w:lang w:eastAsia="en-GB"/>
                        </w:rPr>
                      </w:pPr>
                      <w:r>
                        <w:rPr>
                          <w:color w:val="000000"/>
                          <w:szCs w:val="24"/>
                          <w:lang w:eastAsia="en-GB"/>
                        </w:rPr>
                        <w:t>Jeigu pasirenkamas naujas papildomas dokumentas, tai nurodomas dokumento tipas, pavadinimas, komentarai ir pridedama dokumento kopija.</w:t>
                      </w:r>
                    </w:p>
                  </w:sdtContent>
                </w:sdt>
              </w:sdtContent>
            </w:sdt>
            <w:sdt>
              <w:sdtPr>
                <w:alias w:val="22 p."/>
                <w:tag w:val="part_c2655f6fa0614b8dad2896f0bfac99e1"/>
                <w:lock w:val="sdtLocked"/>
                <w:richText/>
              </w:sdtPr>
              <w:sdtContent>
                <w:p>
                  <w:pPr>
                    <w:suppressAutoHyphens/>
                    <w:ind w:firstLine="709"/>
                    <w:jc w:val="both"/>
                    <w:rPr>
                      <w:szCs w:val="24"/>
                    </w:rPr>
                  </w:pPr>
                  <w:sdt>
                    <w:sdtPr>
                      <w:alias w:val="Numeris"/>
                      <w:tag w:val="nr_c2655f6fa0614b8dad2896f0bfac99e1"/>
                      <w:lock w:val="sdtLocked"/>
                      <w:richText/>
                    </w:sdtPr>
                    <w:sdtContent>
                      <w:r>
                        <w:rPr>
                          <w:szCs w:val="24"/>
                        </w:rPr>
                        <w:t>22</w:t>
                      </w:r>
                    </w:sdtContent>
                  </w:sdt>
                  <w:r>
                    <w:rPr>
                      <w:szCs w:val="24"/>
                    </w:rPr>
                    <w:t>. Prašymo laukelyje „Dokumento patvirtinimas“ nurodoma: prašymą turi patvirtinti Mano VMI vartotojas, kuriam suteikiama teisė patvirtinti savo ar atstovaujamojo asmens (mokesčių mokėtojo) dokumentus.</w:t>
                  </w:r>
                </w:p>
                <w:p>
                  <w:pPr>
                    <w:suppressAutoHyphens/>
                    <w:ind w:firstLine="709"/>
                    <w:jc w:val="both"/>
                    <w:rPr>
                      <w:szCs w:val="24"/>
                    </w:rPr>
                  </w:pPr>
                </w:p>
              </w:sdtContent>
            </w:sdt>
          </w:sdtContent>
        </w:sdt>
        <w:sdt>
          <w:sdtPr>
            <w:alias w:val="pabaiga"/>
            <w:tag w:val="part_8c42828936a14d1b983bbac858811c73"/>
            <w:lock w:val="sdtLocked"/>
            <w:richText/>
          </w:sdtPr>
          <w:sdtContent>
            <w:p>
              <w:pPr>
                <w:suppressAutoHyphens/>
                <w:jc w:val="center"/>
              </w:pPr>
              <w:r>
                <w:rPr>
                  <w:szCs w:val="24"/>
                </w:rPr>
                <w:t>______________</w:t>
              </w:r>
            </w:p>
          </w:sdtContent>
        </w:sdt>
      </w:sdtContent>
    </w:sdt>
    <w:sdt>
      <w:sdtPr>
        <w:alias w:val="patvirtinta"/>
        <w:tag w:val="part_5e46b00e8c6d467eb768d16436c9af8a"/>
        <w:lock w:val="sdtLocked"/>
        <w:richText/>
      </w:sdtPr>
      <w:sdtContent>
        <w:p>
          <w:pPr>
            <w:suppressAutoHyphens/>
            <w:ind w:left="4950"/>
            <w:sectPr>
              <w:pgSz w:w="11906" w:h="16838"/>
              <w:pgMar w:top="1134" w:right="567" w:bottom="1134" w:left="1701" w:header="567" w:footer="567" w:gutter="0"/>
              <w:pgNumType w:start="1"/>
              <w:cols w:space="1296"/>
              <w:formProt w:val="0"/>
              <w:titlePg/>
              <w:docGrid w:linePitch="360"/>
            </w:sectPr>
          </w:pPr>
        </w:p>
        <w:p>
          <w:pPr>
            <w:suppressAutoHyphens/>
            <w:ind w:left="4950"/>
            <w:rPr>
              <w:szCs w:val="24"/>
            </w:rPr>
          </w:pPr>
          <w:r>
            <w:rPr>
              <w:szCs w:val="24"/>
            </w:rPr>
            <w:t>PATVIRTINTA</w:t>
          </w:r>
        </w:p>
        <w:p>
          <w:pPr>
            <w:suppressAutoHyphens/>
            <w:ind w:left="4950"/>
            <w:rPr>
              <w:szCs w:val="24"/>
            </w:rPr>
          </w:pPr>
          <w:r>
            <w:rPr>
              <w:szCs w:val="24"/>
            </w:rPr>
            <w:t xml:space="preserve">Valstybinės mokesčių inspekcijos prie Lietuvos Respublikos finansų ministerijos viršininko 2002 m. lapkričio 25 d. sakymu Nr. 339 (Valstybinės mokesčių inspekcijos prie Lietuvos Respublikos finansų ministerijos viršininko </w:t>
          </w:r>
        </w:p>
        <w:p>
          <w:pPr>
            <w:suppressAutoHyphens/>
            <w:ind w:left="4950"/>
            <w:rPr>
              <w:szCs w:val="24"/>
            </w:rPr>
          </w:pPr>
          <w:r>
            <w:rPr>
              <w:szCs w:val="24"/>
            </w:rPr>
            <w:t xml:space="preserve">2023 m. gruodžio 20 d. įsakymo Nr.  </w:t>
          </w:r>
          <w:r>
            <w:t>VA-97</w:t>
          </w:r>
          <w:r>
            <w:rPr>
              <w:szCs w:val="24"/>
            </w:rPr>
            <w:t xml:space="preserve"> </w:t>
          </w:r>
        </w:p>
        <w:p>
          <w:pPr>
            <w:suppressAutoHyphens/>
            <w:ind w:left="4950"/>
            <w:rPr>
              <w:szCs w:val="24"/>
            </w:rPr>
          </w:pPr>
          <w:r>
            <w:rPr>
              <w:szCs w:val="24"/>
            </w:rPr>
            <w:t>redakcija)</w:t>
          </w:r>
          <w:r>
            <w:t xml:space="preserve"> </w:t>
          </w:r>
        </w:p>
        <w:p>
          <w:pPr>
            <w:suppressAutoHyphens/>
            <w:ind w:left="4820"/>
            <w:rPr>
              <w:szCs w:val="24"/>
            </w:rPr>
          </w:pPr>
        </w:p>
        <w:p>
          <w:pPr>
            <w:suppressAutoHyphens/>
            <w:ind w:left="4820"/>
            <w:rPr>
              <w:color w:val="000000"/>
              <w:szCs w:val="24"/>
            </w:rPr>
          </w:pPr>
        </w:p>
        <w:p>
          <w:pPr>
            <w:suppressAutoHyphens/>
            <w:jc w:val="center"/>
            <w:rPr>
              <w:b/>
              <w:color w:val="000000"/>
              <w:szCs w:val="24"/>
            </w:rPr>
          </w:pPr>
          <w:sdt>
            <w:sdtPr>
              <w:alias w:val="Pavadinimas"/>
              <w:tag w:val="title_5e46b00e8c6d467eb768d16436c9af8a"/>
              <w:lock w:val="sdtLocked"/>
              <w:richText/>
            </w:sdtPr>
            <w:sdtContent>
              <w:r>
                <w:rPr>
                  <w:b/>
                  <w:color w:val="000000"/>
                  <w:szCs w:val="24"/>
                </w:rPr>
                <w:t xml:space="preserve">(Sprendimo </w:t>
              </w:r>
              <w:r>
                <w:rPr>
                  <w:b/>
                  <w:szCs w:val="24"/>
                </w:rPr>
                <w:t xml:space="preserve">grąžinti pridėtinės vertės mokestį už Europos Sąjungos teritorijos ribų įsikūrusiam apmokestinamajam asmeniui pavyzdinė FR0446 </w:t>
              </w:r>
              <w:r>
                <w:rPr>
                  <w:b/>
                  <w:color w:val="000000"/>
                  <w:szCs w:val="24"/>
                </w:rPr>
                <w:t>forma)</w:t>
              </w:r>
            </w:sdtContent>
          </w:sdt>
        </w:p>
        <w:p>
          <w:pPr>
            <w:suppressAutoHyphens/>
            <w:jc w:val="center"/>
            <w:rPr>
              <w:color w:val="000000"/>
              <w:szCs w:val="24"/>
            </w:rPr>
          </w:pPr>
        </w:p>
        <w:p>
          <w:pPr>
            <w:suppressAutoHyphens/>
            <w:jc w:val="center"/>
            <w:rPr>
              <w:b/>
              <w:color w:val="000000"/>
              <w:szCs w:val="24"/>
            </w:rPr>
          </w:pPr>
          <w:r>
            <w:rPr>
              <w:lang w:eastAsia="lt-LT"/>
            </w:rPr>
            <w:drawing>
              <wp:inline distT="0" distB="0" distL="0" distR="0">
                <wp:extent cx="541020" cy="5334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2"/>
                        <pic:cNvPicPr>
                          <a:picLocks noChangeAspect="1" noChangeArrowheads="1"/>
                        </pic:cNvPicPr>
                      </pic:nvPicPr>
                      <pic:blipFill>
                        <a:blip r:embed="rId21"/>
                        <a:stretch>
                          <a:fillRect/>
                        </a:stretch>
                      </pic:blipFill>
                      <pic:spPr bwMode="auto">
                        <a:xfrm>
                          <a:off x="0" y="0"/>
                          <a:ext cx="541020" cy="533400"/>
                        </a:xfrm>
                        <a:prstGeom prst="rect">
                          <a:avLst/>
                        </a:prstGeom>
                      </pic:spPr>
                    </pic:pic>
                  </a:graphicData>
                </a:graphic>
              </wp:inline>
            </w:drawing>
          </w:r>
        </w:p>
        <w:p>
          <w:pPr>
            <w:suppressAutoHyphens/>
            <w:rPr>
              <w:color w:val="000000"/>
              <w:szCs w:val="24"/>
            </w:rPr>
          </w:pPr>
        </w:p>
        <w:p>
          <w:pPr>
            <w:suppressAutoHyphens/>
            <w:jc w:val="center"/>
            <w:rPr>
              <w:b/>
              <w:color w:val="000000"/>
              <w:szCs w:val="24"/>
            </w:rPr>
          </w:pPr>
          <w:r>
            <w:rPr>
              <w:b/>
              <w:color w:val="000000"/>
              <w:szCs w:val="24"/>
            </w:rPr>
            <w:t>VILNIAUS APSKRITIES VALSTYBINĖS MOKESČIŲ INSPEKCIJOS VIRŠININKAS</w:t>
          </w:r>
        </w:p>
        <w:p>
          <w:pPr>
            <w:suppressAutoHyphens/>
            <w:jc w:val="center"/>
            <w:rPr>
              <w:color w:val="000000"/>
              <w:szCs w:val="24"/>
            </w:rPr>
          </w:pPr>
        </w:p>
        <w:p>
          <w:pPr>
            <w:suppressAutoHyphens/>
            <w:jc w:val="center"/>
            <w:rPr>
              <w:b/>
              <w:caps/>
              <w:szCs w:val="24"/>
            </w:rPr>
          </w:pPr>
          <w:r>
            <w:rPr>
              <w:b/>
              <w:caps/>
              <w:szCs w:val="24"/>
            </w:rPr>
            <w:t>SPRENDIMAS</w:t>
          </w:r>
        </w:p>
        <w:p>
          <w:pPr>
            <w:suppressAutoHyphens/>
            <w:jc w:val="center"/>
            <w:rPr>
              <w:b/>
              <w:szCs w:val="24"/>
            </w:rPr>
          </w:pPr>
          <w:r>
            <w:rPr>
              <w:b/>
              <w:szCs w:val="24"/>
            </w:rPr>
            <w:t>GRĄŽINTI PRIDĖTINĖS VERTĖS MOKESTĮ UŽ EUROPOS SĄJUNGOS TERITORIJOS RIBŲ ĮSIKŪRUSIAM APMOKESTINAMAJAM ASMENIUI FR0446</w:t>
          </w:r>
        </w:p>
        <w:p>
          <w:pPr>
            <w:suppressAutoHyphens/>
            <w:jc w:val="center"/>
            <w:rPr>
              <w:b/>
              <w:szCs w:val="24"/>
            </w:rPr>
          </w:pPr>
        </w:p>
        <w:p>
          <w:pPr>
            <w:suppressAutoHyphens/>
            <w:jc w:val="center"/>
            <w:rPr>
              <w:b/>
              <w:szCs w:val="24"/>
            </w:rPr>
          </w:pPr>
        </w:p>
        <w:tbl>
          <w:tblPr>
            <w:tblW w:w="5300" w:type="dxa"/>
            <w:tblInd w:w="2508" w:type="dxa"/>
            <w:tblLayout w:type="fixed"/>
            <w:tblLook w:val="01E0" w:firstRow="1" w:lastRow="1" w:firstColumn="1" w:lastColumn="1" w:noHBand="0" w:noVBand="0"/>
          </w:tblPr>
          <w:tblGrid>
            <w:gridCol w:w="2399"/>
            <w:gridCol w:w="1134"/>
            <w:gridCol w:w="1767"/>
          </w:tblGrid>
          <w:tr>
            <w:tc>
              <w:tcPr>
                <w:tcW w:w="2399" w:type="dxa"/>
                <w:tcBorders>
                  <w:bottom w:val="single" w:sz="4" w:space="0" w:color="000000"/>
                </w:tcBorders>
              </w:tcPr>
              <w:p>
                <w:pPr>
                  <w:widowControl w:val="0"/>
                  <w:suppressAutoHyphens/>
                  <w:jc w:val="center"/>
                  <w:rPr>
                    <w:b/>
                    <w:color w:val="000000"/>
                    <w:szCs w:val="24"/>
                  </w:rPr>
                </w:pPr>
              </w:p>
            </w:tc>
            <w:tc>
              <w:tcPr>
                <w:tcW w:w="1134" w:type="dxa"/>
              </w:tcPr>
              <w:p>
                <w:pPr>
                  <w:widowControl w:val="0"/>
                  <w:suppressAutoHyphens/>
                  <w:rPr>
                    <w:b/>
                    <w:color w:val="000000"/>
                    <w:szCs w:val="24"/>
                  </w:rPr>
                </w:pPr>
              </w:p>
            </w:tc>
            <w:tc>
              <w:tcPr>
                <w:tcW w:w="1767" w:type="dxa"/>
                <w:tcBorders>
                  <w:bottom w:val="single" w:sz="4" w:space="0" w:color="000000"/>
                </w:tcBorders>
              </w:tcPr>
              <w:p>
                <w:pPr>
                  <w:widowControl w:val="0"/>
                  <w:suppressAutoHyphens/>
                  <w:rPr>
                    <w:color w:val="000000"/>
                    <w:szCs w:val="24"/>
                  </w:rPr>
                </w:pPr>
                <w:r>
                  <w:rPr>
                    <w:color w:val="000000"/>
                    <w:szCs w:val="24"/>
                  </w:rPr>
                  <w:t xml:space="preserve">Nr. </w:t>
                </w:r>
              </w:p>
            </w:tc>
          </w:tr>
          <w:tr>
            <w:tc>
              <w:tcPr>
                <w:tcW w:w="2399" w:type="dxa"/>
                <w:tcBorders>
                  <w:top w:val="single" w:sz="4" w:space="0" w:color="000000"/>
                </w:tcBorders>
              </w:tcPr>
              <w:p>
                <w:pPr>
                  <w:widowControl w:val="0"/>
                  <w:suppressAutoHyphens/>
                  <w:jc w:val="center"/>
                  <w:rPr>
                    <w:color w:val="000000"/>
                    <w:szCs w:val="24"/>
                  </w:rPr>
                </w:pPr>
                <w:r>
                  <w:rPr>
                    <w:color w:val="000000"/>
                    <w:szCs w:val="24"/>
                  </w:rPr>
                  <w:t>(data)</w:t>
                </w:r>
              </w:p>
            </w:tc>
            <w:tc>
              <w:tcPr>
                <w:tcW w:w="1134" w:type="dxa"/>
              </w:tcPr>
              <w:p>
                <w:pPr>
                  <w:widowControl w:val="0"/>
                  <w:suppressAutoHyphens/>
                  <w:jc w:val="center"/>
                  <w:rPr>
                    <w:color w:val="000000"/>
                    <w:szCs w:val="24"/>
                  </w:rPr>
                </w:pPr>
              </w:p>
            </w:tc>
            <w:tc>
              <w:tcPr>
                <w:tcW w:w="1767" w:type="dxa"/>
                <w:tcBorders>
                  <w:top w:val="single" w:sz="4" w:space="0" w:color="000000"/>
                </w:tcBorders>
              </w:tcPr>
              <w:p>
                <w:pPr>
                  <w:widowControl w:val="0"/>
                  <w:suppressAutoHyphens/>
                  <w:jc w:val="center"/>
                  <w:rPr>
                    <w:color w:val="000000"/>
                    <w:szCs w:val="24"/>
                  </w:rPr>
                </w:pPr>
              </w:p>
            </w:tc>
          </w:tr>
        </w:tbl>
        <w:p>
          <w:pPr>
            <w:suppressAutoHyphens/>
            <w:ind w:left="2880"/>
            <w:jc w:val="center"/>
            <w:rPr>
              <w:bCs/>
              <w:szCs w:val="24"/>
            </w:rPr>
          </w:pPr>
        </w:p>
        <w:p>
          <w:pPr>
            <w:tabs>
              <w:tab w:val="left" w:pos="4820"/>
              <w:tab w:val="left" w:pos="7229"/>
            </w:tabs>
            <w:suppressAutoHyphens/>
            <w:ind w:firstLine="567"/>
            <w:jc w:val="both"/>
            <w:rPr>
              <w:szCs w:val="24"/>
            </w:rPr>
          </w:pPr>
          <w:r>
            <w:rPr>
              <w:szCs w:val="24"/>
            </w:rPr>
            <w:t>Vadovaudamasis (-i) Prašymų grąžinti už Europos Sąjungos teritorijos ribų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w:t>
          </w:r>
          <w:r>
            <w:rPr>
              <w:b/>
              <w:szCs w:val="24"/>
            </w:rPr>
            <w:t xml:space="preserve"> </w:t>
          </w:r>
        </w:p>
        <w:p>
          <w:pPr>
            <w:tabs>
              <w:tab w:val="left" w:pos="-360"/>
              <w:tab w:val="left" w:pos="2340"/>
              <w:tab w:val="left" w:pos="3060"/>
              <w:tab w:val="left" w:pos="3960"/>
              <w:tab w:val="left" w:pos="9639"/>
            </w:tabs>
            <w:suppressAutoHyphens/>
            <w:ind w:firstLine="630"/>
            <w:jc w:val="both"/>
            <w:rPr>
              <w:spacing w:val="20"/>
              <w:szCs w:val="24"/>
            </w:rPr>
          </w:pPr>
          <w:r>
            <w:rPr>
              <w:spacing w:val="60"/>
              <w:szCs w:val="24"/>
            </w:rPr>
            <w:t>nusprendži</w:t>
          </w:r>
          <w:r>
            <w:rPr>
              <w:spacing w:val="20"/>
              <w:szCs w:val="24"/>
            </w:rPr>
            <w:t>u:</w:t>
          </w:r>
        </w:p>
        <w:tbl>
          <w:tblPr>
            <w:tblW w:w="9639" w:type="dxa"/>
            <w:tblLayout w:type="fixed"/>
            <w:tblLook w:val="01E0" w:firstRow="1" w:lastRow="1" w:firstColumn="1" w:lastColumn="1" w:noHBand="0" w:noVBand="0"/>
          </w:tblPr>
          <w:tblGrid>
            <w:gridCol w:w="5424"/>
            <w:gridCol w:w="4215"/>
          </w:tblGrid>
          <w:tr>
            <w:tc>
              <w:tcPr>
                <w:tcW w:w="542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r>
                  <w:rPr>
                    <w:szCs w:val="24"/>
                  </w:rPr>
                  <w:t>Užsienio apmokestinamojo asmens:</w:t>
                </w:r>
              </w:p>
            </w:tc>
            <w:tc>
              <w:tcPr>
                <w:tcW w:w="4215" w:type="dxa"/>
              </w:tcPr>
              <w:p>
                <w:pPr>
                  <w:widowControl w:val="0"/>
                  <w:suppressAutoHyphens/>
                </w:pPr>
              </w:p>
            </w:tc>
          </w:tr>
          <w:tr>
            <w:tc>
              <w:tcPr>
                <w:tcW w:w="542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r>
                  <w:rPr>
                    <w:szCs w:val="24"/>
                  </w:rPr>
                  <w:t>Pavadinimas arba vardas, pavardė</w:t>
                </w:r>
              </w:p>
            </w:tc>
            <w:tc>
              <w:tcPr>
                <w:tcW w:w="4215"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p>
            </w:tc>
          </w:tr>
          <w:tr>
            <w:tc>
              <w:tcPr>
                <w:tcW w:w="542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r>
                  <w:rPr>
                    <w:szCs w:val="24"/>
                  </w:rPr>
                  <w:t xml:space="preserve">Pridėtinės vertės mokesčio (toliau  PVM) mokėtojo arba mokesčio mokėtojo kodas</w:t>
                </w:r>
              </w:p>
            </w:tc>
            <w:tc>
              <w:tcPr>
                <w:tcW w:w="4215"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p>
            </w:tc>
          </w:tr>
          <w:tr>
            <w:tc>
              <w:tcPr>
                <w:tcW w:w="542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r>
                  <w:rPr>
                    <w:szCs w:val="24"/>
                  </w:rPr>
                  <w:t>Prašymo data, numeris</w:t>
                </w:r>
              </w:p>
            </w:tc>
            <w:tc>
              <w:tcPr>
                <w:tcW w:w="4215"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jc w:val="both"/>
                  <w:rPr>
                    <w:szCs w:val="24"/>
                  </w:rPr>
                </w:pPr>
              </w:p>
            </w:tc>
          </w:tr>
        </w:tbl>
        <w:p>
          <w:pPr>
            <w:tabs>
              <w:tab w:val="left" w:pos="-360"/>
              <w:tab w:val="left" w:pos="2340"/>
              <w:tab w:val="left" w:pos="3060"/>
              <w:tab w:val="left" w:pos="3960"/>
              <w:tab w:val="left" w:pos="9639"/>
            </w:tabs>
            <w:suppressAutoHyphens/>
            <w:rPr>
              <w:b/>
              <w:szCs w:val="24"/>
            </w:rPr>
          </w:pPr>
        </w:p>
        <w:p>
          <w:pPr>
            <w:tabs>
              <w:tab w:val="left" w:pos="-360"/>
              <w:tab w:val="left" w:pos="2340"/>
              <w:tab w:val="left" w:pos="3060"/>
              <w:tab w:val="left" w:pos="3960"/>
              <w:tab w:val="left" w:pos="9639"/>
            </w:tabs>
            <w:suppressAutoHyphens/>
            <w:rPr>
              <w:szCs w:val="24"/>
            </w:rPr>
          </w:pPr>
          <w:r>
            <w:rPr>
              <w:szCs w:val="24"/>
            </w:rPr>
            <w:t>grąžinti</w:t>
          </w:r>
        </w:p>
        <w:tbl>
          <w:tblPr>
            <w:tblW w:w="9639" w:type="dxa"/>
            <w:tblLayout w:type="fixed"/>
            <w:tblLook w:val="01E0" w:firstRow="1" w:lastRow="1" w:firstColumn="1" w:lastColumn="1" w:noHBand="0" w:noVBand="0"/>
          </w:tblPr>
          <w:tblGrid>
            <w:gridCol w:w="5056"/>
            <w:gridCol w:w="1833"/>
            <w:gridCol w:w="2750"/>
          </w:tblGrid>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 xml:space="preserve">Prašoma grąžinti PVM suma </w:t>
                </w:r>
              </w:p>
            </w:tc>
            <w:tc>
              <w:tcPr>
                <w:tcW w:w="183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c>
              <w:tcPr>
                <w:tcW w:w="2750" w:type="dxa"/>
              </w:tcPr>
              <w:p>
                <w:pPr>
                  <w:widowControl w:val="0"/>
                  <w:suppressAutoHyphens/>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 xml:space="preserve">Grąžinama suma </w:t>
                </w:r>
              </w:p>
            </w:tc>
            <w:tc>
              <w:tcPr>
                <w:tcW w:w="1833"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c>
              <w:tcPr>
                <w:tcW w:w="2750" w:type="dxa"/>
              </w:tcPr>
              <w:p>
                <w:pPr>
                  <w:widowControl w:val="0"/>
                  <w:suppressAutoHyphens/>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Grąžinamą sumą pervesti:</w:t>
                </w:r>
              </w:p>
            </w:tc>
            <w:tc>
              <w:tcPr>
                <w:tcW w:w="1833" w:type="dxa"/>
              </w:tcPr>
              <w:p>
                <w:pPr>
                  <w:widowControl w:val="0"/>
                  <w:suppressAutoHyphens/>
                </w:pPr>
              </w:p>
            </w:tc>
            <w:tc>
              <w:tcPr>
                <w:tcW w:w="2750" w:type="dxa"/>
              </w:tcPr>
              <w:p>
                <w:pPr>
                  <w:widowControl w:val="0"/>
                  <w:suppressAutoHyphens/>
                </w:pPr>
              </w:p>
            </w:tc>
          </w:tr>
          <w:tr>
            <w:trPr>
              <w:trHeight w:val="589"/>
            </w:trP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Sąskaitos savininko pavadinimas</w:t>
                </w:r>
              </w:p>
            </w:tc>
            <w:tc>
              <w:tcPr>
                <w:tcW w:w="458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Valiutos kodas</w:t>
                </w:r>
              </w:p>
            </w:tc>
            <w:tc>
              <w:tcPr>
                <w:tcW w:w="458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IBAN</w:t>
                </w:r>
              </w:p>
            </w:tc>
            <w:tc>
              <w:tcPr>
                <w:tcW w:w="458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BIC (SWIFT)</w:t>
                </w:r>
              </w:p>
            </w:tc>
            <w:tc>
              <w:tcPr>
                <w:tcW w:w="458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r>
          <w:tr>
            <w:tc>
              <w:tcPr>
                <w:tcW w:w="5056" w:type="dxa"/>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r>
                  <w:rPr>
                    <w:szCs w:val="24"/>
                  </w:rPr>
                  <w:t>Mokėjimo paskirtis</w:t>
                </w:r>
              </w:p>
            </w:tc>
            <w:tc>
              <w:tcPr>
                <w:tcW w:w="458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360"/>
                    <w:tab w:val="left" w:pos="2340"/>
                    <w:tab w:val="left" w:pos="3060"/>
                    <w:tab w:val="left" w:pos="3960"/>
                    <w:tab w:val="left" w:pos="9639"/>
                  </w:tabs>
                  <w:suppressAutoHyphens/>
                  <w:rPr>
                    <w:szCs w:val="24"/>
                  </w:rPr>
                </w:pPr>
              </w:p>
            </w:tc>
          </w:tr>
        </w:tbl>
        <w:p>
          <w:pPr/>
        </w:p>
        <w:p>
          <w:pPr>
            <w:tabs>
              <w:tab w:val="left" w:pos="9639"/>
            </w:tabs>
            <w:suppressAutoHyphens/>
            <w:jc w:val="both"/>
            <w:rPr>
              <w:szCs w:val="24"/>
            </w:rPr>
          </w:pPr>
          <w:r>
            <w:rPr>
              <w:b/>
              <w:szCs w:val="24"/>
            </w:rPr>
            <w:t>Pastaba.</w:t>
          </w:r>
          <w:r>
            <w:rPr>
              <w:szCs w:val="24"/>
            </w:rPr>
            <w:t xml:space="preserve"> Banko mokesčiai išskaitomi iš grąžinamos sumos. Tuo atveju, jei paaiškėtų, kad prašyme grąžinti PVM nurodyti banko sąskaitos duomenys yra neteisingi, tai grąžinama PVM suma pervedama pagal užsienio apmokestinamojo asmens pateiktus banko duomenis.</w:t>
          </w:r>
        </w:p>
        <w:p>
          <w:pPr>
            <w:tabs>
              <w:tab w:val="left" w:pos="-360"/>
              <w:tab w:val="left" w:pos="2340"/>
              <w:tab w:val="left" w:pos="3060"/>
              <w:tab w:val="left" w:pos="3960"/>
              <w:tab w:val="left" w:pos="9639"/>
            </w:tabs>
            <w:suppressAutoHyphens/>
            <w:rPr>
              <w:szCs w:val="24"/>
            </w:rPr>
          </w:pPr>
        </w:p>
        <w:p>
          <w:pPr>
            <w:tabs>
              <w:tab w:val="left" w:pos="9639"/>
            </w:tabs>
            <w:suppressAutoHyphens/>
            <w:rPr>
              <w:szCs w:val="24"/>
            </w:rPr>
          </w:pPr>
          <w:r>
            <w:rPr>
              <w:szCs w:val="24"/>
            </w:rPr>
            <w:t>negrąžinti</w:t>
          </w:r>
        </w:p>
        <w:tbl>
          <w:tblPr>
            <w:tblW w:w="9639" w:type="dxa"/>
            <w:tblLayout w:type="fixed"/>
            <w:tblLook w:val="01E0" w:firstRow="1" w:lastRow="1" w:firstColumn="1" w:lastColumn="1" w:noHBand="0" w:noVBand="0"/>
          </w:tblPr>
          <w:tblGrid>
            <w:gridCol w:w="7076"/>
            <w:gridCol w:w="2563"/>
          </w:tblGrid>
          <w:tr>
            <w:tc>
              <w:tcPr>
                <w:tcW w:w="7075" w:type="dxa"/>
                <w:tcBorders>
                  <w:top w:val="single" w:sz="4" w:space="0" w:color="000000"/>
                  <w:left w:val="single" w:sz="4" w:space="0" w:color="000000"/>
                  <w:bottom w:val="single" w:sz="4" w:space="0" w:color="000000"/>
                  <w:right w:val="single" w:sz="4" w:space="0" w:color="000000"/>
                </w:tcBorders>
              </w:tcPr>
              <w:p>
                <w:pPr>
                  <w:widowControl w:val="0"/>
                  <w:tabs>
                    <w:tab w:val="left" w:pos="9639"/>
                  </w:tabs>
                  <w:suppressAutoHyphens/>
                  <w:rPr>
                    <w:szCs w:val="24"/>
                  </w:rPr>
                </w:pPr>
                <w:r>
                  <w:rPr>
                    <w:szCs w:val="24"/>
                  </w:rPr>
                  <w:t xml:space="preserve">Negrąžinama PVM suma </w:t>
                </w:r>
              </w:p>
            </w:tc>
            <w:tc>
              <w:tcPr>
                <w:tcW w:w="2563" w:type="dxa"/>
                <w:tcBorders>
                  <w:top w:val="single" w:sz="4" w:space="0" w:color="000000"/>
                  <w:left w:val="single" w:sz="4" w:space="0" w:color="000000"/>
                  <w:bottom w:val="single" w:sz="4" w:space="0" w:color="000000"/>
                  <w:right w:val="single" w:sz="4" w:space="0" w:color="000000"/>
                </w:tcBorders>
              </w:tcPr>
              <w:p>
                <w:pPr>
                  <w:widowControl w:val="0"/>
                  <w:tabs>
                    <w:tab w:val="left" w:pos="9639"/>
                  </w:tabs>
                  <w:suppressAutoHyphens/>
                  <w:rPr>
                    <w:szCs w:val="24"/>
                  </w:rPr>
                </w:pPr>
              </w:p>
            </w:tc>
          </w:tr>
        </w:tbl>
        <w:p>
          <w:pPr>
            <w:tabs>
              <w:tab w:val="left" w:pos="9639"/>
            </w:tabs>
            <w:suppressAutoHyphens/>
            <w:rPr>
              <w:szCs w:val="24"/>
            </w:rPr>
          </w:pPr>
        </w:p>
        <w:p>
          <w:pPr>
            <w:tabs>
              <w:tab w:val="left" w:pos="9639"/>
            </w:tabs>
            <w:suppressAutoHyphens/>
            <w:jc w:val="both"/>
            <w:rPr>
              <w:szCs w:val="24"/>
            </w:rPr>
          </w:pPr>
          <w:r>
            <w:rPr>
              <w:szCs w:val="24"/>
            </w:rPr>
            <w:t xml:space="preserve">Sprendimo negrąžinti dalies ar visos prašomos grąžinti PVM sumos priėmimo motyvai: </w:t>
          </w:r>
        </w:p>
        <w:p>
          <w:pPr>
            <w:tabs>
              <w:tab w:val="left" w:pos="9639"/>
            </w:tabs>
            <w:suppressAutoHyphens/>
            <w:jc w:val="both"/>
            <w:rPr>
              <w:i/>
              <w:szCs w:val="24"/>
            </w:rPr>
          </w:pPr>
          <w:r>
            <w:rPr>
              <w:i/>
              <w:szCs w:val="24"/>
            </w:rPr>
            <w:t>[nurodyti sprendimo priėmimo motyvus]</w:t>
          </w:r>
        </w:p>
        <w:p>
          <w:pPr>
            <w:suppressAutoHyphens/>
            <w:jc w:val="both"/>
            <w:rPr>
              <w:color w:val="000000"/>
              <w:szCs w:val="24"/>
            </w:rPr>
          </w:pPr>
        </w:p>
        <w:p>
          <w:pPr>
            <w:suppressAutoHyphens/>
            <w:ind w:firstLine="567"/>
            <w:jc w:val="both"/>
            <w:rPr>
              <w:szCs w:val="24"/>
            </w:rPr>
          </w:pPr>
          <w:r>
            <w:rPr>
              <w:szCs w:val="24"/>
            </w:rPr>
            <w:t>Sprendimas gali būti skundžiamas Lietuvos Respublikos mokesčių administravimo įstatymo IX skyriuje nustatyta tvarka Valstybinei mokesčių inspekcijai prie Lietuvos Respublikos finansų ministerijos (Vasario 16-osios g. 14, 01107 Vilnius) per Vilniaus apskrities valstybinę mokesčių inspekciją (Ulonų g. 2, 01509 Vilnius) ne vėliau kaip per 20 (dvidešimt) dienų nuo šio sprendimo įteikimo užsienio apmokestinamajam asmeniui dienos.</w:t>
          </w:r>
        </w:p>
        <w:p>
          <w:pPr>
            <w:suppressAutoHyphens/>
            <w:jc w:val="both"/>
            <w:rPr>
              <w:szCs w:val="24"/>
            </w:rPr>
          </w:pPr>
        </w:p>
        <w:p>
          <w:pPr>
            <w:suppressAutoHyphens/>
            <w:jc w:val="both"/>
            <w:rPr>
              <w:bCs/>
              <w:szCs w:val="24"/>
            </w:rPr>
          </w:pPr>
        </w:p>
        <w:tbl>
          <w:tblPr>
            <w:tblW w:w="9639" w:type="dxa"/>
            <w:tblLayout w:type="fixed"/>
            <w:tblLook w:val="01E0" w:firstRow="1" w:lastRow="1" w:firstColumn="1" w:lastColumn="1" w:noHBand="0" w:noVBand="0"/>
          </w:tblPr>
          <w:tblGrid>
            <w:gridCol w:w="2395"/>
            <w:gridCol w:w="1004"/>
            <w:gridCol w:w="1995"/>
            <w:gridCol w:w="1548"/>
            <w:gridCol w:w="2697"/>
          </w:tblGrid>
          <w:tr>
            <w:tc>
              <w:tcPr>
                <w:tcW w:w="2395" w:type="dxa"/>
                <w:tcBorders>
                  <w:bottom w:val="single" w:sz="4" w:space="0" w:color="000000"/>
                </w:tcBorders>
              </w:tcPr>
              <w:p>
                <w:pPr>
                  <w:widowControl w:val="0"/>
                  <w:suppressAutoHyphens/>
                  <w:jc w:val="center"/>
                  <w:rPr>
                    <w:color w:val="000000"/>
                    <w:szCs w:val="24"/>
                  </w:rPr>
                </w:pPr>
              </w:p>
            </w:tc>
            <w:tc>
              <w:tcPr>
                <w:tcW w:w="1004" w:type="dxa"/>
              </w:tcPr>
              <w:p>
                <w:pPr>
                  <w:widowControl w:val="0"/>
                  <w:suppressAutoHyphens/>
                  <w:rPr>
                    <w:color w:val="000000"/>
                    <w:szCs w:val="24"/>
                  </w:rPr>
                </w:pPr>
              </w:p>
            </w:tc>
            <w:tc>
              <w:tcPr>
                <w:tcW w:w="1995" w:type="dxa"/>
                <w:tcBorders>
                  <w:bottom w:val="single" w:sz="4" w:space="0" w:color="000000"/>
                </w:tcBorders>
              </w:tcPr>
              <w:p>
                <w:pPr>
                  <w:widowControl w:val="0"/>
                  <w:suppressAutoHyphens/>
                  <w:jc w:val="center"/>
                  <w:rPr>
                    <w:color w:val="000000"/>
                    <w:szCs w:val="24"/>
                  </w:rPr>
                </w:pPr>
              </w:p>
            </w:tc>
            <w:tc>
              <w:tcPr>
                <w:tcW w:w="1548" w:type="dxa"/>
              </w:tcPr>
              <w:p>
                <w:pPr>
                  <w:widowControl w:val="0"/>
                  <w:suppressAutoHyphens/>
                  <w:rPr>
                    <w:color w:val="000000"/>
                    <w:szCs w:val="24"/>
                  </w:rPr>
                </w:pPr>
              </w:p>
            </w:tc>
            <w:tc>
              <w:tcPr>
                <w:tcW w:w="2697" w:type="dxa"/>
                <w:tcBorders>
                  <w:bottom w:val="single" w:sz="4" w:space="0" w:color="000000"/>
                </w:tcBorders>
              </w:tcPr>
              <w:p>
                <w:pPr>
                  <w:widowControl w:val="0"/>
                  <w:suppressAutoHyphens/>
                  <w:jc w:val="center"/>
                  <w:rPr>
                    <w:color w:val="000000"/>
                    <w:szCs w:val="24"/>
                  </w:rPr>
                </w:pPr>
              </w:p>
            </w:tc>
          </w:tr>
          <w:tr>
            <w:tc>
              <w:tcPr>
                <w:tcW w:w="2395" w:type="dxa"/>
                <w:tcBorders>
                  <w:top w:val="single" w:sz="4" w:space="0" w:color="000000"/>
                </w:tcBorders>
              </w:tcPr>
              <w:p>
                <w:pPr>
                  <w:widowControl w:val="0"/>
                  <w:suppressAutoHyphens/>
                  <w:jc w:val="center"/>
                  <w:rPr>
                    <w:color w:val="000000"/>
                    <w:szCs w:val="24"/>
                  </w:rPr>
                </w:pPr>
                <w:r>
                  <w:rPr>
                    <w:color w:val="000000"/>
                    <w:szCs w:val="24"/>
                  </w:rPr>
                  <w:t>(pareigų pavadinimas)</w:t>
                </w:r>
              </w:p>
            </w:tc>
            <w:tc>
              <w:tcPr>
                <w:tcW w:w="1004" w:type="dxa"/>
              </w:tcPr>
              <w:p>
                <w:pPr>
                  <w:widowControl w:val="0"/>
                  <w:suppressAutoHyphens/>
                  <w:jc w:val="center"/>
                  <w:rPr>
                    <w:color w:val="000000"/>
                    <w:szCs w:val="24"/>
                  </w:rPr>
                </w:pPr>
              </w:p>
            </w:tc>
            <w:tc>
              <w:tcPr>
                <w:tcW w:w="1995" w:type="dxa"/>
                <w:tcBorders>
                  <w:top w:val="single" w:sz="4" w:space="0" w:color="000000"/>
                </w:tcBorders>
              </w:tcPr>
              <w:p>
                <w:pPr>
                  <w:widowControl w:val="0"/>
                  <w:suppressAutoHyphens/>
                  <w:jc w:val="center"/>
                  <w:rPr>
                    <w:color w:val="000000"/>
                    <w:szCs w:val="24"/>
                  </w:rPr>
                </w:pPr>
                <w:r>
                  <w:rPr>
                    <w:color w:val="000000"/>
                    <w:szCs w:val="24"/>
                  </w:rPr>
                  <w:t>(parašas)</w:t>
                </w:r>
              </w:p>
            </w:tc>
            <w:tc>
              <w:tcPr>
                <w:tcW w:w="1548" w:type="dxa"/>
              </w:tcPr>
              <w:p>
                <w:pPr>
                  <w:widowControl w:val="0"/>
                  <w:suppressAutoHyphens/>
                  <w:jc w:val="center"/>
                  <w:rPr>
                    <w:color w:val="000000"/>
                    <w:szCs w:val="24"/>
                  </w:rPr>
                </w:pPr>
              </w:p>
            </w:tc>
            <w:tc>
              <w:tcPr>
                <w:tcW w:w="2697" w:type="dxa"/>
                <w:tcBorders>
                  <w:top w:val="single" w:sz="4" w:space="0" w:color="000000"/>
                </w:tcBorders>
              </w:tcPr>
              <w:p>
                <w:pPr>
                  <w:widowControl w:val="0"/>
                  <w:suppressAutoHyphens/>
                  <w:jc w:val="center"/>
                  <w:rPr>
                    <w:color w:val="000000"/>
                    <w:szCs w:val="24"/>
                  </w:rPr>
                </w:pPr>
                <w:r>
                  <w:rPr>
                    <w:color w:val="000000"/>
                    <w:szCs w:val="24"/>
                  </w:rPr>
                  <w:t>(vardas, pavardė)</w:t>
                </w:r>
              </w:p>
            </w:tc>
          </w:tr>
        </w:tbl>
        <w:p>
          <w:pPr/>
        </w:p>
        <w:sdt>
          <w:sdtPr>
            <w:alias w:val="pabaiga"/>
            <w:tag w:val="part_e307f0398268412fa19ed6cf6ce8a765"/>
            <w:lock w:val="sdtLocked"/>
            <w:richText/>
          </w:sdtPr>
          <w:sdtContent>
            <w:p>
              <w:pPr>
                <w:suppressAutoHyphens/>
                <w:jc w:val="center"/>
              </w:pPr>
              <w:r>
                <w:rPr>
                  <w:szCs w:val="24"/>
                </w:rPr>
                <w:t>______________</w:t>
              </w:r>
            </w:p>
          </w:sdtContent>
        </w:sdt>
      </w:sdtContent>
    </w:sdt>
    <w:sdt>
      <w:sdtPr>
        <w:alias w:val="patvirtinta"/>
        <w:tag w:val="part_4634891d298042c28346a9e6b8a21f65"/>
        <w:lock w:val="sdtLocked"/>
        <w:richText/>
      </w:sdtPr>
      <w:sdtContent>
        <w:p>
          <w:pPr>
            <w:tabs>
              <w:tab w:val="left" w:pos="5490"/>
            </w:tabs>
            <w:suppressAutoHyphens/>
            <w:ind w:left="5040"/>
            <w:jc w:val="both"/>
            <w:sectPr>
              <w:pgSz w:w="11906" w:h="16838"/>
              <w:pgMar w:top="1134" w:right="567" w:bottom="1134" w:left="1701" w:header="567" w:footer="567" w:gutter="0"/>
              <w:pgNumType w:start="1"/>
              <w:cols w:space="1296"/>
              <w:formProt w:val="0"/>
              <w:titlePg/>
              <w:docGrid w:linePitch="360"/>
            </w:sectPr>
          </w:pPr>
        </w:p>
        <w:p>
          <w:pPr>
            <w:tabs>
              <w:tab w:val="left" w:pos="5490"/>
            </w:tabs>
            <w:suppressAutoHyphens/>
            <w:ind w:left="5040"/>
            <w:jc w:val="both"/>
            <w:rPr>
              <w:szCs w:val="24"/>
            </w:rPr>
          </w:pPr>
          <w:r>
            <w:rPr>
              <w:szCs w:val="24"/>
            </w:rPr>
            <w:t>PATVIRTINTA</w:t>
          </w:r>
        </w:p>
        <w:p>
          <w:pPr>
            <w:tabs>
              <w:tab w:val="left" w:pos="5490"/>
            </w:tabs>
            <w:suppressAutoHyphens/>
            <w:ind w:left="5040"/>
            <w:rPr>
              <w:szCs w:val="24"/>
            </w:rPr>
          </w:pPr>
          <w:r>
            <w:rPr>
              <w:szCs w:val="24"/>
            </w:rPr>
            <w:t xml:space="preserve">Valstybinės mokesčių inspekcijos prie Lietuvos </w:t>
          </w:r>
        </w:p>
        <w:p>
          <w:pPr>
            <w:tabs>
              <w:tab w:val="left" w:pos="5490"/>
            </w:tabs>
            <w:suppressAutoHyphens/>
            <w:ind w:left="5040"/>
            <w:rPr>
              <w:szCs w:val="24"/>
            </w:rPr>
          </w:pPr>
          <w:r>
            <w:rPr>
              <w:szCs w:val="24"/>
            </w:rPr>
            <w:t xml:space="preserve">Respublikos finansų ministerijos viršininko </w:t>
          </w:r>
        </w:p>
        <w:p>
          <w:pPr>
            <w:tabs>
              <w:tab w:val="left" w:pos="5490"/>
            </w:tabs>
            <w:suppressAutoHyphens/>
            <w:ind w:left="5040"/>
            <w:rPr>
              <w:szCs w:val="24"/>
            </w:rPr>
          </w:pPr>
          <w:r>
            <w:rPr>
              <w:szCs w:val="24"/>
            </w:rPr>
            <w:t xml:space="preserve">2002 m. lapkričio 25 d. įsakymu Nr. 339 </w:t>
          </w:r>
        </w:p>
        <w:p>
          <w:pPr>
            <w:tabs>
              <w:tab w:val="left" w:pos="5490"/>
            </w:tabs>
            <w:suppressAutoHyphens/>
            <w:ind w:left="5040"/>
            <w:rPr>
              <w:szCs w:val="24"/>
            </w:rPr>
          </w:pPr>
          <w:r>
            <w:rPr>
              <w:szCs w:val="24"/>
            </w:rPr>
            <w:t xml:space="preserve">(Valstybinės mokesčių inspekcijos prie </w:t>
          </w:r>
        </w:p>
        <w:p>
          <w:pPr>
            <w:tabs>
              <w:tab w:val="left" w:pos="5490"/>
            </w:tabs>
            <w:suppressAutoHyphens/>
            <w:ind w:left="5040"/>
            <w:rPr>
              <w:szCs w:val="24"/>
            </w:rPr>
          </w:pPr>
          <w:r>
            <w:rPr>
              <w:szCs w:val="24"/>
            </w:rPr>
            <w:t xml:space="preserve">Lietuvos Respublikos finansų ministerijos viršininko </w:t>
          </w:r>
        </w:p>
        <w:p>
          <w:pPr>
            <w:suppressAutoHyphens/>
            <w:ind w:left="4950"/>
            <w:rPr>
              <w:szCs w:val="24"/>
            </w:rPr>
          </w:pPr>
          <w:r>
            <w:rPr>
              <w:szCs w:val="24"/>
            </w:rPr>
            <w:t xml:space="preserve">2023 m. gruodžio 20 d. įsakymo Nr. </w:t>
          </w:r>
          <w:r>
            <w:t>VA-97</w:t>
          </w:r>
        </w:p>
        <w:p>
          <w:pPr>
            <w:tabs>
              <w:tab w:val="left" w:pos="5490"/>
            </w:tabs>
            <w:suppressAutoHyphens/>
            <w:ind w:left="5040"/>
            <w:rPr>
              <w:szCs w:val="24"/>
            </w:rPr>
          </w:pPr>
          <w:r>
            <w:rPr>
              <w:szCs w:val="24"/>
            </w:rPr>
            <w:t>redakcija)</w:t>
          </w:r>
        </w:p>
        <w:p>
          <w:pPr>
            <w:suppressAutoHyphens/>
            <w:ind w:left="4253"/>
            <w:jc w:val="both"/>
            <w:rPr>
              <w:szCs w:val="24"/>
            </w:rPr>
          </w:pPr>
        </w:p>
        <w:p>
          <w:pPr>
            <w:suppressAutoHyphens/>
            <w:ind w:left="4253"/>
            <w:jc w:val="both"/>
            <w:rPr>
              <w:szCs w:val="24"/>
            </w:rPr>
          </w:pPr>
        </w:p>
        <w:p>
          <w:pPr>
            <w:suppressAutoHyphens/>
            <w:jc w:val="center"/>
            <w:rPr>
              <w:rFonts w:eastAsia="Calibri"/>
              <w:b/>
              <w:szCs w:val="24"/>
            </w:rPr>
          </w:pPr>
          <w:sdt>
            <w:sdtPr>
              <w:alias w:val="Pavadinimas"/>
              <w:tag w:val="title_4634891d298042c28346a9e6b8a21f65"/>
              <w:lock w:val="sdtLocked"/>
              <w:richText/>
            </w:sdtPr>
            <w:sdtContent>
              <w:r>
                <w:rPr>
                  <w:b/>
                  <w:szCs w:val="24"/>
                </w:rPr>
                <w:t>KITOJE EUROPOS SĄJUNGOS VALSTYBĖJE NARĖJE ĮSIKŪRUSIO APMOKESTINAMOJO ASMENS PRAŠYME GRĄŽINTI PRIDĖTINĖS VERTĖS MOKESTĮ NURODOMŲ PREKIŲ IR PASLAUGŲ APRAŠYMO, PRAŠYMO TIKSLINIMO IR PRAŠYMO PRIEDŲ PATEIKIMO ELEKTRONINĖMIS PRIEMONĖMIS TAISYKLĖS</w:t>
              </w:r>
            </w:sdtContent>
          </w:sdt>
        </w:p>
        <w:p>
          <w:pPr>
            <w:suppressAutoHyphens/>
            <w:jc w:val="both"/>
            <w:rPr>
              <w:b/>
              <w:szCs w:val="24"/>
            </w:rPr>
          </w:pPr>
        </w:p>
        <w:sdt>
          <w:sdtPr>
            <w:alias w:val="1 p."/>
            <w:tag w:val="part_3b788eb6c4ed4946b291283a1fc1002e"/>
            <w:lock w:val="sdtLocked"/>
            <w:richText/>
          </w:sdtPr>
          <w:sdtContent>
            <w:p>
              <w:pPr>
                <w:tabs>
                  <w:tab w:val="left" w:pos="993"/>
                </w:tabs>
                <w:suppressAutoHyphens/>
                <w:ind w:firstLine="720"/>
                <w:jc w:val="both"/>
                <w:rPr>
                  <w:color w:val="000000"/>
                  <w:szCs w:val="24"/>
                </w:rPr>
              </w:pPr>
              <w:sdt>
                <w:sdtPr>
                  <w:alias w:val="Numeris"/>
                  <w:tag w:val="nr_3b788eb6c4ed4946b291283a1fc1002e"/>
                  <w:lock w:val="sdtLocked"/>
                  <w:richText/>
                </w:sdtPr>
                <w:sdtContent>
                  <w:r>
                    <w:rPr>
                      <w:color w:val="000000"/>
                      <w:szCs w:val="24"/>
                    </w:rPr>
                    <w:t>1</w:t>
                  </w:r>
                </w:sdtContent>
              </w:sdt>
              <w:r>
                <w:rPr>
                  <w:color w:val="000000"/>
                  <w:szCs w:val="24"/>
                </w:rPr>
                <w:t xml:space="preserve">. Kitoje Europos Sąjungos valstybėje narėje (toliau  ES valstybė narė) įsikūrusio apmokestinamojo asmens prašyme grąžinti pridėtinės vertės mokestį nurodomų prekių ir paslaugų aprašymo, prašymo tikslinimo ir prašymo priedų pateikimo elektroninėmis priemonėmis taisyklės (toliau – Taisyklės) nustato prašyme grąžinti pridėtinės vertės mokestį (toliau – PVM) nurodomų prekių ir paslaugų aprašymo tvarką, kokiu formatu ir būdu elektroninėmis priemonėmis kartu su prašymu grąžinti PVM turi būti pateikiamos PVM sąskaitų faktūrų, importo dokumentų kopijos ar kiti dokumentai, taip pat Lietuvos mokesčių administratoriui pateiktų prašymų grąžinti PVM tikslinimo ir patikslintų prašymų grąžinti PVM nagrinėjimo tvarką.</w:t>
              </w:r>
            </w:p>
          </w:sdtContent>
        </w:sdt>
        <w:sdt>
          <w:sdtPr>
            <w:alias w:val="2 p."/>
            <w:tag w:val="part_18a5c551aa3240e391696a72d6913c2c"/>
            <w:lock w:val="sdtLocked"/>
            <w:richText/>
          </w:sdtPr>
          <w:sdtContent>
            <w:p>
              <w:pPr>
                <w:tabs>
                  <w:tab w:val="left" w:pos="993"/>
                </w:tabs>
                <w:suppressAutoHyphens/>
                <w:ind w:firstLine="720"/>
                <w:jc w:val="both"/>
                <w:rPr>
                  <w:color w:val="000000"/>
                  <w:szCs w:val="24"/>
                </w:rPr>
              </w:pPr>
              <w:sdt>
                <w:sdtPr>
                  <w:alias w:val="Numeris"/>
                  <w:tag w:val="nr_18a5c551aa3240e391696a72d6913c2c"/>
                  <w:lock w:val="sdtLocked"/>
                  <w:richText/>
                </w:sdtPr>
                <w:sdtContent>
                  <w:r>
                    <w:rPr>
                      <w:color w:val="000000"/>
                      <w:szCs w:val="24"/>
                    </w:rPr>
                    <w:t>2</w:t>
                  </w:r>
                </w:sdtContent>
              </w:sdt>
              <w:r>
                <w:rPr>
                  <w:color w:val="000000"/>
                  <w:szCs w:val="24"/>
                </w:rPr>
                <w:t>. Taisyklės parengtos, vadovaujantis Prašymų grąžinti kitose valstybėse narėse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w:t>
              </w:r>
            </w:p>
          </w:sdtContent>
        </w:sdt>
        <w:sdt>
          <w:sdtPr>
            <w:alias w:val="3 p."/>
            <w:tag w:val="part_7ed34a24b2084b5fb6a0e4dc483060ce"/>
            <w:lock w:val="sdtLocked"/>
            <w:richText/>
          </w:sdtPr>
          <w:sdtContent>
            <w:p>
              <w:pPr>
                <w:tabs>
                  <w:tab w:val="left" w:pos="993"/>
                </w:tabs>
                <w:suppressAutoHyphens/>
                <w:ind w:firstLine="720"/>
                <w:jc w:val="both"/>
                <w:rPr>
                  <w:color w:val="000000"/>
                  <w:szCs w:val="24"/>
                </w:rPr>
              </w:pPr>
              <w:sdt>
                <w:sdtPr>
                  <w:alias w:val="Numeris"/>
                  <w:tag w:val="nr_7ed34a24b2084b5fb6a0e4dc483060ce"/>
                  <w:lock w:val="sdtLocked"/>
                  <w:richText/>
                </w:sdtPr>
                <w:sdtContent>
                  <w:r>
                    <w:rPr>
                      <w:color w:val="000000"/>
                      <w:szCs w:val="24"/>
                    </w:rPr>
                    <w:t>3</w:t>
                  </w:r>
                </w:sdtContent>
              </w:sdt>
              <w:r>
                <w:rPr>
                  <w:color w:val="000000"/>
                  <w:szCs w:val="24"/>
                </w:rPr>
                <w:t>. Kitoje Europos Sąjungos valstybėje narėje įsikūrusio apmokestinamojo asmens prašyme grąžinti PVM informacija apie Lietuvoje įsigytas (importuotas) prekes ir paslaugas pateikiama, nurodant įsigytų (importuotų) prekių ir paslaugų kategorijų kodus ir papildomus kodus, nustatytus pagal 2010 m. spalio 7 d. Tarybos reglamentą Nr. 904/2010 dėl administracinio bendradarbiavimo ir kovos su sukčiavimu pridėtinės vertės mokesčio srityje ir 2012 m. sausio 31 d. Komisijos įgyvendinimo reglamentą (ES) Nr. 79/2012, kuriuo nustatomos išsamios Tarybos reglamento (ES) Nr. 904/2010 dėl administracinio bendradarbiavimo ir kovos su sukčiavimu pridėtinės vertės mokesčio srityje tam tikrų nuostatų įgyvendinimo taisyklės, ir nurodytus šių Taisyklių priede.</w:t>
              </w:r>
            </w:p>
          </w:sdtContent>
        </w:sdt>
        <w:sdt>
          <w:sdtPr>
            <w:alias w:val="4 p."/>
            <w:tag w:val="part_9613b37a61654278a0eae605efc95097"/>
            <w:lock w:val="sdtLocked"/>
            <w:richText/>
          </w:sdtPr>
          <w:sdtContent>
            <w:p>
              <w:pPr>
                <w:tabs>
                  <w:tab w:val="left" w:pos="993"/>
                </w:tabs>
                <w:suppressAutoHyphens/>
                <w:ind w:firstLine="720"/>
                <w:jc w:val="both"/>
                <w:rPr>
                  <w:color w:val="000000"/>
                  <w:szCs w:val="24"/>
                </w:rPr>
              </w:pPr>
              <w:sdt>
                <w:sdtPr>
                  <w:alias w:val="Numeris"/>
                  <w:tag w:val="nr_9613b37a61654278a0eae605efc95097"/>
                  <w:lock w:val="sdtLocked"/>
                  <w:richText/>
                </w:sdtPr>
                <w:sdtContent>
                  <w:r>
                    <w:rPr>
                      <w:color w:val="000000"/>
                      <w:szCs w:val="24"/>
                    </w:rPr>
                    <w:t>4</w:t>
                  </w:r>
                </w:sdtContent>
              </w:sdt>
              <w:r>
                <w:rPr>
                  <w:color w:val="000000"/>
                  <w:szCs w:val="24"/>
                </w:rPr>
                <w:t>. Elektroninės PVM sąskaitų faktūrų, importo dokumentų ar kitų dokumentų, kurie turi būti pateikiami elektroninėmis priemonėmis kartu su Prašymu grąžinti PVM, kopijos turi būti pateikiamos jpeg, tiff, pdf tipo bylomis arba šių bylų zip tipo archyvais.</w:t>
              </w:r>
            </w:p>
          </w:sdtContent>
        </w:sdt>
        <w:sdt>
          <w:sdtPr>
            <w:alias w:val="5 p."/>
            <w:tag w:val="part_7ccebee2919646deb9ea5fc7769ac898"/>
            <w:lock w:val="sdtLocked"/>
            <w:richText/>
          </w:sdtPr>
          <w:sdtContent>
            <w:p>
              <w:pPr>
                <w:tabs>
                  <w:tab w:val="left" w:pos="993"/>
                </w:tabs>
                <w:suppressAutoHyphens/>
                <w:ind w:firstLine="720"/>
                <w:jc w:val="both"/>
                <w:rPr>
                  <w:color w:val="000000"/>
                  <w:szCs w:val="24"/>
                </w:rPr>
              </w:pPr>
              <w:sdt>
                <w:sdtPr>
                  <w:alias w:val="Numeris"/>
                  <w:tag w:val="nr_7ccebee2919646deb9ea5fc7769ac898"/>
                  <w:lock w:val="sdtLocked"/>
                  <w:richText/>
                </w:sdtPr>
                <w:sdtContent>
                  <w:r>
                    <w:rPr>
                      <w:color w:val="000000"/>
                      <w:szCs w:val="24"/>
                    </w:rPr>
                    <w:t>5</w:t>
                  </w:r>
                </w:sdtContent>
              </w:sdt>
              <w:r>
                <w:rPr>
                  <w:color w:val="000000"/>
                  <w:szCs w:val="24"/>
                </w:rPr>
                <w:t>. Kitoje ES valstybėje narėje įsikūręs apmokestinamasis asmuo per įsikūrimo valstybę elektroninėmis priemonėmis kartu su prašymu grąžinti PVM gali perduoti ne daugiau kaip 5 MB duomenų. Tais atvejais, kai visų dokumentų, kurie turi būti pateikiami elektroninėmis priemonėmis kartu su prašymu grąžinti PVM, elektroninių kopijų bylos sudaro daugiau kaip 5 MB, asmuo kartu su prašymu turi pateikti tik dalį dokumentų kopijų bylų, kurių apimtis ne didesnė kaip 5 MB. Dokumentų elektroninių kopijų dalis, didesnė už 5 MB, turės būti pateikiama elektroniniu paštu, kurio adresą Lietuvos mokesčių administratorius kitos valstybės narės apmokestinamajam asmeniui (šio asmens atstovui) nurodys, gavęs prašymą grąžinti PVM.</w:t>
              </w:r>
            </w:p>
          </w:sdtContent>
        </w:sdt>
        <w:sdt>
          <w:sdtPr>
            <w:alias w:val="6 p."/>
            <w:tag w:val="part_2f5e838091d94eb3b7dcbbb3143c3dd6"/>
            <w:lock w:val="sdtLocked"/>
            <w:richText/>
          </w:sdtPr>
          <w:sdtContent>
            <w:p>
              <w:pPr>
                <w:tabs>
                  <w:tab w:val="left" w:pos="993"/>
                </w:tabs>
                <w:suppressAutoHyphens/>
                <w:ind w:firstLine="720"/>
                <w:jc w:val="both"/>
                <w:rPr>
                  <w:color w:val="000000"/>
                  <w:szCs w:val="24"/>
                </w:rPr>
              </w:pPr>
              <w:sdt>
                <w:sdtPr>
                  <w:alias w:val="Numeris"/>
                  <w:tag w:val="nr_2f5e838091d94eb3b7dcbbb3143c3dd6"/>
                  <w:lock w:val="sdtLocked"/>
                  <w:richText/>
                </w:sdtPr>
                <w:sdtContent>
                  <w:r>
                    <w:rPr>
                      <w:color w:val="000000"/>
                      <w:szCs w:val="24"/>
                    </w:rPr>
                    <w:t>6</w:t>
                  </w:r>
                </w:sdtContent>
              </w:sdt>
              <w:r>
                <w:rPr>
                  <w:color w:val="000000"/>
                  <w:szCs w:val="24"/>
                </w:rPr>
                <w:t>. Kitoje valstybėje narėje įsikūręs apmokestinamasis asmuo, tikslindamas Lietuvos mokesčių administratoriui pateiktą prašymą grąžinti PVM (pateikdamas patikslintą jau pateikto prašymo versiją), negali nurodyti naujų PVM sąskaitų faktūrų ar importo dokumentų.</w:t>
              </w:r>
            </w:p>
          </w:sdtContent>
        </w:sdt>
        <w:sdt>
          <w:sdtPr>
            <w:alias w:val="7 p."/>
            <w:tag w:val="part_237f95c50f3e4932b7c02d448ad9eb77"/>
            <w:lock w:val="sdtLocked"/>
            <w:richText/>
          </w:sdtPr>
          <w:sdtContent>
            <w:p>
              <w:pPr>
                <w:tabs>
                  <w:tab w:val="left" w:pos="993"/>
                </w:tabs>
                <w:suppressAutoHyphens/>
                <w:ind w:firstLine="720"/>
                <w:jc w:val="both"/>
                <w:rPr>
                  <w:color w:val="000000"/>
                  <w:szCs w:val="24"/>
                </w:rPr>
              </w:pPr>
              <w:sdt>
                <w:sdtPr>
                  <w:alias w:val="Numeris"/>
                  <w:tag w:val="nr_237f95c50f3e4932b7c02d448ad9eb77"/>
                  <w:lock w:val="sdtLocked"/>
                  <w:richText/>
                </w:sdtPr>
                <w:sdtContent>
                  <w:r>
                    <w:rPr>
                      <w:color w:val="000000"/>
                      <w:szCs w:val="24"/>
                    </w:rPr>
                    <w:t>7</w:t>
                  </w:r>
                </w:sdtContent>
              </w:sdt>
              <w:r>
                <w:rPr>
                  <w:color w:val="000000"/>
                  <w:szCs w:val="24"/>
                </w:rPr>
                <w:t>. Kai kitoje valstybėje narėje įsikūręs apmokestinamasis asmuo per savo įsikūrimo valstybę elektroninėmis priemonėmis pateikia patikslintą prašymą grąžinti PVM, sprendimo priėmimo terminas skaičiuojamas nuo patikslinto prašymo gavimo dienos.</w:t>
              </w:r>
            </w:p>
          </w:sdtContent>
        </w:sdt>
        <w:sdt>
          <w:sdtPr>
            <w:alias w:val="pabaiga"/>
            <w:tag w:val="part_49b8da02391745b9affad59b6739edda"/>
            <w:lock w:val="sdtLocked"/>
            <w:richText/>
          </w:sdtPr>
          <w:sdtContent>
            <w:p>
              <w:pPr>
                <w:suppressAutoHyphens/>
                <w:jc w:val="center"/>
              </w:pPr>
              <w:r>
                <w:rPr>
                  <w:color w:val="000000"/>
                  <w:szCs w:val="24"/>
                </w:rPr>
                <w:t>______________</w:t>
              </w:r>
            </w:p>
          </w:sdtContent>
        </w:sdt>
      </w:sdtContent>
    </w:sdt>
    <w:sdt>
      <w:sdtPr>
        <w:alias w:val="pr."/>
        <w:tag w:val="part_f92eb92060a64b4a98d7ef1d7d1b844e"/>
        <w:lock w:val="sdtLocked"/>
        <w:richText/>
      </w:sdtPr>
      <w:sdtContent>
        <w:p>
          <w:pPr>
            <w:suppressAutoHyphens/>
            <w:ind w:left="5760"/>
            <w:sectPr>
              <w:pgSz w:w="11906" w:h="16838"/>
              <w:pgMar w:top="1134" w:right="567" w:bottom="1134" w:left="1701" w:header="567" w:footer="567" w:gutter="0"/>
              <w:pgNumType w:start="1"/>
              <w:cols w:space="1296"/>
              <w:formProt w:val="0"/>
              <w:titlePg/>
              <w:docGrid w:linePitch="360"/>
            </w:sectPr>
          </w:pPr>
        </w:p>
        <w:p>
          <w:pPr>
            <w:suppressAutoHyphens/>
            <w:ind w:left="5760"/>
            <w:rPr>
              <w:szCs w:val="24"/>
            </w:rPr>
          </w:pPr>
          <w:r>
            <w:rPr>
              <w:szCs w:val="24"/>
            </w:rPr>
            <w:t>Kitoje Europos Sąjungos valstybėje</w:t>
          </w:r>
        </w:p>
        <w:p>
          <w:pPr>
            <w:suppressAutoHyphens/>
            <w:ind w:left="5760"/>
            <w:jc w:val="both"/>
            <w:rPr>
              <w:szCs w:val="24"/>
            </w:rPr>
          </w:pPr>
          <w:r>
            <w:rPr>
              <w:szCs w:val="24"/>
            </w:rPr>
            <w:t>narėje įsikūrusio apmokestinamojo</w:t>
          </w:r>
        </w:p>
        <w:p>
          <w:pPr>
            <w:suppressAutoHyphens/>
            <w:ind w:left="5760"/>
            <w:jc w:val="both"/>
            <w:rPr>
              <w:szCs w:val="24"/>
            </w:rPr>
          </w:pPr>
          <w:r>
            <w:rPr>
              <w:szCs w:val="24"/>
            </w:rPr>
            <w:t>asmens prašyme grąžinti pridėtinės</w:t>
          </w:r>
        </w:p>
        <w:p>
          <w:pPr>
            <w:suppressAutoHyphens/>
            <w:ind w:left="5760"/>
            <w:jc w:val="both"/>
            <w:rPr>
              <w:szCs w:val="24"/>
            </w:rPr>
          </w:pPr>
          <w:r>
            <w:rPr>
              <w:szCs w:val="24"/>
            </w:rPr>
            <w:t>vertės mokestį nurodomų prekių ir</w:t>
          </w:r>
        </w:p>
        <w:p>
          <w:pPr>
            <w:suppressAutoHyphens/>
            <w:ind w:left="5760"/>
            <w:jc w:val="both"/>
            <w:rPr>
              <w:szCs w:val="24"/>
            </w:rPr>
          </w:pPr>
          <w:r>
            <w:rPr>
              <w:szCs w:val="24"/>
            </w:rPr>
            <w:t>paslaugų aprašymo, prašymo</w:t>
          </w:r>
        </w:p>
        <w:p>
          <w:pPr>
            <w:suppressAutoHyphens/>
            <w:ind w:left="5760"/>
            <w:jc w:val="both"/>
            <w:rPr>
              <w:szCs w:val="24"/>
            </w:rPr>
          </w:pPr>
          <w:r>
            <w:rPr>
              <w:szCs w:val="24"/>
            </w:rPr>
            <w:t>tikslinimo ir prašymo priedų</w:t>
          </w:r>
        </w:p>
        <w:p>
          <w:pPr>
            <w:suppressAutoHyphens/>
            <w:ind w:left="5760"/>
            <w:jc w:val="both"/>
            <w:rPr>
              <w:szCs w:val="24"/>
            </w:rPr>
          </w:pPr>
          <w:r>
            <w:rPr>
              <w:szCs w:val="24"/>
            </w:rPr>
            <w:t>pateikimo elektroninėmis</w:t>
          </w:r>
        </w:p>
        <w:p>
          <w:pPr>
            <w:suppressAutoHyphens/>
            <w:ind w:left="5760"/>
            <w:jc w:val="both"/>
            <w:rPr>
              <w:szCs w:val="24"/>
            </w:rPr>
          </w:pPr>
          <w:r>
            <w:rPr>
              <w:szCs w:val="24"/>
            </w:rPr>
            <w:t xml:space="preserve">priemonėmis taisyklių </w:t>
          </w:r>
        </w:p>
        <w:p>
          <w:pPr>
            <w:suppressAutoHyphens/>
            <w:ind w:left="5760"/>
            <w:jc w:val="both"/>
            <w:rPr>
              <w:szCs w:val="24"/>
            </w:rPr>
          </w:pPr>
          <w:r>
            <w:rPr>
              <w:szCs w:val="24"/>
            </w:rPr>
            <w:t>priedas</w:t>
          </w:r>
        </w:p>
        <w:p>
          <w:pPr>
            <w:suppressAutoHyphens/>
            <w:ind w:firstLine="5529"/>
            <w:rPr>
              <w:szCs w:val="24"/>
            </w:rPr>
          </w:pPr>
        </w:p>
        <w:p>
          <w:pPr>
            <w:suppressAutoHyphens/>
            <w:ind w:firstLine="5529"/>
            <w:rPr>
              <w:szCs w:val="24"/>
            </w:rPr>
          </w:pPr>
        </w:p>
        <w:p>
          <w:pPr>
            <w:suppressAutoHyphens/>
            <w:jc w:val="center"/>
            <w:rPr>
              <w:b/>
              <w:caps/>
              <w:szCs w:val="24"/>
            </w:rPr>
          </w:pPr>
          <w:sdt>
            <w:sdtPr>
              <w:alias w:val="Pavadinimas"/>
              <w:tag w:val="title_f92eb92060a64b4a98d7ef1d7d1b844e"/>
              <w:lock w:val="sdtLocked"/>
              <w:richText/>
            </w:sdtPr>
            <w:sdtContent>
              <w:r>
                <w:rPr>
                  <w:b/>
                  <w:caps/>
                  <w:szCs w:val="24"/>
                </w:rPr>
                <w:t>Prekių (Paslaugų) kategorijos</w:t>
              </w:r>
            </w:sdtContent>
          </w:sdt>
        </w:p>
        <w:p>
          <w:pPr>
            <w:suppressAutoHyphens/>
            <w:jc w:val="both"/>
            <w:rPr>
              <w:szCs w:val="24"/>
            </w:rPr>
          </w:pPr>
        </w:p>
        <w:tbl>
          <w:tblPr>
            <w:tblW w:w="9018" w:type="dxa"/>
            <w:tblLayout w:type="fixed"/>
            <w:tblLook w:val="01E0" w:firstRow="1" w:lastRow="1" w:firstColumn="1" w:lastColumn="1" w:noHBand="0" w:noVBand="0"/>
          </w:tblPr>
          <w:tblGrid>
            <w:gridCol w:w="625"/>
            <w:gridCol w:w="3420"/>
            <w:gridCol w:w="1980"/>
            <w:gridCol w:w="2993"/>
          </w:tblGrid>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Eil. Nr.</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Prekės (paslaugos), patenkančios į atitinkamą kategoriją</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Prekių (paslaugų) kategorijos kodas</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Prekių (paslaugų) papildomas kodas, nustatytas pagal 2009 m. lapkričio 30 d. Komisijos reglamentą Nr. 1174/2009,</w:t>
                </w:r>
                <w:r>
                  <w:rPr>
                    <w:b/>
                    <w:bCs/>
                    <w:sz w:val="27"/>
                    <w:szCs w:val="27"/>
                    <w:shd w:val="clear" w:color="auto" w:fill="FFFFFF"/>
                  </w:rPr>
                  <w:t xml:space="preserve"> </w:t>
                </w:r>
                <w:r>
                  <w:rPr>
                    <w:bCs/>
                    <w:szCs w:val="24"/>
                    <w:shd w:val="clear" w:color="auto" w:fill="FFFFFF"/>
                  </w:rPr>
                  <w:t>kuriuo nustatomos Tarybos reglamento (EB) Nr. 1798/2003 34a ir 37 straipsnių nuostatų, susijusių su pridėtinės vertės mokesčio grąžinimu pagal Tarybos direktyvą 2008/9/EB, įgyvendinimo taisyklės</w:t>
                </w:r>
                <w:r>
                  <w:rPr>
                    <w:szCs w:val="24"/>
                    <w:lang w:eastAsia="lt-LT"/>
                  </w:rPr>
                  <w:t xml:space="preserve"> (toliau – Reglamentas)</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1.</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Kuras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1</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2.</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Transporto priemonių nuoma</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2</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 xml:space="preserve">2.8 </w:t>
                </w:r>
              </w:p>
              <w:p>
                <w:pPr>
                  <w:widowControl w:val="0"/>
                  <w:suppressAutoHyphens/>
                  <w:jc w:val="center"/>
                  <w:rPr>
                    <w:szCs w:val="24"/>
                    <w:lang w:eastAsia="lt-LT"/>
                  </w:rPr>
                </w:pPr>
                <w:r>
                  <w:rPr>
                    <w:szCs w:val="24"/>
                    <w:lang w:eastAsia="lt-LT"/>
                  </w:rPr>
                  <w:t>2.9</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3.</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Su transporto priemonėmis susijusios išlaidos (išskyrus</w:t>
                </w:r>
              </w:p>
              <w:p>
                <w:pPr>
                  <w:widowControl w:val="0"/>
                  <w:suppressAutoHyphens/>
                  <w:jc w:val="both"/>
                  <w:rPr>
                    <w:szCs w:val="24"/>
                    <w:lang w:eastAsia="lt-LT"/>
                  </w:rPr>
                </w:pPr>
                <w:r>
                  <w:rPr>
                    <w:szCs w:val="24"/>
                    <w:lang w:eastAsia="lt-LT"/>
                  </w:rPr>
                  <w:t>prekes ir paslaugas, pažymėtas 1 ir 2 kodais)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p>
              <w:p>
                <w:pPr>
                  <w:widowControl w:val="0"/>
                  <w:suppressAutoHyphens/>
                  <w:jc w:val="center"/>
                  <w:rPr>
                    <w:szCs w:val="24"/>
                    <w:lang w:eastAsia="lt-LT"/>
                  </w:rPr>
                </w:pPr>
                <w:r>
                  <w:rPr>
                    <w:szCs w:val="24"/>
                    <w:lang w:eastAsia="lt-LT"/>
                  </w:rPr>
                  <w:t>3</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p>
              <w:p>
                <w:pPr>
                  <w:widowControl w:val="0"/>
                  <w:suppressAutoHyphens/>
                  <w:jc w:val="center"/>
                  <w:rPr>
                    <w:szCs w:val="24"/>
                    <w:lang w:eastAsia="lt-LT"/>
                  </w:rPr>
                </w:pPr>
                <w:r>
                  <w:rPr>
                    <w:szCs w:val="24"/>
                    <w:lang w:eastAsia="lt-LT"/>
                  </w:rPr>
                  <w:t>3.11</w:t>
                </w:r>
              </w:p>
              <w:p>
                <w:pPr>
                  <w:widowControl w:val="0"/>
                  <w:suppressAutoHyphens/>
                  <w:jc w:val="center"/>
                  <w:rPr>
                    <w:szCs w:val="24"/>
                    <w:lang w:eastAsia="lt-LT"/>
                  </w:rPr>
                </w:pPr>
                <w:r>
                  <w:rPr>
                    <w:szCs w:val="24"/>
                    <w:lang w:eastAsia="lt-LT"/>
                  </w:rPr>
                  <w:t>3.12</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4.</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Kelių rinkliavos ir naudojimosi keliais mokestis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4</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p>
            </w:tc>
          </w:tr>
          <w:tr>
            <w:trPr>
              <w:trHeight w:val="413"/>
            </w:trP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5.</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Kelionės išlaidos, pavyzdžiui, mokestis už taksi, mokestis už naudojimąsi viešuoju transportu</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5</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5.1</w:t>
                </w:r>
              </w:p>
              <w:p>
                <w:pPr>
                  <w:widowControl w:val="0"/>
                  <w:suppressAutoHyphens/>
                  <w:jc w:val="center"/>
                  <w:rPr>
                    <w:szCs w:val="24"/>
                    <w:lang w:eastAsia="lt-LT"/>
                  </w:rPr>
                </w:pPr>
                <w:r>
                  <w:rPr>
                    <w:szCs w:val="24"/>
                    <w:lang w:eastAsia="lt-LT"/>
                  </w:rPr>
                  <w:t>5.2</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6.</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Apgyvendinimas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6</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Visi Reglamente nustatyti papildomi kodai</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7.</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Maistas, gėrimai ir maitinimo paslaugos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7</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Visi Reglamente nustatyti papildomi kodai</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8.</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Leidimas patekti į muges ir parodas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8</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Visi Reglamente nustatyti papildomi kodai</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9.</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Išlaidos prabangos prekėms, pramogoms ir pasilinksminimams</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9</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Visi Reglamente nustatyti papildomi kodai</w:t>
                </w:r>
              </w:p>
            </w:tc>
          </w:tr>
          <w:tr>
            <w:tc>
              <w:tcPr>
                <w:tcW w:w="62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10.</w:t>
                </w:r>
              </w:p>
            </w:tc>
            <w:tc>
              <w:tcPr>
                <w:tcW w:w="342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Kita</w:t>
                </w:r>
              </w:p>
            </w:tc>
            <w:tc>
              <w:tcPr>
                <w:tcW w:w="1980"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lang w:eastAsia="lt-LT"/>
                  </w:rPr>
                </w:pPr>
                <w:r>
                  <w:rPr>
                    <w:szCs w:val="24"/>
                    <w:lang w:eastAsia="lt-LT"/>
                  </w:rPr>
                  <w:t>10</w:t>
                </w:r>
              </w:p>
            </w:tc>
            <w:tc>
              <w:tcPr>
                <w:tcW w:w="299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lang w:eastAsia="lt-LT"/>
                  </w:rPr>
                </w:pPr>
                <w:r>
                  <w:rPr>
                    <w:szCs w:val="24"/>
                    <w:lang w:eastAsia="lt-LT"/>
                  </w:rPr>
                  <w:t>Pateikti prekės (paslaugos) aprašymą</w:t>
                </w:r>
              </w:p>
            </w:tc>
          </w:tr>
        </w:tbl>
        <w:p>
          <w:pPr>
            <w:suppressAutoHyphens/>
            <w:ind w:right="565"/>
            <w:jc w:val="both"/>
            <w:rPr>
              <w:szCs w:val="24"/>
            </w:rPr>
          </w:pPr>
          <w:r>
            <w:rPr>
              <w:b/>
              <w:szCs w:val="24"/>
            </w:rPr>
            <w:t>Pastaba.</w:t>
          </w:r>
          <w:r>
            <w:rPr>
              <w:szCs w:val="24"/>
            </w:rPr>
            <w:t xml:space="preserve"> Jei papildomi kodai, nustatyti pagal Reglamentą, šiame priede prie tam tikros prekių (paslaugų) kategorijos nenurodyti, Prašyme grąžinti PVM nurodomas tik prekės (paslaugos) kategorijos kodas. Jei šiame priede prie prekių (paslaugų) kategorijos (pvz., transporto priemonių nuoma) nurodyti ne visi Reglamente nustatyti papildomai kodai, tokiu atveju, kai įsigyta tokios kategorijos prekė (paslauga) nepatenka į šiame priede nurodytą papildomą kodą, prašyme turi būti nurodomas tik prekės (paslaugos) kodas.</w:t>
          </w:r>
        </w:p>
        <w:p>
          <w:pPr>
            <w:suppressAutoHyphens/>
            <w:ind w:right="565"/>
            <w:jc w:val="both"/>
            <w:rPr>
              <w:szCs w:val="24"/>
            </w:rPr>
          </w:pPr>
          <w:r>
            <w:rPr>
              <w:szCs w:val="24"/>
            </w:rPr>
            <w:t>Nurodžius prekės (paslaugos) kodą 10, turi būti aprašoma, kokia prekė (paslauga) įsigyta.</w:t>
          </w:r>
        </w:p>
        <w:p>
          <w:pPr>
            <w:suppressAutoHyphens/>
            <w:ind w:right="565"/>
            <w:jc w:val="both"/>
            <w:rPr>
              <w:szCs w:val="24"/>
            </w:rPr>
          </w:pPr>
        </w:p>
        <w:sdt>
          <w:sdtPr>
            <w:alias w:val="pabaiga"/>
            <w:tag w:val="part_4b21da8a9a424a7d9bde747479b2815d"/>
            <w:lock w:val="sdtLocked"/>
            <w:richText/>
          </w:sdtPr>
          <w:sdtContent>
            <w:p>
              <w:pPr>
                <w:suppressAutoHyphens/>
                <w:jc w:val="center"/>
              </w:pPr>
              <w:r>
                <w:rPr>
                  <w:szCs w:val="24"/>
                </w:rPr>
                <w:t>________________</w:t>
              </w:r>
            </w:p>
          </w:sdtContent>
        </w:sdt>
      </w:sdtContent>
    </w:sdt>
    <w:sdt>
      <w:sdtPr>
        <w:alias w:val="patvirtinta"/>
        <w:tag w:val="part_cdc8d0610d794042a6f428862282673c"/>
        <w:lock w:val="sdtLocked"/>
        <w:richText/>
      </w:sdtPr>
      <w:sdtContent>
        <w:p>
          <w:pPr>
            <w:widowControl w:val="0"/>
            <w:tabs>
              <w:tab w:val="left" w:pos="5040"/>
            </w:tabs>
            <w:suppressAutoHyphens/>
            <w:ind w:left="5130"/>
            <w:sectPr>
              <w:pgSz w:w="11906" w:h="16838"/>
              <w:pgMar w:top="1134" w:right="567" w:bottom="1134" w:left="1701" w:header="567" w:footer="567" w:gutter="0"/>
              <w:pgNumType w:start="1"/>
              <w:cols w:space="1296"/>
              <w:formProt w:val="0"/>
              <w:titlePg/>
              <w:docGrid w:linePitch="360"/>
            </w:sectPr>
          </w:pPr>
        </w:p>
        <w:p>
          <w:pPr>
            <w:widowControl w:val="0"/>
            <w:tabs>
              <w:tab w:val="left" w:pos="5040"/>
            </w:tabs>
            <w:suppressAutoHyphens/>
            <w:ind w:left="5130"/>
            <w:rPr>
              <w:szCs w:val="24"/>
            </w:rPr>
          </w:pPr>
          <w:r>
            <w:rPr>
              <w:szCs w:val="24"/>
            </w:rPr>
            <w:t>PATVIRTINTA</w:t>
          </w:r>
        </w:p>
        <w:p>
          <w:pPr>
            <w:tabs>
              <w:tab w:val="left" w:pos="5040"/>
              <w:tab w:val="left" w:pos="5490"/>
            </w:tabs>
            <w:suppressAutoHyphens/>
            <w:ind w:left="5130"/>
            <w:jc w:val="both"/>
            <w:rPr>
              <w:szCs w:val="24"/>
            </w:rPr>
          </w:pPr>
          <w:r>
            <w:rPr>
              <w:szCs w:val="24"/>
            </w:rPr>
            <w:t xml:space="preserve">Valstybinės mokesčių inspekcijos prie </w:t>
          </w:r>
        </w:p>
        <w:p>
          <w:pPr>
            <w:tabs>
              <w:tab w:val="left" w:pos="5040"/>
              <w:tab w:val="left" w:pos="5490"/>
            </w:tabs>
            <w:suppressAutoHyphens/>
            <w:ind w:left="5130"/>
            <w:jc w:val="both"/>
            <w:rPr>
              <w:szCs w:val="24"/>
            </w:rPr>
          </w:pPr>
          <w:r>
            <w:rPr>
              <w:szCs w:val="24"/>
            </w:rPr>
            <w:t xml:space="preserve">Lietuvos Respublikos finansų ministerijos viršininko </w:t>
          </w:r>
        </w:p>
        <w:p>
          <w:pPr>
            <w:tabs>
              <w:tab w:val="left" w:pos="5040"/>
              <w:tab w:val="left" w:pos="5490"/>
            </w:tabs>
            <w:suppressAutoHyphens/>
            <w:ind w:left="5130"/>
            <w:jc w:val="both"/>
            <w:rPr>
              <w:szCs w:val="24"/>
            </w:rPr>
          </w:pPr>
          <w:r>
            <w:rPr>
              <w:szCs w:val="24"/>
            </w:rPr>
            <w:t xml:space="preserve">2002 m. lapkričio 25 d. įsakymu Nr. 339 </w:t>
          </w:r>
        </w:p>
        <w:p>
          <w:pPr>
            <w:tabs>
              <w:tab w:val="left" w:pos="5040"/>
            </w:tabs>
            <w:suppressAutoHyphens/>
            <w:ind w:left="5130"/>
            <w:jc w:val="both"/>
            <w:rPr>
              <w:szCs w:val="24"/>
            </w:rPr>
          </w:pPr>
          <w:r>
            <w:rPr>
              <w:szCs w:val="24"/>
            </w:rPr>
            <w:t>(Valstybinės mokesčių inspekcijos prie</w:t>
          </w:r>
        </w:p>
        <w:p>
          <w:pPr>
            <w:tabs>
              <w:tab w:val="left" w:pos="5040"/>
            </w:tabs>
            <w:suppressAutoHyphens/>
            <w:ind w:left="5130"/>
            <w:jc w:val="both"/>
            <w:rPr>
              <w:szCs w:val="24"/>
            </w:rPr>
          </w:pPr>
          <w:r>
            <w:rPr>
              <w:szCs w:val="24"/>
            </w:rPr>
            <w:t xml:space="preserve"> Lietuvos Respublikos finansų ministerijos viršininko </w:t>
          </w:r>
        </w:p>
        <w:p>
          <w:pPr>
            <w:tabs>
              <w:tab w:val="left" w:pos="5040"/>
            </w:tabs>
            <w:suppressAutoHyphens/>
            <w:ind w:left="5130"/>
            <w:jc w:val="both"/>
            <w:rPr>
              <w:szCs w:val="24"/>
            </w:rPr>
          </w:pPr>
          <w:r>
            <w:rPr>
              <w:szCs w:val="24"/>
            </w:rPr>
            <w:t xml:space="preserve">2023 m. gruodžio 20 d. įsakymo Nr. </w:t>
          </w:r>
          <w:r>
            <w:t>VA-97</w:t>
          </w:r>
        </w:p>
        <w:p>
          <w:pPr>
            <w:tabs>
              <w:tab w:val="left" w:pos="5040"/>
            </w:tabs>
            <w:suppressAutoHyphens/>
            <w:ind w:left="5130"/>
            <w:jc w:val="both"/>
            <w:rPr>
              <w:szCs w:val="24"/>
            </w:rPr>
          </w:pPr>
          <w:r>
            <w:rPr>
              <w:szCs w:val="24"/>
            </w:rPr>
            <w:t>redakcija)</w:t>
          </w:r>
        </w:p>
        <w:p>
          <w:pPr>
            <w:tabs>
              <w:tab w:val="left" w:pos="1757"/>
            </w:tabs>
            <w:suppressAutoHyphens/>
            <w:ind w:left="5102"/>
            <w:rPr>
              <w:szCs w:val="24"/>
            </w:rPr>
          </w:pPr>
        </w:p>
        <w:p>
          <w:pPr>
            <w:tabs>
              <w:tab w:val="left" w:pos="1757"/>
            </w:tabs>
            <w:suppressAutoHyphens/>
            <w:jc w:val="center"/>
            <w:rPr>
              <w:szCs w:val="24"/>
            </w:rPr>
          </w:pPr>
        </w:p>
        <w:p>
          <w:pPr>
            <w:tabs>
              <w:tab w:val="left" w:pos="1757"/>
            </w:tabs>
            <w:suppressAutoHyphens/>
            <w:jc w:val="center"/>
            <w:rPr>
              <w:b/>
              <w:szCs w:val="24"/>
            </w:rPr>
          </w:pPr>
          <w:sdt>
            <w:sdtPr>
              <w:alias w:val="Pavadinimas"/>
              <w:tag w:val="title_cdc8d0610d794042a6f428862282673c"/>
              <w:lock w:val="sdtLocked"/>
              <w:richText/>
            </w:sdtPr>
            <w:sdtContent>
              <w:r>
                <w:rPr>
                  <w:b/>
                  <w:szCs w:val="24"/>
                </w:rPr>
                <w:t>(Sprendimo grąžinti pridėtinės vertės mokestį kitoje Europos Sąjungos valstybėje narėje įsikūrusiam apmokestinamajam asmeniui pavyzdinė FR1084 forma)</w:t>
              </w:r>
            </w:sdtContent>
          </w:sdt>
        </w:p>
        <w:p>
          <w:pPr>
            <w:tabs>
              <w:tab w:val="left" w:pos="1757"/>
            </w:tabs>
            <w:suppressAutoHyphens/>
            <w:ind w:firstLine="4860"/>
            <w:rPr>
              <w:szCs w:val="24"/>
            </w:rPr>
          </w:pPr>
        </w:p>
        <w:p>
          <w:pPr>
            <w:suppressAutoHyphens/>
            <w:jc w:val="center"/>
            <w:rPr>
              <w:color w:val="000000"/>
              <w:szCs w:val="24"/>
            </w:rPr>
          </w:pPr>
          <w:r>
            <w:rPr>
              <w:lang w:eastAsia="lt-LT"/>
            </w:rPr>
            <w:drawing>
              <wp:inline distT="0" distB="0" distL="0" distR="0">
                <wp:extent cx="541020" cy="533400"/>
                <wp:effectExtent l="0" t="0" r="0" b="0"/>
                <wp:docPr id="3"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4"/>
                        <pic:cNvPicPr>
                          <a:picLocks noChangeAspect="1" noChangeArrowheads="1"/>
                        </pic:cNvPicPr>
                      </pic:nvPicPr>
                      <pic:blipFill>
                        <a:blip r:embed="rId22"/>
                        <a:stretch>
                          <a:fillRect/>
                        </a:stretch>
                      </pic:blipFill>
                      <pic:spPr bwMode="auto">
                        <a:xfrm>
                          <a:off x="0" y="0"/>
                          <a:ext cx="541020" cy="533400"/>
                        </a:xfrm>
                        <a:prstGeom prst="rect">
                          <a:avLst/>
                        </a:prstGeom>
                      </pic:spPr>
                    </pic:pic>
                  </a:graphicData>
                </a:graphic>
              </wp:inline>
            </w:drawing>
          </w:r>
        </w:p>
        <w:p>
          <w:pPr>
            <w:suppressAutoHyphens/>
            <w:jc w:val="center"/>
            <w:rPr>
              <w:i/>
              <w:color w:val="000000"/>
              <w:szCs w:val="24"/>
            </w:rPr>
          </w:pPr>
        </w:p>
        <w:p>
          <w:pPr>
            <w:suppressAutoHyphens/>
            <w:jc w:val="center"/>
            <w:rPr>
              <w:b/>
              <w:color w:val="000000"/>
              <w:szCs w:val="24"/>
            </w:rPr>
          </w:pPr>
          <w:r>
            <w:rPr>
              <w:b/>
              <w:color w:val="000000"/>
              <w:szCs w:val="24"/>
            </w:rPr>
            <w:t>VILNIAUS APSKRITIES VALSTYBINĖS MOKESČIŲ INSPEKCIJOS VIRŠININKAS</w:t>
          </w:r>
        </w:p>
        <w:p>
          <w:pPr>
            <w:suppressAutoHyphens/>
            <w:jc w:val="center"/>
            <w:rPr>
              <w:color w:val="000000"/>
              <w:szCs w:val="24"/>
            </w:rPr>
          </w:pPr>
        </w:p>
        <w:p>
          <w:pPr>
            <w:suppressAutoHyphens/>
            <w:jc w:val="center"/>
            <w:rPr>
              <w:b/>
              <w:color w:val="000000"/>
              <w:szCs w:val="24"/>
            </w:rPr>
          </w:pPr>
          <w:r>
            <w:rPr>
              <w:b/>
              <w:color w:val="000000"/>
              <w:szCs w:val="24"/>
            </w:rPr>
            <w:t>SPRENDIMAS</w:t>
          </w:r>
        </w:p>
        <w:p>
          <w:pPr>
            <w:suppressAutoHyphens/>
            <w:jc w:val="center"/>
            <w:rPr>
              <w:b/>
              <w:color w:val="000000"/>
              <w:szCs w:val="24"/>
            </w:rPr>
          </w:pPr>
          <w:r>
            <w:rPr>
              <w:b/>
              <w:color w:val="000000"/>
              <w:szCs w:val="24"/>
            </w:rPr>
            <w:t>GRĄŽINTI PRIDĖTINĖS VERTĖS MOKESTĮ KITOJE EUROPOS SĄJUNGOS VALSTYBĖJE NARĖJE ĮSIKŪRUSIAM APMOKESTINAMAJAM ASMENIUI FR1084</w:t>
          </w:r>
        </w:p>
        <w:p>
          <w:pPr>
            <w:tabs>
              <w:tab w:val="right" w:leader="underscore" w:pos="5096"/>
            </w:tabs>
            <w:suppressAutoHyphens/>
            <w:jc w:val="center"/>
            <w:rPr>
              <w:color w:val="000000"/>
              <w:szCs w:val="24"/>
            </w:rPr>
          </w:pPr>
        </w:p>
        <w:p>
          <w:pPr>
            <w:tabs>
              <w:tab w:val="right" w:leader="underscore" w:pos="5096"/>
            </w:tabs>
            <w:suppressAutoHyphens/>
            <w:jc w:val="center"/>
            <w:rPr>
              <w:color w:val="000000"/>
              <w:szCs w:val="24"/>
            </w:rPr>
          </w:pPr>
        </w:p>
        <w:tbl>
          <w:tblPr>
            <w:tblW w:w="4800" w:type="dxa"/>
            <w:tblInd w:w="2508" w:type="dxa"/>
            <w:tblLayout w:type="fixed"/>
            <w:tblLook w:val="01E0" w:firstRow="1" w:lastRow="1" w:firstColumn="1" w:lastColumn="1" w:noHBand="0" w:noVBand="0"/>
          </w:tblPr>
          <w:tblGrid>
            <w:gridCol w:w="2100"/>
            <w:gridCol w:w="800"/>
            <w:gridCol w:w="1900"/>
          </w:tblGrid>
          <w:tr>
            <w:tc>
              <w:tcPr>
                <w:tcW w:w="2100" w:type="dxa"/>
                <w:tcBorders>
                  <w:bottom w:val="single" w:sz="4" w:space="0" w:color="000000"/>
                </w:tcBorders>
                <w:vAlign w:val="bottom"/>
              </w:tcPr>
              <w:p>
                <w:pPr>
                  <w:widowControl w:val="0"/>
                  <w:suppressAutoHyphens/>
                  <w:jc w:val="center"/>
                  <w:rPr>
                    <w:color w:val="000000"/>
                    <w:szCs w:val="24"/>
                  </w:rPr>
                </w:pPr>
              </w:p>
            </w:tc>
            <w:tc>
              <w:tcPr>
                <w:tcW w:w="800" w:type="dxa"/>
              </w:tcPr>
              <w:p>
                <w:pPr>
                  <w:widowControl w:val="0"/>
                  <w:suppressAutoHyphens/>
                  <w:jc w:val="both"/>
                  <w:rPr>
                    <w:color w:val="000000"/>
                    <w:szCs w:val="24"/>
                  </w:rPr>
                </w:pPr>
              </w:p>
            </w:tc>
            <w:tc>
              <w:tcPr>
                <w:tcW w:w="1900" w:type="dxa"/>
                <w:tcBorders>
                  <w:bottom w:val="single" w:sz="4" w:space="0" w:color="000000"/>
                </w:tcBorders>
              </w:tcPr>
              <w:p>
                <w:pPr>
                  <w:widowControl w:val="0"/>
                  <w:suppressAutoHyphens/>
                  <w:jc w:val="both"/>
                  <w:rPr>
                    <w:color w:val="000000"/>
                    <w:szCs w:val="24"/>
                  </w:rPr>
                </w:pPr>
                <w:r>
                  <w:rPr>
                    <w:color w:val="000000"/>
                    <w:szCs w:val="24"/>
                  </w:rPr>
                  <w:t xml:space="preserve">Nr. </w:t>
                </w:r>
              </w:p>
            </w:tc>
          </w:tr>
          <w:tr>
            <w:tc>
              <w:tcPr>
                <w:tcW w:w="2100" w:type="dxa"/>
                <w:tcBorders>
                  <w:top w:val="single" w:sz="4" w:space="0" w:color="000000"/>
                </w:tcBorders>
              </w:tcPr>
              <w:p>
                <w:pPr>
                  <w:widowControl w:val="0"/>
                  <w:suppressAutoHyphens/>
                  <w:jc w:val="center"/>
                  <w:rPr>
                    <w:color w:val="000000"/>
                    <w:szCs w:val="24"/>
                  </w:rPr>
                </w:pPr>
                <w:r>
                  <w:rPr>
                    <w:color w:val="000000"/>
                    <w:szCs w:val="24"/>
                  </w:rPr>
                  <w:t>(data)</w:t>
                </w:r>
              </w:p>
            </w:tc>
            <w:tc>
              <w:tcPr>
                <w:tcW w:w="800" w:type="dxa"/>
              </w:tcPr>
              <w:p>
                <w:pPr>
                  <w:widowControl w:val="0"/>
                  <w:suppressAutoHyphens/>
                  <w:jc w:val="center"/>
                  <w:rPr>
                    <w:color w:val="000000"/>
                    <w:szCs w:val="24"/>
                  </w:rPr>
                </w:pPr>
              </w:p>
            </w:tc>
            <w:tc>
              <w:tcPr>
                <w:tcW w:w="1900" w:type="dxa"/>
                <w:tcBorders>
                  <w:top w:val="single" w:sz="4" w:space="0" w:color="000000"/>
                </w:tcBorders>
              </w:tcPr>
              <w:p>
                <w:pPr>
                  <w:widowControl w:val="0"/>
                  <w:suppressAutoHyphens/>
                  <w:jc w:val="center"/>
                  <w:rPr>
                    <w:color w:val="000000"/>
                    <w:szCs w:val="24"/>
                  </w:rPr>
                </w:pPr>
              </w:p>
            </w:tc>
          </w:tr>
        </w:tbl>
        <w:p>
          <w:pPr>
            <w:suppressAutoHyphens/>
            <w:jc w:val="both"/>
            <w:rPr>
              <w:color w:val="000000"/>
              <w:szCs w:val="24"/>
            </w:rPr>
          </w:pPr>
        </w:p>
        <w:p>
          <w:pPr>
            <w:suppressAutoHyphens/>
            <w:ind w:firstLine="567"/>
            <w:jc w:val="both"/>
            <w:rPr>
              <w:color w:val="000000"/>
              <w:szCs w:val="24"/>
            </w:rPr>
          </w:pPr>
          <w:r>
            <w:rPr>
              <w:color w:val="000000"/>
              <w:szCs w:val="24"/>
            </w:rPr>
            <w:t xml:space="preserve">Vadovaudamasis (-si) Lietuvos Respublikos pridėtinės vertės mokesčio įstatymu, Prašymų grąžinti kitose valstybėse narėse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 </w:t>
          </w:r>
        </w:p>
        <w:p>
          <w:pPr>
            <w:suppressAutoHyphens/>
            <w:jc w:val="both"/>
            <w:rPr>
              <w:color w:val="000000"/>
              <w:szCs w:val="24"/>
            </w:rPr>
          </w:pPr>
        </w:p>
        <w:p>
          <w:pPr>
            <w:suppressAutoHyphens/>
            <w:ind w:firstLine="567"/>
            <w:jc w:val="both"/>
            <w:rPr>
              <w:spacing w:val="60"/>
              <w:szCs w:val="24"/>
            </w:rPr>
          </w:pPr>
          <w:r>
            <w:rPr>
              <w:spacing w:val="60"/>
              <w:szCs w:val="24"/>
            </w:rPr>
            <w:t>nusprendžiu</w:t>
          </w:r>
        </w:p>
        <w:p>
          <w:pPr>
            <w:suppressAutoHyphens/>
            <w:jc w:val="both"/>
            <w:rPr>
              <w:szCs w:val="24"/>
            </w:rPr>
          </w:pPr>
        </w:p>
        <w:p>
          <w:pPr>
            <w:suppressAutoHyphens/>
            <w:jc w:val="both"/>
            <w:rPr>
              <w:color w:val="000000"/>
              <w:szCs w:val="24"/>
            </w:rPr>
          </w:pPr>
          <w:r>
            <w:rPr>
              <w:color w:val="000000"/>
              <w:szCs w:val="24"/>
            </w:rPr>
            <w:t xml:space="preserve">Patenkinti / patenkinti iš dalies / nepatenkinti šį prašymą grąžinti pridėtinės vertės mokestį (toliau  PVM):</w:t>
          </w:r>
        </w:p>
        <w:p>
          <w:pPr>
            <w:tabs>
              <w:tab w:val="right" w:leader="underscore" w:pos="1690"/>
            </w:tabs>
            <w:suppressAutoHyphens/>
            <w:jc w:val="both"/>
            <w:rPr>
              <w:color w:val="000000"/>
              <w:szCs w:val="24"/>
            </w:rPr>
          </w:pPr>
        </w:p>
        <w:tbl>
          <w:tblPr>
            <w:tblW w:w="9639" w:type="dxa"/>
            <w:tblLayout w:type="fixed"/>
            <w:tblLook w:val="00A0" w:firstRow="1" w:lastRow="0" w:firstColumn="1" w:lastColumn="0" w:noHBand="0" w:noVBand="0"/>
          </w:tblPr>
          <w:tblGrid>
            <w:gridCol w:w="3803"/>
            <w:gridCol w:w="5836"/>
          </w:tblGrid>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 xml:space="preserve">Užsienio apmokestinamojo asmens: </w:t>
                </w:r>
              </w:p>
            </w:tc>
            <w:tc>
              <w:tcPr>
                <w:tcW w:w="5835" w:type="dxa"/>
                <w:tcBorders>
                  <w:left w:val="single" w:sz="4" w:space="0" w:color="000000"/>
                  <w:bottom w:val="single" w:sz="4" w:space="0" w:color="000000"/>
                </w:tcBorders>
              </w:tcPr>
              <w:p>
                <w:pPr>
                  <w:widowControl w:val="0"/>
                  <w:suppressAutoHyphens/>
                  <w:jc w:val="both"/>
                  <w:rPr>
                    <w:color w:val="A6A6A6"/>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Pavadinimas (vardas, pavardė)</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PVM mokėtojo kodas / Mokesčių mokėtojo kodas</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Prašymo numeris</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Prašymo versijos data</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r>
        </w:tbl>
        <w:p>
          <w:pPr>
            <w:tabs>
              <w:tab w:val="right" w:leader="underscore" w:pos="1690"/>
            </w:tabs>
            <w:suppressAutoHyphens/>
            <w:jc w:val="both"/>
            <w:rPr>
              <w:color w:val="000000"/>
              <w:szCs w:val="24"/>
            </w:rPr>
          </w:pPr>
        </w:p>
        <w:p>
          <w:pPr>
            <w:tabs>
              <w:tab w:val="right" w:leader="underscore" w:pos="1690"/>
            </w:tabs>
            <w:suppressAutoHyphens/>
            <w:jc w:val="both"/>
            <w:rPr>
              <w:color w:val="000000"/>
              <w:szCs w:val="24"/>
            </w:rPr>
          </w:pPr>
          <w:r>
            <w:rPr>
              <w:color w:val="000000"/>
              <w:szCs w:val="24"/>
            </w:rPr>
            <w:t>Sprendimo tenkinti prašymą iš dalies ar netenkinti prašymo priėmimo motyvai:</w:t>
          </w:r>
        </w:p>
        <w:tbl>
          <w:tblPr>
            <w:tblW w:w="9639" w:type="dxa"/>
            <w:tblLayout w:type="fixed"/>
            <w:tblLook w:val="00A0" w:firstRow="1" w:lastRow="0" w:firstColumn="1" w:lastColumn="0" w:noHBand="0" w:noVBand="0"/>
          </w:tblPr>
          <w:tblGrid>
            <w:gridCol w:w="1603"/>
            <w:gridCol w:w="1604"/>
            <w:gridCol w:w="2816"/>
            <w:gridCol w:w="1726"/>
            <w:gridCol w:w="1890"/>
          </w:tblGrid>
          <w:tr>
            <w:trPr>
              <w:trHeight w:val="825"/>
            </w:trPr>
            <w:tc>
              <w:tcPr>
                <w:tcW w:w="1603"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szCs w:val="24"/>
                  </w:rPr>
                </w:pPr>
                <w:r>
                  <w:rPr>
                    <w:szCs w:val="24"/>
                  </w:rPr>
                  <w:t>Pirkimo / importo dokumento numeris</w:t>
                </w:r>
              </w:p>
            </w:tc>
            <w:tc>
              <w:tcPr>
                <w:tcW w:w="1604"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szCs w:val="24"/>
                  </w:rPr>
                </w:pPr>
                <w:r>
                  <w:rPr>
                    <w:szCs w:val="24"/>
                  </w:rPr>
                  <w:t>Pirkimo / importo dokumento eilės numeris prašyme</w:t>
                </w:r>
              </w:p>
            </w:tc>
            <w:tc>
              <w:tcPr>
                <w:tcW w:w="4542" w:type="dxa"/>
                <w:gridSpan w:val="2"/>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szCs w:val="24"/>
                  </w:rPr>
                </w:pPr>
                <w:r>
                  <w:rPr>
                    <w:szCs w:val="24"/>
                  </w:rPr>
                  <w:t>PVM negrąžinimo motyvai</w:t>
                </w:r>
              </w:p>
            </w:tc>
            <w:tc>
              <w:tcPr>
                <w:tcW w:w="1890" w:type="dxa"/>
                <w:tcBorders>
                  <w:top w:val="single" w:sz="4" w:space="0" w:color="000000"/>
                  <w:left w:val="single" w:sz="4" w:space="0" w:color="000000"/>
                  <w:right w:val="single" w:sz="4" w:space="0" w:color="000000"/>
                </w:tcBorders>
                <w:vAlign w:val="center"/>
              </w:tcPr>
              <w:p>
                <w:pPr>
                  <w:widowControl w:val="0"/>
                  <w:suppressAutoHyphens/>
                  <w:jc w:val="center"/>
                  <w:rPr>
                    <w:szCs w:val="24"/>
                  </w:rPr>
                </w:pPr>
                <w:r>
                  <w:rPr>
                    <w:szCs w:val="24"/>
                  </w:rPr>
                  <w:t>Negrąžinama PVM suma</w:t>
                </w:r>
              </w:p>
            </w:tc>
          </w:tr>
          <w:tr>
            <w:trPr>
              <w:trHeight w:val="825"/>
            </w:trPr>
            <w:tc>
              <w:tcPr>
                <w:tcW w:w="1603"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Cs w:val="24"/>
                  </w:rPr>
                </w:pPr>
              </w:p>
            </w:tc>
            <w:tc>
              <w:tcPr>
                <w:tcW w:w="1604"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rPr>
                </w:pPr>
                <w:r>
                  <w:rPr>
                    <w:szCs w:val="24"/>
                  </w:rPr>
                  <w:t>PVM negrąžinimo pagrindas</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rPr>
                </w:pPr>
                <w:r>
                  <w:rPr>
                    <w:szCs w:val="24"/>
                  </w:rPr>
                  <w:t>PVM negrąžinimo priežastis</w:t>
                </w:r>
              </w:p>
            </w:tc>
            <w:tc>
              <w:tcPr>
                <w:tcW w:w="1890" w:type="dxa"/>
                <w:tcBorders>
                  <w:top w:val="single" w:sz="4" w:space="0" w:color="000000"/>
                  <w:left w:val="single" w:sz="4" w:space="0" w:color="000000"/>
                  <w:right w:val="single" w:sz="4" w:space="0" w:color="000000"/>
                </w:tcBorders>
              </w:tcPr>
              <w:p>
                <w:pPr>
                  <w:widowControl w:val="0"/>
                  <w:suppressAutoHyphens/>
                  <w:jc w:val="center"/>
                  <w:rPr>
                    <w:szCs w:val="24"/>
                  </w:rPr>
                </w:pPr>
              </w:p>
            </w:tc>
          </w:tr>
          <w:tr>
            <w:tc>
              <w:tcPr>
                <w:tcW w:w="16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60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890" w:type="dxa"/>
                <w:tcBorders>
                  <w:top w:val="single" w:sz="4" w:space="0" w:color="000000"/>
                  <w:left w:val="single" w:sz="4" w:space="0" w:color="000000"/>
                  <w:bottom w:val="single" w:sz="4" w:space="0" w:color="000000"/>
                  <w:right w:val="single" w:sz="4" w:space="0" w:color="000000"/>
                </w:tcBorders>
              </w:tcPr>
              <w:p>
                <w:pPr>
                  <w:widowControl w:val="0"/>
                  <w:suppressAutoHyphens/>
                  <w:rPr>
                    <w:color w:val="A6A6A6"/>
                    <w:szCs w:val="24"/>
                  </w:rPr>
                </w:pPr>
              </w:p>
            </w:tc>
          </w:tr>
          <w:tr>
            <w:tc>
              <w:tcPr>
                <w:tcW w:w="16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60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890" w:type="dxa"/>
                <w:tcBorders>
                  <w:top w:val="single" w:sz="4" w:space="0" w:color="000000"/>
                  <w:left w:val="single" w:sz="4" w:space="0" w:color="000000"/>
                  <w:bottom w:val="single" w:sz="4" w:space="0" w:color="000000"/>
                  <w:right w:val="single" w:sz="4" w:space="0" w:color="000000"/>
                </w:tcBorders>
              </w:tcPr>
              <w:p>
                <w:pPr>
                  <w:widowControl w:val="0"/>
                  <w:suppressAutoHyphens/>
                  <w:rPr>
                    <w:color w:val="A6A6A6"/>
                    <w:szCs w:val="24"/>
                  </w:rPr>
                </w:pPr>
              </w:p>
            </w:tc>
          </w:tr>
          <w:tr>
            <w:trPr>
              <w:trHeight w:val="235"/>
            </w:trPr>
            <w:tc>
              <w:tcPr>
                <w:tcW w:w="16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60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b/>
                    <w:szCs w:val="24"/>
                  </w:rPr>
                </w:pPr>
              </w:p>
            </w:tc>
            <w:tc>
              <w:tcPr>
                <w:tcW w:w="1890" w:type="dxa"/>
                <w:tcBorders>
                  <w:top w:val="single" w:sz="4" w:space="0" w:color="000000"/>
                  <w:left w:val="single" w:sz="4" w:space="0" w:color="000000"/>
                  <w:bottom w:val="single" w:sz="4" w:space="0" w:color="000000"/>
                  <w:right w:val="single" w:sz="4" w:space="0" w:color="000000"/>
                </w:tcBorders>
              </w:tcPr>
              <w:p>
                <w:pPr>
                  <w:widowControl w:val="0"/>
                  <w:suppressAutoHyphens/>
                  <w:rPr>
                    <w:color w:val="A6A6A6"/>
                    <w:szCs w:val="24"/>
                  </w:rPr>
                </w:pPr>
              </w:p>
            </w:tc>
          </w:tr>
          <w:tr>
            <w:trPr>
              <w:trHeight w:val="64"/>
            </w:trPr>
            <w:tc>
              <w:tcPr>
                <w:tcW w:w="16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60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890" w:type="dxa"/>
                <w:tcBorders>
                  <w:top w:val="single" w:sz="4" w:space="0" w:color="000000"/>
                  <w:left w:val="single" w:sz="4" w:space="0" w:color="000000"/>
                  <w:bottom w:val="single" w:sz="4" w:space="0" w:color="000000"/>
                  <w:right w:val="single" w:sz="4" w:space="0" w:color="000000"/>
                </w:tcBorders>
              </w:tcPr>
              <w:p>
                <w:pPr>
                  <w:widowControl w:val="0"/>
                  <w:suppressAutoHyphens/>
                  <w:rPr>
                    <w:color w:val="A6A6A6"/>
                    <w:szCs w:val="24"/>
                  </w:rPr>
                </w:pPr>
              </w:p>
            </w:tc>
          </w:tr>
          <w:tr>
            <w:trPr>
              <w:trHeight w:val="64"/>
            </w:trPr>
            <w:tc>
              <w:tcPr>
                <w:tcW w:w="160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60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890" w:type="dxa"/>
                <w:tcBorders>
                  <w:top w:val="single" w:sz="4" w:space="0" w:color="000000"/>
                  <w:left w:val="single" w:sz="4" w:space="0" w:color="000000"/>
                  <w:bottom w:val="single" w:sz="4" w:space="0" w:color="000000"/>
                  <w:right w:val="single" w:sz="4" w:space="0" w:color="000000"/>
                </w:tcBorders>
              </w:tcPr>
              <w:p>
                <w:pPr>
                  <w:widowControl w:val="0"/>
                  <w:suppressAutoHyphens/>
                  <w:rPr>
                    <w:color w:val="A6A6A6"/>
                    <w:szCs w:val="24"/>
                  </w:rPr>
                </w:pPr>
              </w:p>
            </w:tc>
          </w:tr>
        </w:tbl>
        <w:p>
          <w:pPr>
            <w:suppressAutoHyphens/>
            <w:jc w:val="both"/>
            <w:rPr>
              <w:color w:val="000000"/>
              <w:szCs w:val="24"/>
            </w:rPr>
          </w:pPr>
        </w:p>
        <w:p>
          <w:pPr>
            <w:suppressAutoHyphens/>
            <w:jc w:val="both"/>
            <w:rPr>
              <w:color w:val="000000"/>
              <w:szCs w:val="24"/>
            </w:rPr>
          </w:pPr>
          <w:r>
            <w:rPr>
              <w:color w:val="000000"/>
              <w:szCs w:val="24"/>
            </w:rPr>
            <w:t>Papildoma informacija:</w:t>
          </w:r>
        </w:p>
        <w:tbl>
          <w:tblPr>
            <w:tblW w:w="9639" w:type="dxa"/>
            <w:tblLayout w:type="fixed"/>
            <w:tblLook w:val="00A0" w:firstRow="1" w:lastRow="0" w:firstColumn="1" w:lastColumn="0" w:noHBand="0" w:noVBand="0"/>
          </w:tblPr>
          <w:tblGrid>
            <w:gridCol w:w="5543"/>
            <w:gridCol w:w="2634"/>
            <w:gridCol w:w="1462"/>
          </w:tblGrid>
          <w:tr>
            <w:tc>
              <w:tcPr>
                <w:tcW w:w="554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Prašoma grąžinti PVM suma</w:t>
                </w:r>
              </w:p>
            </w:tc>
            <w:tc>
              <w:tcPr>
                <w:tcW w:w="263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46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(Valiuta)</w:t>
                </w:r>
              </w:p>
            </w:tc>
          </w:tr>
          <w:tr>
            <w:tc>
              <w:tcPr>
                <w:tcW w:w="554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Grąžintina PVM suma</w:t>
                </w:r>
              </w:p>
            </w:tc>
            <w:tc>
              <w:tcPr>
                <w:tcW w:w="263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46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(Valiuta)</w:t>
                </w:r>
              </w:p>
            </w:tc>
          </w:tr>
          <w:tr>
            <w:tc>
              <w:tcPr>
                <w:tcW w:w="554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Pareiškėjui grąžinamas PVM (po perskaičiavimo)</w:t>
                </w:r>
              </w:p>
              <w:p>
                <w:pPr>
                  <w:widowControl w:val="0"/>
                  <w:suppressAutoHyphens/>
                  <w:rPr>
                    <w:szCs w:val="24"/>
                  </w:rPr>
                </w:pPr>
                <w:r>
                  <w:rPr>
                    <w:szCs w:val="24"/>
                  </w:rPr>
                  <w:t>Pareiškėjo mokėtina suma (po perskaičiavimo)</w:t>
                </w:r>
              </w:p>
            </w:tc>
            <w:tc>
              <w:tcPr>
                <w:tcW w:w="263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46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r>
                  <w:rPr>
                    <w:szCs w:val="24"/>
                  </w:rPr>
                  <w:t>(Valiuta)</w:t>
                </w:r>
              </w:p>
            </w:tc>
          </w:tr>
        </w:tbl>
        <w:p>
          <w:pPr>
            <w:suppressAutoHyphens/>
            <w:jc w:val="both"/>
            <w:rPr>
              <w:szCs w:val="24"/>
            </w:rPr>
          </w:pPr>
        </w:p>
        <w:p>
          <w:pPr>
            <w:suppressAutoHyphens/>
            <w:jc w:val="both"/>
            <w:rPr>
              <w:szCs w:val="24"/>
            </w:rPr>
          </w:pPr>
          <w:r>
            <w:rPr>
              <w:color w:val="000000"/>
              <w:szCs w:val="24"/>
            </w:rPr>
            <w:t>Perskaičiavimo priežastys</w:t>
          </w:r>
          <w:r>
            <w:rPr>
              <w:szCs w:val="24"/>
            </w:rPr>
            <w:t>:</w:t>
          </w:r>
        </w:p>
        <w:tbl>
          <w:tblPr>
            <w:tblW w:w="9637" w:type="dxa"/>
            <w:tblLayout w:type="fixed"/>
            <w:tblLook w:val="00A0" w:firstRow="1" w:lastRow="0" w:firstColumn="1" w:lastColumn="0" w:noHBand="0" w:noVBand="0"/>
          </w:tblPr>
          <w:tblGrid>
            <w:gridCol w:w="938"/>
            <w:gridCol w:w="3739"/>
            <w:gridCol w:w="2497"/>
            <w:gridCol w:w="2463"/>
          </w:tblGrid>
          <w:tr>
            <w:tc>
              <w:tcPr>
                <w:tcW w:w="93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Eil. Nr.</w:t>
                </w:r>
              </w:p>
            </w:tc>
            <w:tc>
              <w:tcPr>
                <w:tcW w:w="373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Perskaičiavimo priežastys</w:t>
                </w:r>
              </w:p>
            </w:tc>
            <w:tc>
              <w:tcPr>
                <w:tcW w:w="249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Perskaičiavimo suma</w:t>
                </w:r>
              </w:p>
            </w:tc>
            <w:tc>
              <w:tcPr>
                <w:tcW w:w="2463" w:type="dxa"/>
                <w:tcBorders>
                  <w:left w:val="single" w:sz="4" w:space="0" w:color="000000"/>
                  <w:bottom w:val="single" w:sz="4" w:space="0" w:color="000000"/>
                </w:tcBorders>
              </w:tcPr>
              <w:p>
                <w:pPr>
                  <w:widowControl w:val="0"/>
                  <w:suppressAutoHyphens/>
                  <w:jc w:val="both"/>
                  <w:rPr>
                    <w:szCs w:val="24"/>
                  </w:rPr>
                </w:pPr>
              </w:p>
            </w:tc>
          </w:tr>
          <w:tr>
            <w:tc>
              <w:tcPr>
                <w:tcW w:w="93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373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49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46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r>
                  <w:rPr>
                    <w:szCs w:val="24"/>
                  </w:rPr>
                  <w:t>(Valiuta)</w:t>
                </w:r>
              </w:p>
            </w:tc>
          </w:tr>
          <w:tr>
            <w:tc>
              <w:tcPr>
                <w:tcW w:w="93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c>
              <w:tcPr>
                <w:tcW w:w="373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c>
              <w:tcPr>
                <w:tcW w:w="249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c>
              <w:tcPr>
                <w:tcW w:w="246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(Valiuta)</w:t>
                </w:r>
              </w:p>
            </w:tc>
          </w:tr>
        </w:tbl>
        <w:p>
          <w:pPr>
            <w:suppressAutoHyphens/>
            <w:jc w:val="both"/>
            <w:rPr>
              <w:szCs w:val="24"/>
            </w:rPr>
          </w:pPr>
        </w:p>
        <w:tbl>
          <w:tblPr>
            <w:tblW w:w="9637" w:type="dxa"/>
            <w:tblLayout w:type="fixed"/>
            <w:tblLook w:val="00A0" w:firstRow="1" w:lastRow="0" w:firstColumn="1" w:lastColumn="0" w:noHBand="0" w:noVBand="0"/>
          </w:tblPr>
          <w:tblGrid>
            <w:gridCol w:w="3230"/>
            <w:gridCol w:w="6407"/>
          </w:tblGrid>
          <w:tr>
            <w:tc>
              <w:tcPr>
                <w:tcW w:w="9636" w:type="dxa"/>
                <w:gridSpan w:val="2"/>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r>
                  <w:rPr>
                    <w:szCs w:val="24"/>
                  </w:rPr>
                  <w:t xml:space="preserve">Grąžinamą PVM sumą numatyta pervesti: </w:t>
                </w:r>
              </w:p>
              <w:p>
                <w:pPr>
                  <w:widowControl w:val="0"/>
                  <w:suppressAutoHyphens/>
                  <w:jc w:val="both"/>
                  <w:rPr>
                    <w:color w:val="A6A6A6"/>
                    <w:szCs w:val="24"/>
                  </w:rPr>
                </w:pPr>
                <w:r>
                  <w:rPr>
                    <w:szCs w:val="24"/>
                  </w:rPr>
                  <w:t>Mokėtiną sumą prašome pervesti:</w:t>
                </w:r>
              </w:p>
            </w:tc>
          </w:tr>
          <w:tr>
            <w:tc>
              <w:tcPr>
                <w:tcW w:w="3230"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Sąskaitos savininko pavadinimas</w:t>
                </w:r>
              </w:p>
            </w:tc>
            <w:tc>
              <w:tcPr>
                <w:tcW w:w="640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230"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IBAN</w:t>
                </w:r>
              </w:p>
            </w:tc>
            <w:tc>
              <w:tcPr>
                <w:tcW w:w="640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230"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BIC</w:t>
                </w:r>
              </w:p>
            </w:tc>
            <w:tc>
              <w:tcPr>
                <w:tcW w:w="640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230"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Mokėjimo paskirtis</w:t>
                </w:r>
              </w:p>
            </w:tc>
            <w:tc>
              <w:tcPr>
                <w:tcW w:w="640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bl>
        <w:p>
          <w:pPr/>
        </w:p>
        <w:p>
          <w:pPr>
            <w:suppressAutoHyphens/>
            <w:jc w:val="both"/>
            <w:rPr>
              <w:color w:val="000000"/>
              <w:szCs w:val="24"/>
            </w:rPr>
          </w:pPr>
          <w:r>
            <w:rPr>
              <w:b/>
              <w:color w:val="000000"/>
              <w:szCs w:val="24"/>
            </w:rPr>
            <w:t>Pastaba.</w:t>
          </w:r>
          <w:r>
            <w:rPr>
              <w:color w:val="000000"/>
              <w:szCs w:val="24"/>
            </w:rPr>
            <w:t xml:space="preserve"> Banko mokesčiai išskaitomi iš grąžinamos sumos. Tuo atveju, jei paaiškėtų, kad prašyme grąžinti PVM nurodyti banko sąskaitos duomenys neteisingi, tai grąžinama PVM suma pervedama pagal pareiškėjo pateiktus patikslintus banko duomenis.</w:t>
          </w:r>
        </w:p>
        <w:p>
          <w:pPr>
            <w:suppressAutoHyphens/>
            <w:jc w:val="both"/>
            <w:rPr>
              <w:szCs w:val="24"/>
            </w:rPr>
          </w:pPr>
        </w:p>
        <w:p>
          <w:pPr>
            <w:suppressAutoHyphens/>
            <w:ind w:firstLine="567"/>
            <w:jc w:val="both"/>
            <w:rPr>
              <w:color w:val="000000"/>
              <w:szCs w:val="24"/>
            </w:rPr>
          </w:pPr>
          <w:r>
            <w:rPr>
              <w:color w:val="000000"/>
              <w:szCs w:val="24"/>
            </w:rPr>
            <w:t>Jei, vadovaujantis 2010 m. kovo 16 d. Tarybos direktyvos 2010/24/ES dėl savitarpio pagalbos vykdant reikalavimus, susijusius su mokesčiais, muitais ir kitomis priemonėmis, ar 1988 m. sausio 25 d. Konvencijos dėl savitarpio administracinės pagalbos mokesčių srityje ir 2010 m. gegužės 27 d. Protokolo, kuriuo iš dalies pakeičiama Konvencija dėl savitarpio administracinės pagalbos mokesčių srityje, nuostatomis, yra gautas prašymas dėl pagalbos išieškant mokesčius, grąžintina PVM suma ar jos dalis gali būti ne grąžinta, o panaudota tokiam prašymui vykdyti.</w:t>
          </w:r>
        </w:p>
        <w:p>
          <w:pPr>
            <w:suppressAutoHyphens/>
            <w:jc w:val="both"/>
            <w:rPr>
              <w:color w:val="000000"/>
              <w:szCs w:val="24"/>
            </w:rPr>
          </w:pPr>
        </w:p>
        <w:p>
          <w:pPr>
            <w:suppressAutoHyphens/>
            <w:ind w:firstLine="567"/>
            <w:jc w:val="both"/>
            <w:rPr>
              <w:szCs w:val="24"/>
            </w:rPr>
          </w:pPr>
          <w:r>
            <w:rPr>
              <w:szCs w:val="24"/>
            </w:rPr>
            <w:t>Sprendimas gali būti skundžiamas Lietuvos Respublikos mokesčių administravimo įstatymo IX skyriuje nustatyta tvarka Valstybinei mokesčių inspekcijai prie Lietuvos Respublikos finansų ministerijos (Vasario 16-osios g. 14, 01107 Vilnius) per Vilniaus apskrities valstybinę mokesčių inspekciją (Ulonų g. 2, 01509 Vilnius) ne vėliau kaip per 20 (dvidešimt) dienų nuo šio sprendimo įteikimo užsienio apmokestinamajam asmeniui dienos.</w:t>
          </w:r>
        </w:p>
        <w:p>
          <w:pPr>
            <w:suppressAutoHyphens/>
            <w:jc w:val="both"/>
            <w:rPr>
              <w:color w:val="000000"/>
              <w:szCs w:val="24"/>
            </w:rPr>
          </w:pPr>
        </w:p>
        <w:p>
          <w:pPr>
            <w:suppressAutoHyphens/>
            <w:jc w:val="both"/>
            <w:rPr>
              <w:color w:val="000000"/>
              <w:szCs w:val="24"/>
            </w:rPr>
          </w:pPr>
        </w:p>
        <w:tbl>
          <w:tblPr>
            <w:tblW w:w="9639" w:type="dxa"/>
            <w:tblLayout w:type="fixed"/>
            <w:tblLook w:val="01E0" w:firstRow="1" w:lastRow="1" w:firstColumn="1" w:lastColumn="1" w:noHBand="0" w:noVBand="0"/>
          </w:tblPr>
          <w:tblGrid>
            <w:gridCol w:w="2395"/>
            <w:gridCol w:w="1124"/>
            <w:gridCol w:w="2183"/>
            <w:gridCol w:w="1240"/>
            <w:gridCol w:w="2697"/>
          </w:tblGrid>
          <w:tr>
            <w:tc>
              <w:tcPr>
                <w:tcW w:w="2395" w:type="dxa"/>
                <w:tcBorders>
                  <w:bottom w:val="single" w:sz="4" w:space="0" w:color="000000"/>
                </w:tcBorders>
                <w:vAlign w:val="bottom"/>
              </w:tcPr>
              <w:p>
                <w:pPr>
                  <w:widowControl w:val="0"/>
                  <w:suppressAutoHyphens/>
                  <w:jc w:val="center"/>
                  <w:rPr>
                    <w:color w:val="000000"/>
                    <w:szCs w:val="24"/>
                  </w:rPr>
                </w:pPr>
              </w:p>
            </w:tc>
            <w:tc>
              <w:tcPr>
                <w:tcW w:w="1124" w:type="dxa"/>
              </w:tcPr>
              <w:p>
                <w:pPr>
                  <w:widowControl w:val="0"/>
                  <w:suppressAutoHyphens/>
                  <w:jc w:val="both"/>
                  <w:rPr>
                    <w:color w:val="000000"/>
                    <w:szCs w:val="24"/>
                  </w:rPr>
                </w:pPr>
              </w:p>
            </w:tc>
            <w:tc>
              <w:tcPr>
                <w:tcW w:w="2183" w:type="dxa"/>
                <w:tcBorders>
                  <w:bottom w:val="single" w:sz="4" w:space="0" w:color="000000"/>
                </w:tcBorders>
                <w:vAlign w:val="bottom"/>
              </w:tcPr>
              <w:p>
                <w:pPr>
                  <w:widowControl w:val="0"/>
                  <w:suppressAutoHyphens/>
                  <w:jc w:val="center"/>
                  <w:rPr>
                    <w:color w:val="000000"/>
                    <w:szCs w:val="24"/>
                  </w:rPr>
                </w:pPr>
              </w:p>
            </w:tc>
            <w:tc>
              <w:tcPr>
                <w:tcW w:w="1240" w:type="dxa"/>
              </w:tcPr>
              <w:p>
                <w:pPr>
                  <w:widowControl w:val="0"/>
                  <w:suppressAutoHyphens/>
                  <w:jc w:val="both"/>
                  <w:rPr>
                    <w:color w:val="000000"/>
                    <w:szCs w:val="24"/>
                  </w:rPr>
                </w:pPr>
              </w:p>
            </w:tc>
            <w:tc>
              <w:tcPr>
                <w:tcW w:w="2697" w:type="dxa"/>
                <w:tcBorders>
                  <w:bottom w:val="single" w:sz="4" w:space="0" w:color="000000"/>
                </w:tcBorders>
                <w:vAlign w:val="bottom"/>
              </w:tcPr>
              <w:p>
                <w:pPr>
                  <w:widowControl w:val="0"/>
                  <w:suppressAutoHyphens/>
                  <w:jc w:val="center"/>
                  <w:rPr>
                    <w:color w:val="000000"/>
                    <w:szCs w:val="24"/>
                  </w:rPr>
                </w:pPr>
              </w:p>
            </w:tc>
          </w:tr>
          <w:tr>
            <w:tc>
              <w:tcPr>
                <w:tcW w:w="2395" w:type="dxa"/>
                <w:vAlign w:val="bottom"/>
              </w:tcPr>
              <w:p>
                <w:pPr>
                  <w:widowControl w:val="0"/>
                  <w:suppressAutoHyphens/>
                  <w:jc w:val="center"/>
                  <w:rPr>
                    <w:color w:val="000000"/>
                    <w:szCs w:val="24"/>
                  </w:rPr>
                </w:pPr>
                <w:r>
                  <w:rPr>
                    <w:color w:val="000000"/>
                    <w:szCs w:val="24"/>
                  </w:rPr>
                  <w:t>(pareigų pavadinimas)</w:t>
                </w:r>
              </w:p>
            </w:tc>
            <w:tc>
              <w:tcPr>
                <w:tcW w:w="1124" w:type="dxa"/>
              </w:tcPr>
              <w:p>
                <w:pPr>
                  <w:widowControl w:val="0"/>
                  <w:suppressAutoHyphens/>
                  <w:jc w:val="both"/>
                  <w:rPr>
                    <w:color w:val="000000"/>
                    <w:szCs w:val="24"/>
                  </w:rPr>
                </w:pPr>
              </w:p>
            </w:tc>
            <w:tc>
              <w:tcPr>
                <w:tcW w:w="2183" w:type="dxa"/>
                <w:vAlign w:val="bottom"/>
              </w:tcPr>
              <w:p>
                <w:pPr>
                  <w:widowControl w:val="0"/>
                  <w:suppressAutoHyphens/>
                  <w:jc w:val="center"/>
                  <w:rPr>
                    <w:color w:val="000000"/>
                    <w:szCs w:val="24"/>
                  </w:rPr>
                </w:pPr>
                <w:r>
                  <w:rPr>
                    <w:color w:val="000000"/>
                    <w:szCs w:val="24"/>
                  </w:rPr>
                  <w:t>(parašas)</w:t>
                </w:r>
              </w:p>
            </w:tc>
            <w:tc>
              <w:tcPr>
                <w:tcW w:w="1240" w:type="dxa"/>
              </w:tcPr>
              <w:p>
                <w:pPr>
                  <w:widowControl w:val="0"/>
                  <w:suppressAutoHyphens/>
                  <w:jc w:val="both"/>
                  <w:rPr>
                    <w:color w:val="000000"/>
                    <w:szCs w:val="24"/>
                  </w:rPr>
                </w:pPr>
              </w:p>
            </w:tc>
            <w:tc>
              <w:tcPr>
                <w:tcW w:w="2697" w:type="dxa"/>
                <w:vAlign w:val="bottom"/>
              </w:tcPr>
              <w:p>
                <w:pPr>
                  <w:widowControl w:val="0"/>
                  <w:suppressAutoHyphens/>
                  <w:jc w:val="center"/>
                  <w:rPr>
                    <w:color w:val="000000"/>
                    <w:szCs w:val="24"/>
                  </w:rPr>
                </w:pPr>
                <w:r>
                  <w:rPr>
                    <w:color w:val="000000"/>
                    <w:szCs w:val="24"/>
                  </w:rPr>
                  <w:t>(vardas, pavardė)</w:t>
                </w:r>
              </w:p>
            </w:tc>
          </w:tr>
        </w:tbl>
        <w:p>
          <w:pPr/>
        </w:p>
        <w:sdt>
          <w:sdtPr>
            <w:alias w:val="pabaiga"/>
            <w:tag w:val="part_c827be6511b047b389d8082ee1a0d0ed"/>
            <w:lock w:val="sdtLocked"/>
            <w:richText/>
          </w:sdtPr>
          <w:sdtContent>
            <w:p>
              <w:pPr>
                <w:suppressAutoHyphens/>
                <w:jc w:val="center"/>
              </w:pPr>
              <w:r>
                <w:rPr>
                  <w:szCs w:val="24"/>
                </w:rPr>
                <w:t>______________</w:t>
              </w:r>
            </w:p>
          </w:sdtContent>
        </w:sdt>
      </w:sdtContent>
    </w:sdt>
    <w:sdt>
      <w:sdtPr>
        <w:alias w:val="patvirtinta"/>
        <w:tag w:val="part_056986a326a64100b98ce1e8bd0f65e3"/>
        <w:lock w:val="sdtLocked"/>
        <w:richText/>
      </w:sdtPr>
      <w:sdtContent>
        <w:p>
          <w:pPr>
            <w:tabs>
              <w:tab w:val="left" w:pos="1757"/>
            </w:tabs>
            <w:suppressAutoHyphens/>
            <w:ind w:left="5130"/>
            <w:sectPr>
              <w:pgSz w:w="11906" w:h="16838"/>
              <w:pgMar w:top="1134" w:right="567" w:bottom="1134" w:left="1701" w:header="567" w:footer="567" w:gutter="0"/>
              <w:pgNumType w:start="1"/>
              <w:cols w:space="1296"/>
              <w:formProt w:val="0"/>
              <w:titlePg/>
              <w:docGrid w:linePitch="360"/>
            </w:sectPr>
          </w:pPr>
        </w:p>
        <w:p>
          <w:pPr>
            <w:tabs>
              <w:tab w:val="left" w:pos="1757"/>
            </w:tabs>
            <w:suppressAutoHyphens/>
            <w:ind w:left="5130"/>
            <w:rPr>
              <w:szCs w:val="24"/>
            </w:rPr>
          </w:pPr>
          <w:r>
            <w:rPr>
              <w:szCs w:val="24"/>
            </w:rPr>
            <w:t>PATVIRTINTA</w:t>
          </w:r>
        </w:p>
        <w:p>
          <w:pPr>
            <w:tabs>
              <w:tab w:val="left" w:pos="1757"/>
            </w:tabs>
            <w:suppressAutoHyphens/>
            <w:ind w:left="5130"/>
            <w:rPr>
              <w:szCs w:val="24"/>
            </w:rPr>
          </w:pPr>
          <w:r>
            <w:rPr>
              <w:szCs w:val="24"/>
            </w:rPr>
            <w:t xml:space="preserve">Valstybinės mokesčių inspekcijos prie </w:t>
          </w:r>
        </w:p>
        <w:p>
          <w:pPr>
            <w:tabs>
              <w:tab w:val="left" w:pos="1757"/>
            </w:tabs>
            <w:suppressAutoHyphens/>
            <w:ind w:left="5130"/>
            <w:rPr>
              <w:szCs w:val="24"/>
            </w:rPr>
          </w:pPr>
          <w:r>
            <w:rPr>
              <w:szCs w:val="24"/>
            </w:rPr>
            <w:t xml:space="preserve">Lietuvos Respublikos finansų ministerijos viršininko </w:t>
          </w:r>
        </w:p>
        <w:p>
          <w:pPr>
            <w:suppressAutoHyphens/>
            <w:ind w:left="5130"/>
            <w:jc w:val="both"/>
            <w:rPr>
              <w:szCs w:val="24"/>
            </w:rPr>
          </w:pPr>
          <w:r>
            <w:rPr>
              <w:szCs w:val="24"/>
            </w:rPr>
            <w:t xml:space="preserve">2002 m. lapkričio 25 d. įsakymu Nr. 339 </w:t>
          </w:r>
        </w:p>
        <w:p>
          <w:pPr>
            <w:suppressAutoHyphens/>
            <w:ind w:left="5130"/>
            <w:jc w:val="both"/>
            <w:rPr>
              <w:szCs w:val="24"/>
            </w:rPr>
          </w:pPr>
          <w:r>
            <w:rPr>
              <w:szCs w:val="24"/>
            </w:rPr>
            <w:t xml:space="preserve">(Valstybinės mokesčių inspekcijos prie </w:t>
          </w:r>
        </w:p>
        <w:p>
          <w:pPr>
            <w:suppressAutoHyphens/>
            <w:ind w:left="5130"/>
            <w:jc w:val="both"/>
            <w:rPr>
              <w:szCs w:val="24"/>
            </w:rPr>
          </w:pPr>
          <w:r>
            <w:rPr>
              <w:szCs w:val="24"/>
            </w:rPr>
            <w:t xml:space="preserve">Lietuvos Respublikos finansų ministerijos viršininko </w:t>
          </w:r>
        </w:p>
        <w:p>
          <w:pPr>
            <w:suppressAutoHyphens/>
            <w:ind w:left="5130"/>
            <w:jc w:val="both"/>
            <w:rPr>
              <w:szCs w:val="24"/>
            </w:rPr>
          </w:pPr>
          <w:r>
            <w:rPr>
              <w:szCs w:val="24"/>
            </w:rPr>
            <w:t xml:space="preserve">2023 m. gruodžio 20 d. įsakymo Nr. </w:t>
          </w:r>
          <w:r>
            <w:t>VA-97</w:t>
          </w:r>
          <w:r>
            <w:rPr>
              <w:szCs w:val="24"/>
            </w:rPr>
            <w:t xml:space="preserve"> </w:t>
          </w:r>
        </w:p>
        <w:p>
          <w:pPr>
            <w:suppressAutoHyphens/>
            <w:ind w:left="5130"/>
            <w:jc w:val="both"/>
            <w:rPr>
              <w:szCs w:val="24"/>
            </w:rPr>
          </w:pPr>
          <w:r>
            <w:rPr>
              <w:szCs w:val="24"/>
            </w:rPr>
            <w:t>redakcija)</w:t>
          </w:r>
        </w:p>
        <w:p>
          <w:pPr>
            <w:tabs>
              <w:tab w:val="left" w:pos="1757"/>
            </w:tabs>
            <w:suppressAutoHyphens/>
            <w:ind w:left="5102"/>
            <w:rPr>
              <w:szCs w:val="24"/>
            </w:rPr>
          </w:pPr>
        </w:p>
        <w:p>
          <w:pPr>
            <w:tabs>
              <w:tab w:val="left" w:pos="1757"/>
            </w:tabs>
            <w:suppressAutoHyphens/>
            <w:ind w:firstLine="4860"/>
            <w:rPr>
              <w:szCs w:val="24"/>
            </w:rPr>
          </w:pPr>
        </w:p>
        <w:p>
          <w:pPr>
            <w:tabs>
              <w:tab w:val="left" w:pos="1757"/>
            </w:tabs>
            <w:suppressAutoHyphens/>
            <w:jc w:val="center"/>
            <w:rPr>
              <w:b/>
              <w:szCs w:val="24"/>
            </w:rPr>
          </w:pPr>
          <w:sdt>
            <w:sdtPr>
              <w:alias w:val="Pavadinimas"/>
              <w:tag w:val="title_056986a326a64100b98ce1e8bd0f65e3"/>
              <w:lock w:val="sdtLocked"/>
              <w:richText/>
            </w:sdtPr>
            <w:sdtContent>
              <w:r>
                <w:rPr>
                  <w:b/>
                  <w:szCs w:val="24"/>
                </w:rPr>
                <w:t>(Sprendimo grąžinti perskaičiuotą pridėtinės vertės mokestį kitoje Europos Sąjungos valstybėje narėje įsikūrusiam apmokestinamajam asmeniui po pridėtinės vertės mokesčio atskaitos procento patikslinimo pavyzdinė FR1085 forma)</w:t>
              </w:r>
            </w:sdtContent>
          </w:sdt>
        </w:p>
        <w:p>
          <w:pPr>
            <w:tabs>
              <w:tab w:val="left" w:pos="1757"/>
            </w:tabs>
            <w:suppressAutoHyphens/>
            <w:jc w:val="center"/>
            <w:rPr>
              <w:b/>
              <w:szCs w:val="24"/>
            </w:rPr>
          </w:pPr>
        </w:p>
        <w:p>
          <w:pPr>
            <w:suppressAutoHyphens/>
            <w:jc w:val="center"/>
            <w:rPr>
              <w:color w:val="000000"/>
              <w:szCs w:val="24"/>
            </w:rPr>
          </w:pPr>
          <w:r>
            <w:rPr>
              <w:lang w:eastAsia="lt-LT"/>
            </w:rPr>
            <w:drawing>
              <wp:inline distT="0" distB="0" distL="0" distR="0">
                <wp:extent cx="541020" cy="53340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3"/>
                        <pic:cNvPicPr>
                          <a:picLocks noChangeAspect="1" noChangeArrowheads="1"/>
                        </pic:cNvPicPr>
                      </pic:nvPicPr>
                      <pic:blipFill>
                        <a:blip r:embed="rId23"/>
                        <a:stretch>
                          <a:fillRect/>
                        </a:stretch>
                      </pic:blipFill>
                      <pic:spPr bwMode="auto">
                        <a:xfrm>
                          <a:off x="0" y="0"/>
                          <a:ext cx="541020" cy="533400"/>
                        </a:xfrm>
                        <a:prstGeom prst="rect">
                          <a:avLst/>
                        </a:prstGeom>
                      </pic:spPr>
                    </pic:pic>
                  </a:graphicData>
                </a:graphic>
              </wp:inline>
            </w:drawing>
          </w:r>
        </w:p>
        <w:p>
          <w:pPr>
            <w:suppressAutoHyphens/>
            <w:jc w:val="center"/>
            <w:rPr>
              <w:i/>
              <w:color w:val="000000"/>
              <w:szCs w:val="24"/>
            </w:rPr>
          </w:pPr>
        </w:p>
        <w:p>
          <w:pPr>
            <w:suppressAutoHyphens/>
            <w:jc w:val="center"/>
            <w:rPr>
              <w:b/>
              <w:color w:val="000000"/>
              <w:szCs w:val="24"/>
            </w:rPr>
          </w:pPr>
          <w:r>
            <w:rPr>
              <w:b/>
              <w:color w:val="000000"/>
              <w:szCs w:val="24"/>
            </w:rPr>
            <w:t>VILNIAUS APSKRITIES VALSTYBINĖS MOKESČIŲ INSPEKCIJOS VIRŠININKAS</w:t>
          </w:r>
        </w:p>
        <w:p>
          <w:pPr>
            <w:suppressAutoHyphens/>
            <w:jc w:val="center"/>
            <w:rPr>
              <w:color w:val="000000"/>
              <w:szCs w:val="24"/>
            </w:rPr>
          </w:pPr>
        </w:p>
        <w:p>
          <w:pPr>
            <w:suppressAutoHyphens/>
            <w:jc w:val="center"/>
            <w:rPr>
              <w:b/>
              <w:color w:val="000000"/>
              <w:szCs w:val="24"/>
            </w:rPr>
          </w:pPr>
          <w:r>
            <w:rPr>
              <w:b/>
              <w:color w:val="000000"/>
              <w:szCs w:val="24"/>
            </w:rPr>
            <w:t>SPRENDIMAS</w:t>
          </w:r>
        </w:p>
        <w:p>
          <w:pPr>
            <w:suppressAutoHyphens/>
            <w:jc w:val="center"/>
            <w:rPr>
              <w:b/>
              <w:color w:val="000000"/>
              <w:szCs w:val="24"/>
            </w:rPr>
          </w:pPr>
          <w:r>
            <w:rPr>
              <w:b/>
              <w:color w:val="000000"/>
              <w:szCs w:val="24"/>
            </w:rPr>
            <w:t>GRĄŽINTI PERSKAIČIUOTĄ PRIDĖTINĖS VERTĖS MOKESTĮ KITOJE EUROPOS SĄJUNGOS VALSTYBĖJE NARĖJE ĮSIKŪRUSIAM APMOKESTINAMAJAM ASMENIUI PO PRIDĖTINĖS VERTĖS MOKESČIO ATSKAITOS PROCENTO PATIKSLINIMO FR1085</w:t>
          </w:r>
        </w:p>
        <w:p>
          <w:pPr>
            <w:tabs>
              <w:tab w:val="right" w:leader="underscore" w:pos="5096"/>
            </w:tabs>
            <w:suppressAutoHyphens/>
            <w:jc w:val="center"/>
            <w:rPr>
              <w:color w:val="000000"/>
              <w:szCs w:val="24"/>
            </w:rPr>
          </w:pPr>
        </w:p>
        <w:p>
          <w:pPr>
            <w:tabs>
              <w:tab w:val="right" w:leader="underscore" w:pos="5096"/>
            </w:tabs>
            <w:suppressAutoHyphens/>
            <w:jc w:val="center"/>
            <w:rPr>
              <w:color w:val="000000"/>
              <w:szCs w:val="24"/>
            </w:rPr>
          </w:pPr>
        </w:p>
        <w:tbl>
          <w:tblPr>
            <w:tblW w:w="4800" w:type="dxa"/>
            <w:tblInd w:w="2508" w:type="dxa"/>
            <w:tblLayout w:type="fixed"/>
            <w:tblLook w:val="01E0" w:firstRow="1" w:lastRow="1" w:firstColumn="1" w:lastColumn="1" w:noHBand="0" w:noVBand="0"/>
          </w:tblPr>
          <w:tblGrid>
            <w:gridCol w:w="2100"/>
            <w:gridCol w:w="800"/>
            <w:gridCol w:w="1900"/>
          </w:tblGrid>
          <w:tr>
            <w:tc>
              <w:tcPr>
                <w:tcW w:w="2100" w:type="dxa"/>
                <w:tcBorders>
                  <w:bottom w:val="single" w:sz="4" w:space="0" w:color="000000"/>
                </w:tcBorders>
                <w:vAlign w:val="bottom"/>
              </w:tcPr>
              <w:p>
                <w:pPr>
                  <w:widowControl w:val="0"/>
                  <w:suppressAutoHyphens/>
                  <w:jc w:val="center"/>
                  <w:rPr>
                    <w:color w:val="000000"/>
                    <w:szCs w:val="24"/>
                  </w:rPr>
                </w:pPr>
              </w:p>
            </w:tc>
            <w:tc>
              <w:tcPr>
                <w:tcW w:w="800" w:type="dxa"/>
              </w:tcPr>
              <w:p>
                <w:pPr>
                  <w:widowControl w:val="0"/>
                  <w:suppressAutoHyphens/>
                  <w:jc w:val="both"/>
                  <w:rPr>
                    <w:color w:val="000000"/>
                    <w:szCs w:val="24"/>
                  </w:rPr>
                </w:pPr>
              </w:p>
            </w:tc>
            <w:tc>
              <w:tcPr>
                <w:tcW w:w="1900" w:type="dxa"/>
                <w:tcBorders>
                  <w:bottom w:val="single" w:sz="4" w:space="0" w:color="000000"/>
                </w:tcBorders>
              </w:tcPr>
              <w:p>
                <w:pPr>
                  <w:widowControl w:val="0"/>
                  <w:suppressAutoHyphens/>
                  <w:jc w:val="both"/>
                  <w:rPr>
                    <w:color w:val="000000"/>
                    <w:szCs w:val="24"/>
                  </w:rPr>
                </w:pPr>
                <w:r>
                  <w:rPr>
                    <w:color w:val="000000"/>
                    <w:szCs w:val="24"/>
                  </w:rPr>
                  <w:t xml:space="preserve">Nr. </w:t>
                </w:r>
              </w:p>
            </w:tc>
          </w:tr>
          <w:tr>
            <w:tc>
              <w:tcPr>
                <w:tcW w:w="2100" w:type="dxa"/>
                <w:tcBorders>
                  <w:top w:val="single" w:sz="4" w:space="0" w:color="000000"/>
                </w:tcBorders>
              </w:tcPr>
              <w:p>
                <w:pPr>
                  <w:widowControl w:val="0"/>
                  <w:suppressAutoHyphens/>
                  <w:jc w:val="center"/>
                  <w:rPr>
                    <w:color w:val="000000"/>
                    <w:szCs w:val="24"/>
                  </w:rPr>
                </w:pPr>
                <w:r>
                  <w:rPr>
                    <w:color w:val="000000"/>
                    <w:szCs w:val="24"/>
                  </w:rPr>
                  <w:t>(data)</w:t>
                </w:r>
              </w:p>
            </w:tc>
            <w:tc>
              <w:tcPr>
                <w:tcW w:w="800" w:type="dxa"/>
              </w:tcPr>
              <w:p>
                <w:pPr>
                  <w:widowControl w:val="0"/>
                  <w:suppressAutoHyphens/>
                  <w:jc w:val="center"/>
                  <w:rPr>
                    <w:color w:val="000000"/>
                    <w:szCs w:val="24"/>
                  </w:rPr>
                </w:pPr>
              </w:p>
            </w:tc>
            <w:tc>
              <w:tcPr>
                <w:tcW w:w="1900" w:type="dxa"/>
                <w:tcBorders>
                  <w:top w:val="single" w:sz="4" w:space="0" w:color="000000"/>
                </w:tcBorders>
              </w:tcPr>
              <w:p>
                <w:pPr>
                  <w:widowControl w:val="0"/>
                  <w:suppressAutoHyphens/>
                  <w:jc w:val="center"/>
                  <w:rPr>
                    <w:color w:val="000000"/>
                    <w:szCs w:val="24"/>
                  </w:rPr>
                </w:pPr>
              </w:p>
            </w:tc>
          </w:tr>
        </w:tbl>
        <w:p>
          <w:pPr>
            <w:suppressAutoHyphens/>
            <w:jc w:val="both"/>
            <w:rPr>
              <w:color w:val="000000"/>
              <w:szCs w:val="24"/>
            </w:rPr>
          </w:pPr>
        </w:p>
        <w:p>
          <w:pPr>
            <w:suppressAutoHyphens/>
            <w:ind w:firstLine="567"/>
            <w:jc w:val="both"/>
            <w:rPr>
              <w:color w:val="000000"/>
              <w:szCs w:val="24"/>
            </w:rPr>
          </w:pPr>
          <w:r>
            <w:rPr>
              <w:color w:val="000000"/>
              <w:szCs w:val="24"/>
            </w:rPr>
            <w:t xml:space="preserve">Vadovaudamasis (-si) Lietuvos Respublikos pridėtinės vertės mokesčio įstatymu, Prašymų grąžinti kitose valstybėse narėse įsikūrusiems apmokestinamiesiems asmenims jų Lietuvos Respublikoje sumokėtą PVM pateikimo ir nagrinėjimo bei PVM grąžinimo taisyklėmis, patvirtintomis Lietuvos Respublikos finansų ministro 2002 m. birželio 21 d. įsakymu Nr. 189 „Dėl Prašymų grąžinti užsienio apmokestinamiesiems asmenims jų sumokėtą PVM pateikimo ir nagrinėjimo bei PVM grąžinimo taisyklių patvirtinimo“, </w:t>
          </w:r>
        </w:p>
        <w:p>
          <w:pPr>
            <w:suppressAutoHyphens/>
            <w:jc w:val="both"/>
            <w:rPr>
              <w:color w:val="000000"/>
              <w:szCs w:val="24"/>
            </w:rPr>
          </w:pPr>
        </w:p>
        <w:p>
          <w:pPr>
            <w:suppressAutoHyphens/>
            <w:ind w:firstLine="567"/>
            <w:jc w:val="both"/>
            <w:rPr>
              <w:spacing w:val="60"/>
              <w:szCs w:val="24"/>
            </w:rPr>
          </w:pPr>
          <w:r>
            <w:rPr>
              <w:spacing w:val="60"/>
              <w:szCs w:val="24"/>
            </w:rPr>
            <w:t>nusprendžiu</w:t>
          </w:r>
        </w:p>
        <w:p>
          <w:pPr>
            <w:suppressAutoHyphens/>
            <w:jc w:val="both"/>
            <w:rPr>
              <w:szCs w:val="24"/>
            </w:rPr>
          </w:pPr>
        </w:p>
        <w:p>
          <w:pPr>
            <w:suppressAutoHyphens/>
            <w:jc w:val="both"/>
            <w:rPr>
              <w:color w:val="000000"/>
              <w:szCs w:val="24"/>
            </w:rPr>
          </w:pPr>
          <w:r>
            <w:rPr>
              <w:color w:val="000000"/>
              <w:szCs w:val="24"/>
            </w:rPr>
            <w:t>patenkinti užsienio apmokestinamojo asmens prašymą / nepatenkinti užsienio apmokestinamojo asmens prašymo perskaičiuoti grąžintiną pridėtinės vertės mokestį (toliau – PVM) dėl PVM atskaitos procento patikslinimo:</w:t>
          </w:r>
        </w:p>
        <w:p>
          <w:pPr>
            <w:tabs>
              <w:tab w:val="right" w:leader="underscore" w:pos="1690"/>
            </w:tabs>
            <w:suppressAutoHyphens/>
            <w:jc w:val="both"/>
            <w:rPr>
              <w:color w:val="000000"/>
              <w:szCs w:val="24"/>
            </w:rPr>
          </w:pPr>
        </w:p>
        <w:tbl>
          <w:tblPr>
            <w:tblW w:w="9639" w:type="dxa"/>
            <w:tblLayout w:type="fixed"/>
            <w:tblLook w:val="00A0" w:firstRow="1" w:lastRow="0" w:firstColumn="1" w:lastColumn="0" w:noHBand="0" w:noVBand="0"/>
          </w:tblPr>
          <w:tblGrid>
            <w:gridCol w:w="3803"/>
            <w:gridCol w:w="5836"/>
          </w:tblGrid>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 xml:space="preserve">Užsienio apmokestinamojo asmens: </w:t>
                </w:r>
              </w:p>
            </w:tc>
            <w:tc>
              <w:tcPr>
                <w:tcW w:w="5835" w:type="dxa"/>
                <w:tcBorders>
                  <w:left w:val="single" w:sz="4" w:space="0" w:color="000000"/>
                  <w:bottom w:val="single" w:sz="4" w:space="0" w:color="000000"/>
                </w:tcBorders>
              </w:tcPr>
              <w:p>
                <w:pPr>
                  <w:widowControl w:val="0"/>
                  <w:suppressAutoHyphens/>
                  <w:jc w:val="both"/>
                  <w:rPr>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Pavadinimas (vardas, pavardė)</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PVM mokėtojo kodas / Mokesčių mokėtojo kodas</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r>
          <w:tr>
            <w:tc>
              <w:tcPr>
                <w:tcW w:w="3803" w:type="dxa"/>
                <w:tcBorders>
                  <w:top w:val="single" w:sz="4" w:space="0" w:color="000000"/>
                  <w:left w:val="single" w:sz="4" w:space="0" w:color="000000"/>
                  <w:bottom w:val="single" w:sz="4" w:space="0" w:color="000000"/>
                  <w:right w:val="single" w:sz="4" w:space="0" w:color="000000"/>
                </w:tcBorders>
              </w:tcPr>
              <w:p>
                <w:pPr>
                  <w:widowControl w:val="0"/>
                  <w:suppressAutoHyphens/>
                  <w:rPr>
                    <w:szCs w:val="24"/>
                  </w:rPr>
                </w:pPr>
                <w:r>
                  <w:rPr>
                    <w:szCs w:val="24"/>
                  </w:rPr>
                  <w:t>Prašymo patikslinti PVM atskaitos procentą numeris</w:t>
                </w:r>
              </w:p>
            </w:tc>
            <w:tc>
              <w:tcPr>
                <w:tcW w:w="5835"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r>
        </w:tbl>
        <w:p>
          <w:pPr>
            <w:tabs>
              <w:tab w:val="right" w:leader="underscore" w:pos="1690"/>
            </w:tabs>
            <w:suppressAutoHyphens/>
            <w:jc w:val="both"/>
            <w:rPr>
              <w:color w:val="000000"/>
              <w:szCs w:val="24"/>
            </w:rPr>
          </w:pPr>
        </w:p>
        <w:p>
          <w:pPr>
            <w:suppressAutoHyphens/>
            <w:jc w:val="both"/>
            <w:rPr>
              <w:szCs w:val="24"/>
            </w:rPr>
          </w:pPr>
          <w:r>
            <w:rPr>
              <w:szCs w:val="24"/>
            </w:rPr>
            <w:t>Sprendimų grąžinti PVM pakeitimas, užsienio apmokestinamajam asmeniui patikslinus PVM atskaitos procentą:</w:t>
          </w:r>
        </w:p>
        <w:p>
          <w:pPr>
            <w:suppressAutoHyphens/>
            <w:jc w:val="both"/>
            <w:rPr>
              <w:szCs w:val="24"/>
            </w:rPr>
          </w:pPr>
        </w:p>
        <w:tbl>
          <w:tblPr>
            <w:tblW w:w="9639" w:type="dxa"/>
            <w:tblLayout w:type="fixed"/>
            <w:tblLook w:val="00A0" w:firstRow="1" w:lastRow="0" w:firstColumn="1" w:lastColumn="0" w:noHBand="0" w:noVBand="0"/>
          </w:tblPr>
          <w:tblGrid>
            <w:gridCol w:w="2579"/>
            <w:gridCol w:w="2824"/>
            <w:gridCol w:w="4236"/>
          </w:tblGrid>
          <w:tr>
            <w:tc>
              <w:tcPr>
                <w:tcW w:w="2579"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rPr>
                </w:pPr>
                <w:r>
                  <w:rPr>
                    <w:szCs w:val="24"/>
                  </w:rPr>
                  <w:t>Prašymo grąžinti PVM numeris</w:t>
                </w:r>
              </w:p>
            </w:tc>
            <w:tc>
              <w:tcPr>
                <w:tcW w:w="2824"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rPr>
                </w:pPr>
                <w:r>
                  <w:rPr>
                    <w:szCs w:val="24"/>
                  </w:rPr>
                  <w:t xml:space="preserve">Grąžintina PVM suma </w:t>
                  <w:br/>
                  <w:t>iki atskaitos procento patikslinimo</w:t>
                </w:r>
              </w:p>
            </w:tc>
            <w:tc>
              <w:tcPr>
                <w:tcW w:w="4236"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szCs w:val="24"/>
                  </w:rPr>
                </w:pPr>
                <w:r>
                  <w:rPr>
                    <w:szCs w:val="24"/>
                  </w:rPr>
                  <w:t>Perskaičiuota grąžintina PVM suma po PVM atskaitos procento patikslinimo</w:t>
                </w:r>
              </w:p>
            </w:tc>
          </w:tr>
          <w:tr>
            <w:tc>
              <w:tcPr>
                <w:tcW w:w="257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2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423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bl>
        <w:p>
          <w:pPr>
            <w:suppressAutoHyphens/>
            <w:jc w:val="both"/>
            <w:rPr>
              <w:szCs w:val="24"/>
            </w:rPr>
          </w:pPr>
        </w:p>
        <w:p>
          <w:pPr>
            <w:suppressAutoHyphens/>
            <w:jc w:val="both"/>
            <w:rPr>
              <w:szCs w:val="24"/>
            </w:rPr>
          </w:pPr>
          <w:r>
            <w:rPr>
              <w:szCs w:val="24"/>
            </w:rPr>
            <w:t>Perskaičiavimo priežastys:</w:t>
          </w:r>
        </w:p>
        <w:tbl>
          <w:tblPr>
            <w:tblW w:w="9637" w:type="dxa"/>
            <w:tblLayout w:type="fixed"/>
            <w:tblLook w:val="00A0" w:firstRow="1" w:lastRow="0" w:firstColumn="1" w:lastColumn="0" w:noHBand="0" w:noVBand="0"/>
          </w:tblPr>
          <w:tblGrid>
            <w:gridCol w:w="764"/>
            <w:gridCol w:w="2031"/>
            <w:gridCol w:w="2836"/>
            <w:gridCol w:w="2166"/>
            <w:gridCol w:w="1840"/>
          </w:tblGrid>
          <w:tr>
            <w:tc>
              <w:tcPr>
                <w:tcW w:w="76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Eil. Nr.</w:t>
                </w:r>
              </w:p>
            </w:tc>
            <w:tc>
              <w:tcPr>
                <w:tcW w:w="2031"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p>
            </w:tc>
            <w:tc>
              <w:tcPr>
                <w:tcW w:w="283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Perskaičiavimo priežastys</w:t>
                </w:r>
              </w:p>
            </w:tc>
            <w:tc>
              <w:tcPr>
                <w:tcW w:w="216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Perskaičiavimo suma</w:t>
                </w:r>
              </w:p>
            </w:tc>
            <w:tc>
              <w:tcPr>
                <w:tcW w:w="1840" w:type="dxa"/>
                <w:tcBorders>
                  <w:left w:val="single" w:sz="4" w:space="0" w:color="000000"/>
                  <w:bottom w:val="single" w:sz="4" w:space="0" w:color="000000"/>
                </w:tcBorders>
              </w:tcPr>
              <w:p>
                <w:pPr>
                  <w:widowControl w:val="0"/>
                  <w:suppressAutoHyphens/>
                  <w:jc w:val="both"/>
                  <w:rPr>
                    <w:szCs w:val="24"/>
                  </w:rPr>
                </w:pPr>
              </w:p>
            </w:tc>
          </w:tr>
          <w:tr>
            <w:tc>
              <w:tcPr>
                <w:tcW w:w="76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031"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83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216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840"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(Valiuta)</w:t>
                </w:r>
              </w:p>
            </w:tc>
          </w:tr>
        </w:tbl>
        <w:p>
          <w:pPr>
            <w:suppressAutoHyphens/>
            <w:jc w:val="both"/>
            <w:rPr>
              <w:szCs w:val="24"/>
            </w:rPr>
          </w:pPr>
        </w:p>
        <w:p>
          <w:pPr>
            <w:suppressAutoHyphens/>
            <w:jc w:val="both"/>
            <w:rPr>
              <w:szCs w:val="24"/>
            </w:rPr>
          </w:pPr>
          <w:r>
            <w:rPr>
              <w:szCs w:val="24"/>
            </w:rPr>
            <w:t>Sprendimo netenkinti prašymo perskaičiuoti grąžintiną PVM po PVM atskaitos procento patikslinimo priėmimo priežastys:</w:t>
          </w:r>
        </w:p>
        <w:tbl>
          <w:tblPr>
            <w:tblW w:w="9639" w:type="dxa"/>
            <w:tblLayout w:type="fixed"/>
            <w:tblLook w:val="00A0" w:firstRow="1" w:lastRow="0" w:firstColumn="1" w:lastColumn="0" w:noHBand="0" w:noVBand="0"/>
          </w:tblPr>
          <w:tblGrid>
            <w:gridCol w:w="938"/>
            <w:gridCol w:w="3178"/>
            <w:gridCol w:w="5523"/>
          </w:tblGrid>
          <w:tr>
            <w:tc>
              <w:tcPr>
                <w:tcW w:w="938"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Eil. Nr.</w:t>
                </w:r>
              </w:p>
            </w:tc>
            <w:tc>
              <w:tcPr>
                <w:tcW w:w="3178"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 xml:space="preserve">Priežastis </w:t>
                </w:r>
              </w:p>
            </w:tc>
            <w:tc>
              <w:tcPr>
                <w:tcW w:w="552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Papildoma informacija</w:t>
                </w:r>
              </w:p>
            </w:tc>
          </w:tr>
          <w:tr>
            <w:tc>
              <w:tcPr>
                <w:tcW w:w="938"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r>
                  <w:rPr>
                    <w:color w:val="A6A6A6"/>
                    <w:szCs w:val="24"/>
                  </w:rPr>
                  <w:t>.</w:t>
                </w:r>
              </w:p>
            </w:tc>
            <w:tc>
              <w:tcPr>
                <w:tcW w:w="3178"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5523"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bl>
        <w:p>
          <w:pPr>
            <w:suppressAutoHyphens/>
            <w:jc w:val="both"/>
            <w:rPr>
              <w:szCs w:val="24"/>
            </w:rPr>
          </w:pPr>
        </w:p>
        <w:p>
          <w:pPr>
            <w:suppressAutoHyphens/>
            <w:jc w:val="both"/>
            <w:rPr>
              <w:szCs w:val="24"/>
            </w:rPr>
          </w:pPr>
          <w:r>
            <w:rPr>
              <w:szCs w:val="24"/>
            </w:rPr>
            <w:t>Papildoma informacija:</w:t>
          </w:r>
        </w:p>
        <w:tbl>
          <w:tblPr>
            <w:tblW w:w="9639" w:type="dxa"/>
            <w:tblLayout w:type="fixed"/>
            <w:tblLook w:val="00A0" w:firstRow="1" w:lastRow="0" w:firstColumn="1" w:lastColumn="0" w:noHBand="0" w:noVBand="0"/>
          </w:tblPr>
          <w:tblGrid>
            <w:gridCol w:w="6087"/>
            <w:gridCol w:w="2316"/>
            <w:gridCol w:w="1236"/>
          </w:tblGrid>
          <w:tr>
            <w:tc>
              <w:tcPr>
                <w:tcW w:w="6087" w:type="dxa"/>
                <w:tcBorders>
                  <w:top w:val="single" w:sz="4" w:space="0" w:color="000000"/>
                  <w:left w:val="single" w:sz="4" w:space="0" w:color="000000"/>
                  <w:bottom w:val="single" w:sz="4" w:space="0" w:color="000000"/>
                  <w:right w:val="single" w:sz="4" w:space="0" w:color="000000"/>
                </w:tcBorders>
                <w:vAlign w:val="center"/>
              </w:tcPr>
              <w:p>
                <w:pPr>
                  <w:widowControl w:val="0"/>
                  <w:suppressAutoHyphens/>
                  <w:rPr>
                    <w:szCs w:val="24"/>
                  </w:rPr>
                </w:pPr>
                <w:r>
                  <w:rPr>
                    <w:szCs w:val="24"/>
                  </w:rPr>
                  <w:t>Grąžintos PVM sumos pokytis, patikslinus PVM atskaitos procentą</w:t>
                </w:r>
              </w:p>
            </w:tc>
            <w:tc>
              <w:tcPr>
                <w:tcW w:w="23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236" w:type="dxa"/>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color w:val="A6A6A6"/>
                    <w:szCs w:val="24"/>
                  </w:rPr>
                </w:pPr>
                <w:r>
                  <w:rPr>
                    <w:szCs w:val="24"/>
                  </w:rPr>
                  <w:t>(Valiuta)</w:t>
                </w:r>
              </w:p>
            </w:tc>
          </w:tr>
          <w:tr>
            <w:tc>
              <w:tcPr>
                <w:tcW w:w="6087"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Pareiškėjui grąžinamas PVM (po perskaičiavimo)</w:t>
                </w:r>
              </w:p>
              <w:p>
                <w:pPr>
                  <w:widowControl w:val="0"/>
                  <w:suppressAutoHyphens/>
                  <w:jc w:val="both"/>
                  <w:rPr>
                    <w:szCs w:val="24"/>
                  </w:rPr>
                </w:pPr>
                <w:r>
                  <w:rPr>
                    <w:szCs w:val="24"/>
                  </w:rPr>
                  <w:t>Pareiškėjo mokėtina suma (po perskaičiavimo)</w:t>
                </w:r>
              </w:p>
            </w:tc>
            <w:tc>
              <w:tcPr>
                <w:tcW w:w="2316"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c>
              <w:tcPr>
                <w:tcW w:w="1236" w:type="dxa"/>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color w:val="A6A6A6"/>
                    <w:szCs w:val="24"/>
                  </w:rPr>
                </w:pPr>
                <w:r>
                  <w:rPr>
                    <w:szCs w:val="24"/>
                  </w:rPr>
                  <w:t>(Valiuta)</w:t>
                </w:r>
              </w:p>
            </w:tc>
          </w:tr>
        </w:tbl>
        <w:p>
          <w:pPr>
            <w:suppressAutoHyphens/>
            <w:jc w:val="both"/>
            <w:rPr>
              <w:szCs w:val="24"/>
            </w:rPr>
          </w:pPr>
        </w:p>
        <w:tbl>
          <w:tblPr>
            <w:tblW w:w="9637" w:type="dxa"/>
            <w:tblLayout w:type="fixed"/>
            <w:tblLook w:val="00A0" w:firstRow="1" w:lastRow="0" w:firstColumn="1" w:lastColumn="0" w:noHBand="0" w:noVBand="0"/>
          </w:tblPr>
          <w:tblGrid>
            <w:gridCol w:w="3822"/>
            <w:gridCol w:w="5815"/>
          </w:tblGrid>
          <w:tr>
            <w:tc>
              <w:tcPr>
                <w:tcW w:w="9636" w:type="dxa"/>
                <w:gridSpan w:val="2"/>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r>
                  <w:rPr>
                    <w:szCs w:val="24"/>
                  </w:rPr>
                  <w:t xml:space="preserve">Grąžintiną PVM sumą numatyta pervesti: </w:t>
                </w:r>
              </w:p>
              <w:p>
                <w:pPr>
                  <w:widowControl w:val="0"/>
                  <w:suppressAutoHyphens/>
                  <w:jc w:val="both"/>
                  <w:rPr>
                    <w:color w:val="A6A6A6"/>
                    <w:szCs w:val="24"/>
                  </w:rPr>
                </w:pPr>
                <w:r>
                  <w:rPr>
                    <w:szCs w:val="24"/>
                  </w:rPr>
                  <w:t>Mokėtiną sumą prašome pervesti:</w:t>
                </w:r>
              </w:p>
            </w:tc>
          </w:tr>
          <w:tr>
            <w:tc>
              <w:tcPr>
                <w:tcW w:w="382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Sąskaitos savininko pavadinimas</w:t>
                </w:r>
              </w:p>
            </w:tc>
            <w:tc>
              <w:tcPr>
                <w:tcW w:w="58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82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IBAN</w:t>
                </w:r>
              </w:p>
            </w:tc>
            <w:tc>
              <w:tcPr>
                <w:tcW w:w="58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822"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szCs w:val="24"/>
                  </w:rPr>
                </w:pPr>
                <w:r>
                  <w:rPr>
                    <w:szCs w:val="24"/>
                  </w:rPr>
                  <w:t>BIC</w:t>
                </w:r>
              </w:p>
            </w:tc>
            <w:tc>
              <w:tcPr>
                <w:tcW w:w="58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r>
            <w:tc>
              <w:tcPr>
                <w:tcW w:w="3822" w:type="dxa"/>
                <w:tcBorders>
                  <w:top w:val="single" w:sz="4" w:space="0" w:color="000000"/>
                  <w:left w:val="single" w:sz="4" w:space="0" w:color="000000"/>
                  <w:bottom w:val="single" w:sz="4" w:space="0" w:color="000000"/>
                  <w:right w:val="single" w:sz="4" w:space="0" w:color="000000"/>
                </w:tcBorders>
                <w:vAlign w:val="center"/>
              </w:tcPr>
              <w:p>
                <w:pPr>
                  <w:widowControl w:val="0"/>
                  <w:suppressAutoHyphens/>
                  <w:rPr>
                    <w:szCs w:val="24"/>
                  </w:rPr>
                </w:pPr>
                <w:r>
                  <w:rPr>
                    <w:szCs w:val="24"/>
                  </w:rPr>
                  <w:t>Mokėjimo paskirtis</w:t>
                </w:r>
              </w:p>
            </w:tc>
            <w:tc>
              <w:tcPr>
                <w:tcW w:w="5814"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A6A6A6"/>
                    <w:szCs w:val="24"/>
                  </w:rPr>
                </w:pPr>
              </w:p>
            </w:tc>
          </w:tr>
        </w:tbl>
        <w:p>
          <w:pPr/>
        </w:p>
        <w:p>
          <w:pPr>
            <w:suppressAutoHyphens/>
            <w:jc w:val="both"/>
            <w:rPr>
              <w:color w:val="000000"/>
              <w:szCs w:val="24"/>
            </w:rPr>
          </w:pPr>
          <w:r>
            <w:rPr>
              <w:b/>
              <w:color w:val="000000"/>
              <w:szCs w:val="24"/>
            </w:rPr>
            <w:t>Pastaba.</w:t>
          </w:r>
          <w:r>
            <w:rPr>
              <w:color w:val="000000"/>
              <w:szCs w:val="24"/>
            </w:rPr>
            <w:t xml:space="preserve"> Banko mokesčiai išskaitomi iš grąžinamos sumos. Tuo atveju, jei paaiškėtų, kad paskutiniame prašyme grąžinti PVM nurodyti banko sąskaitos duomenys neteisingi, tai grąžinama PVM suma pervedama pagal pareiškėjo pateiktus patikslintus banko duomenis.</w:t>
          </w:r>
        </w:p>
        <w:p>
          <w:pPr>
            <w:suppressAutoHyphens/>
            <w:jc w:val="both"/>
            <w:rPr>
              <w:szCs w:val="24"/>
            </w:rPr>
          </w:pPr>
        </w:p>
        <w:p>
          <w:pPr>
            <w:suppressAutoHyphens/>
            <w:ind w:firstLine="567"/>
            <w:jc w:val="both"/>
            <w:rPr>
              <w:color w:val="000000"/>
              <w:szCs w:val="24"/>
            </w:rPr>
          </w:pPr>
          <w:r>
            <w:rPr>
              <w:color w:val="000000"/>
              <w:szCs w:val="24"/>
            </w:rPr>
            <w:t>Tuo atveju, jei vadovaujantis 2010 m. kovo 16 d. Tarybos direktyvos 2010/24/ES dėl savitarpio pagalbos vykdant reikalavimus, susijusius su mokesčiais, muitais ir kitomis priemonėmis, ar 1988 m. sausio 25 d. Konvencijos dėl savitarpio administracinės pagalbos mokesčių srityje ir 2010 m. gegužės 27 d. Protokolo, kuriuo iš dalies pakeičiama Konvencija dėl savitarpio administracinės pagalbos mokesčių srityje, nuostatomis, yra gautas prašymas dėl pagalbos išieškant mokesčius, grąžintina PVM suma ar jos dalis gali būti ne grąžinta, o panaudota tokiam prašymui vykdyti.</w:t>
          </w:r>
        </w:p>
        <w:p>
          <w:pPr>
            <w:suppressAutoHyphens/>
            <w:jc w:val="both"/>
            <w:rPr>
              <w:color w:val="000000"/>
              <w:szCs w:val="24"/>
            </w:rPr>
          </w:pPr>
        </w:p>
        <w:p>
          <w:pPr>
            <w:suppressAutoHyphens/>
            <w:ind w:firstLine="567"/>
            <w:jc w:val="both"/>
            <w:rPr>
              <w:szCs w:val="24"/>
            </w:rPr>
          </w:pPr>
          <w:r>
            <w:rPr>
              <w:szCs w:val="24"/>
            </w:rPr>
            <w:t>Sprendimas gali būti skundžiamas Lietuvos Respublikos mokesčių administravimo įstatymo IX skyriuje nustatyta tvarka Valstybinei mokesčių inspekcijai prie Lietuvos Respublikos finansų ministerijos (Vasario 16-osios g. 14, 01107  Vilnius) per Vilniaus apskrities valstybinę mokesčių inspekciją (Ulonų g. 2, 01509 Vilnius) ne vėliau kaip per 20 (dvidešimt) dienų nuo šio sprendimo įteikimo užsienio apmokestinamajam asmeniui dienos.</w:t>
          </w:r>
        </w:p>
        <w:p>
          <w:pPr>
            <w:suppressAutoHyphens/>
            <w:jc w:val="both"/>
            <w:rPr>
              <w:color w:val="000000"/>
              <w:szCs w:val="24"/>
            </w:rPr>
          </w:pPr>
        </w:p>
        <w:tbl>
          <w:tblPr>
            <w:tblW w:w="9639" w:type="dxa"/>
            <w:tblLayout w:type="fixed"/>
            <w:tblLook w:val="01E0" w:firstRow="1" w:lastRow="1" w:firstColumn="1" w:lastColumn="1" w:noHBand="0" w:noVBand="0"/>
          </w:tblPr>
          <w:tblGrid>
            <w:gridCol w:w="2395"/>
            <w:gridCol w:w="1004"/>
            <w:gridCol w:w="2575"/>
            <w:gridCol w:w="968"/>
            <w:gridCol w:w="2697"/>
          </w:tblGrid>
          <w:tr>
            <w:tc>
              <w:tcPr>
                <w:tcW w:w="2395" w:type="dxa"/>
                <w:tcBorders>
                  <w:bottom w:val="single" w:sz="4" w:space="0" w:color="000000"/>
                </w:tcBorders>
                <w:vAlign w:val="bottom"/>
              </w:tcPr>
              <w:p>
                <w:pPr>
                  <w:widowControl w:val="0"/>
                  <w:suppressAutoHyphens/>
                  <w:jc w:val="center"/>
                  <w:rPr>
                    <w:color w:val="000000"/>
                    <w:szCs w:val="24"/>
                  </w:rPr>
                </w:pPr>
              </w:p>
            </w:tc>
            <w:tc>
              <w:tcPr>
                <w:tcW w:w="1004" w:type="dxa"/>
                <w:vAlign w:val="bottom"/>
              </w:tcPr>
              <w:p>
                <w:pPr>
                  <w:widowControl w:val="0"/>
                  <w:suppressAutoHyphens/>
                  <w:jc w:val="center"/>
                  <w:rPr>
                    <w:color w:val="000000"/>
                    <w:szCs w:val="24"/>
                  </w:rPr>
                </w:pPr>
              </w:p>
            </w:tc>
            <w:tc>
              <w:tcPr>
                <w:tcW w:w="2575" w:type="dxa"/>
                <w:tcBorders>
                  <w:bottom w:val="single" w:sz="4" w:space="0" w:color="000000"/>
                </w:tcBorders>
                <w:vAlign w:val="bottom"/>
              </w:tcPr>
              <w:p>
                <w:pPr>
                  <w:widowControl w:val="0"/>
                  <w:suppressAutoHyphens/>
                  <w:jc w:val="center"/>
                  <w:rPr>
                    <w:color w:val="000000"/>
                    <w:szCs w:val="24"/>
                  </w:rPr>
                </w:pPr>
              </w:p>
            </w:tc>
            <w:tc>
              <w:tcPr>
                <w:tcW w:w="968" w:type="dxa"/>
                <w:vAlign w:val="bottom"/>
              </w:tcPr>
              <w:p>
                <w:pPr>
                  <w:widowControl w:val="0"/>
                  <w:suppressAutoHyphens/>
                  <w:jc w:val="center"/>
                  <w:rPr>
                    <w:color w:val="000000"/>
                    <w:szCs w:val="24"/>
                  </w:rPr>
                </w:pPr>
              </w:p>
            </w:tc>
            <w:tc>
              <w:tcPr>
                <w:tcW w:w="2697" w:type="dxa"/>
                <w:tcBorders>
                  <w:bottom w:val="single" w:sz="4" w:space="0" w:color="000000"/>
                </w:tcBorders>
                <w:vAlign w:val="bottom"/>
              </w:tcPr>
              <w:p>
                <w:pPr>
                  <w:widowControl w:val="0"/>
                  <w:suppressAutoHyphens/>
                  <w:jc w:val="center"/>
                  <w:rPr>
                    <w:color w:val="000000"/>
                    <w:szCs w:val="24"/>
                  </w:rPr>
                </w:pPr>
              </w:p>
            </w:tc>
          </w:tr>
          <w:tr>
            <w:tc>
              <w:tcPr>
                <w:tcW w:w="2395" w:type="dxa"/>
                <w:vAlign w:val="bottom"/>
              </w:tcPr>
              <w:p>
                <w:pPr>
                  <w:widowControl w:val="0"/>
                  <w:suppressAutoHyphens/>
                  <w:jc w:val="center"/>
                  <w:rPr>
                    <w:color w:val="000000"/>
                    <w:szCs w:val="24"/>
                  </w:rPr>
                </w:pPr>
                <w:r>
                  <w:rPr>
                    <w:color w:val="000000"/>
                    <w:szCs w:val="24"/>
                  </w:rPr>
                  <w:t>(pareigų pavadinimas)</w:t>
                </w:r>
              </w:p>
            </w:tc>
            <w:tc>
              <w:tcPr>
                <w:tcW w:w="1004" w:type="dxa"/>
                <w:vAlign w:val="bottom"/>
              </w:tcPr>
              <w:p>
                <w:pPr>
                  <w:widowControl w:val="0"/>
                  <w:suppressAutoHyphens/>
                  <w:jc w:val="center"/>
                  <w:rPr>
                    <w:color w:val="000000"/>
                    <w:szCs w:val="24"/>
                  </w:rPr>
                </w:pPr>
              </w:p>
            </w:tc>
            <w:tc>
              <w:tcPr>
                <w:tcW w:w="2575" w:type="dxa"/>
                <w:vAlign w:val="bottom"/>
              </w:tcPr>
              <w:p>
                <w:pPr>
                  <w:widowControl w:val="0"/>
                  <w:suppressAutoHyphens/>
                  <w:jc w:val="center"/>
                  <w:rPr>
                    <w:color w:val="000000"/>
                    <w:szCs w:val="24"/>
                  </w:rPr>
                </w:pPr>
                <w:r>
                  <w:rPr>
                    <w:color w:val="000000"/>
                    <w:szCs w:val="24"/>
                  </w:rPr>
                  <w:t>(parašas)</w:t>
                </w:r>
              </w:p>
            </w:tc>
            <w:tc>
              <w:tcPr>
                <w:tcW w:w="968" w:type="dxa"/>
                <w:vAlign w:val="bottom"/>
              </w:tcPr>
              <w:p>
                <w:pPr>
                  <w:widowControl w:val="0"/>
                  <w:suppressAutoHyphens/>
                  <w:jc w:val="center"/>
                  <w:rPr>
                    <w:color w:val="000000"/>
                    <w:szCs w:val="24"/>
                  </w:rPr>
                </w:pPr>
              </w:p>
            </w:tc>
            <w:tc>
              <w:tcPr>
                <w:tcW w:w="2697" w:type="dxa"/>
                <w:vAlign w:val="bottom"/>
              </w:tcPr>
              <w:p>
                <w:pPr>
                  <w:widowControl w:val="0"/>
                  <w:suppressAutoHyphens/>
                  <w:jc w:val="center"/>
                  <w:rPr>
                    <w:color w:val="000000"/>
                    <w:szCs w:val="24"/>
                  </w:rPr>
                </w:pPr>
                <w:r>
                  <w:rPr>
                    <w:color w:val="000000"/>
                    <w:szCs w:val="24"/>
                  </w:rPr>
                  <w:t>(vardas, pavardė)</w:t>
                </w:r>
              </w:p>
            </w:tc>
          </w:tr>
        </w:tbl>
        <w:p>
          <w:pPr/>
        </w:p>
        <w:sdt>
          <w:sdtPr>
            <w:alias w:val="pabaiga"/>
            <w:tag w:val="part_8e357a177d3340c7b186b41d91ef150d"/>
            <w:lock w:val="sdtLocked"/>
            <w:richText/>
          </w:sdtPr>
          <w:sdtContent>
            <w:p>
              <w:pPr>
                <w:suppressAutoHyphens/>
                <w:jc w:val="center"/>
                <w:rPr>
                  <w:caps/>
                </w:rPr>
              </w:pPr>
              <w:r>
                <w:rPr>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DFDF55E417E">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2003-07-11,
Žin., 2003, Nr.
75-3489 (2003-07-30), i. k. 1032055ISAK000V-202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029D70CBD1">
            <w:r w:rsidRPr="00532B9F">
              <w:rPr>
                <w:rFonts w:ascii="Times New Roman" w:eastAsia="MS Mincho" w:hAnsi="Times New Roman"/>
                <w:sz w:val="20"/>
                <w:iCs/>
                <w:color w:val="0000FF" w:themeColor="hyperlink"/>
                <w:u w:val="single"/>
              </w:rPr>
              <w:t>V-253</w:t>
            </w:r>
          </w:fldSimple>
          <w:r>
            <w:rPr>
              <w:rFonts w:ascii="Times New Roman" w:eastAsia="MS Mincho" w:hAnsi="Times New Roman"/>
              <w:sz w:val="20"/>
              <w:iCs/>
            </w:rPr>
            <w:t>,
2003-09-15,
Žin., 2003, Nr.
89-4055 (2003-09-19); Žin., 2003, Nr.
90-4095 (2003-09-24); Žin., 2003, Nr.
92-0 (2003-10-01), i. k. 1032055ISAK000V-253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4C2F39C7EE">
            <w:r w:rsidRPr="00532B9F">
              <w:rPr>
                <w:rFonts w:ascii="Times New Roman" w:eastAsia="MS Mincho" w:hAnsi="Times New Roman"/>
                <w:sz w:val="20"/>
                <w:iCs/>
                <w:color w:val="0000FF" w:themeColor="hyperlink"/>
                <w:u w:val="single"/>
              </w:rPr>
              <w:t>VA-20</w:t>
            </w:r>
          </w:fldSimple>
          <w:r>
            <w:rPr>
              <w:rFonts w:ascii="Times New Roman" w:eastAsia="MS Mincho" w:hAnsi="Times New Roman"/>
              <w:sz w:val="20"/>
              <w:iCs/>
            </w:rPr>
            <w:t>,
2004-02-24,
Žin., 2004, Nr.
33-1080 (2004-03-02), i. k. 1042055ISAK000VA-20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A18C628E76">
            <w:r w:rsidRPr="00532B9F">
              <w:rPr>
                <w:rFonts w:ascii="Times New Roman" w:eastAsia="MS Mincho" w:hAnsi="Times New Roman"/>
                <w:sz w:val="20"/>
                <w:iCs/>
                <w:color w:val="0000FF" w:themeColor="hyperlink"/>
                <w:u w:val="single"/>
              </w:rPr>
              <w:t>VA-122</w:t>
            </w:r>
          </w:fldSimple>
          <w:r>
            <w:rPr>
              <w:rFonts w:ascii="Times New Roman" w:eastAsia="MS Mincho" w:hAnsi="Times New Roman"/>
              <w:sz w:val="20"/>
              <w:iCs/>
            </w:rPr>
            <w:t>,
2004-06-21,
Žin., 2004, Nr.
98-3677 (2004-06-24), i. k. 1042055ISAK00VA-122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1C5A0144BF">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2005-05-26,
Žin., 2005, Nr.
68-2462 (2005-05-31), i. k. 1052055ISAK000VA-49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2E88D1CFB7">
            <w:r w:rsidRPr="00532B9F">
              <w:rPr>
                <w:rFonts w:ascii="Times New Roman" w:eastAsia="MS Mincho" w:hAnsi="Times New Roman"/>
                <w:sz w:val="20"/>
                <w:iCs/>
                <w:color w:val="0000FF" w:themeColor="hyperlink"/>
                <w:u w:val="single"/>
              </w:rPr>
              <w:t>VA-42</w:t>
            </w:r>
          </w:fldSimple>
          <w:r>
            <w:rPr>
              <w:rFonts w:ascii="Times New Roman" w:eastAsia="MS Mincho" w:hAnsi="Times New Roman"/>
              <w:sz w:val="20"/>
              <w:iCs/>
            </w:rPr>
            <w:t>,
2006-04-24,
Žin., 2006, Nr.
61-2239 (2006-05-31), i. k. 1062055ISAK000VA-42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gražinimo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AEC01C632F6">
            <w:r w:rsidRPr="00532B9F">
              <w:rPr>
                <w:rFonts w:ascii="Times New Roman" w:eastAsia="MS Mincho" w:hAnsi="Times New Roman"/>
                <w:sz w:val="20"/>
                <w:iCs/>
                <w:color w:val="0000FF" w:themeColor="hyperlink"/>
                <w:u w:val="single"/>
              </w:rPr>
              <w:t>VA-52</w:t>
            </w:r>
          </w:fldSimple>
          <w:r>
            <w:rPr>
              <w:rFonts w:ascii="Times New Roman" w:eastAsia="MS Mincho" w:hAnsi="Times New Roman"/>
              <w:sz w:val="20"/>
              <w:iCs/>
            </w:rPr>
            <w:t>,
2006-06-06,
Žin., 2006, Nr.
68-2530 (2006-06-17), i. k. 1062055ISAK000VA-52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2033794B99">
            <w:r w:rsidRPr="00532B9F">
              <w:rPr>
                <w:rFonts w:ascii="Times New Roman" w:eastAsia="MS Mincho" w:hAnsi="Times New Roman"/>
                <w:sz w:val="20"/>
                <w:iCs/>
                <w:color w:val="0000FF" w:themeColor="hyperlink"/>
                <w:u w:val="single"/>
              </w:rPr>
              <w:t>VA-21</w:t>
            </w:r>
          </w:fldSimple>
          <w:r>
            <w:rPr>
              <w:rFonts w:ascii="Times New Roman" w:eastAsia="MS Mincho" w:hAnsi="Times New Roman"/>
              <w:sz w:val="20"/>
              <w:iCs/>
            </w:rPr>
            <w:t>,
2007-03-22,
Žin., 2007, Nr.
36-1347 (2007-03-29), i. k. 1072055ISAK000VA-21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gražinimo užsienio apmokestinamajam asmeniui FR0446 formos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34FB7027D08">
            <w:r w:rsidRPr="00532B9F">
              <w:rPr>
                <w:rFonts w:ascii="Times New Roman" w:eastAsia="MS Mincho" w:hAnsi="Times New Roman"/>
                <w:sz w:val="20"/>
                <w:iCs/>
                <w:color w:val="0000FF" w:themeColor="hyperlink"/>
                <w:u w:val="single"/>
              </w:rPr>
              <w:t>VA-2</w:t>
            </w:r>
          </w:fldSimple>
          <w:r>
            <w:rPr>
              <w:rFonts w:ascii="Times New Roman" w:eastAsia="MS Mincho" w:hAnsi="Times New Roman"/>
              <w:sz w:val="20"/>
              <w:iCs/>
            </w:rPr>
            <w:t>,
2010-01-05,
Žin., 2010, Nr.
3-143 (2010-01-09), i. k. 1102055ISAK0000VA-2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apmokestinamojo asmens prašymo grąžinti pridėtinės vertės mokestį FR0445 formos, jos užpildymo taisyklių ir Vilniaus apskrities valstybinės mokesčių inspekcijos viršininko sprendimo dėl pridėtinės vertės mokesčio grąžinimo užsienio apmokestinamajam asmeniui FR0446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7586B0EE1A">
            <w:r w:rsidRPr="00532B9F">
              <w:rPr>
                <w:rFonts w:ascii="Times New Roman" w:eastAsia="MS Mincho" w:hAnsi="Times New Roman"/>
                <w:sz w:val="20"/>
                <w:iCs/>
                <w:color w:val="0000FF" w:themeColor="hyperlink"/>
                <w:u w:val="single"/>
              </w:rPr>
              <w:t>VA-14</w:t>
            </w:r>
          </w:fldSimple>
          <w:r>
            <w:rPr>
              <w:rFonts w:ascii="Times New Roman" w:eastAsia="MS Mincho" w:hAnsi="Times New Roman"/>
              <w:sz w:val="20"/>
              <w:iCs/>
            </w:rPr>
            <w:t>,
2010-02-04,
Žin., 2010, Nr.
18-855 (2010-02-11), i. k. 1102055ISAK000VA-14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770DF80209">
            <w:r w:rsidRPr="00532B9F">
              <w:rPr>
                <w:rFonts w:ascii="Times New Roman" w:eastAsia="MS Mincho" w:hAnsi="Times New Roman"/>
                <w:sz w:val="20"/>
                <w:iCs/>
                <w:color w:val="0000FF" w:themeColor="hyperlink"/>
                <w:u w:val="single"/>
              </w:rPr>
              <w:t>VA-59</w:t>
            </w:r>
          </w:fldSimple>
          <w:r>
            <w:rPr>
              <w:rFonts w:ascii="Times New Roman" w:eastAsia="MS Mincho" w:hAnsi="Times New Roman"/>
              <w:sz w:val="20"/>
              <w:iCs/>
            </w:rPr>
            <w:t>,
2010-05-14,
Žin., 2010, Nr.
56-2806 (2010-05-15), i. k. 1102055ISAK000VA-59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D3BD1CB43">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2013-10-14,
Žin., 2013, Nr.
110-5477 (2013-10-19); Žin., 2013, Nr.
112-0 (2013-10-26), i. k. 1132055ISAK000VA-67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9581908aa111e4a98a9f2247652cf4">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2014-12-23,
paskelbta TAR 2014-12-29, i. k. 2014-20734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 ir dėl Valstybinės mokesčių inspekcijos prie Lietuvos Respublikos finansų ministerijos viršininko 2010 m. gegužės 14 d. įsakymo Nr. VA-59 „Dėl Valstybinės mokesčių inspekcijos prie Lietuvos Respublikos finansų ministerijos viršininko 2002 m. lapkričio 25 d. įsakymo Nr. 339 „Dėl užsienio apmokestinamųjų asmenų prašymų grąžinti jų Lietuvos Respublikoje sumokėtą pridėtinės vertės mokestį“ pakeitimo“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07d590e95711e6bf03a1097d29892a">
            <w:r w:rsidRPr="00532B9F">
              <w:rPr>
                <w:rFonts w:ascii="Times New Roman" w:eastAsia="MS Mincho" w:hAnsi="Times New Roman"/>
                <w:sz w:val="20"/>
                <w:iCs/>
                <w:color w:val="0000FF" w:themeColor="hyperlink"/>
                <w:u w:val="single"/>
              </w:rPr>
              <w:t>VA-14</w:t>
            </w:r>
          </w:fldSimple>
          <w:r>
            <w:rPr>
              <w:rFonts w:ascii="Times New Roman" w:eastAsia="MS Mincho" w:hAnsi="Times New Roman"/>
              <w:sz w:val="20"/>
              <w:iCs/>
            </w:rPr>
            <w:t>,
2017-02-02,
paskelbta TAR 2017-02-03, i. k. 2017-01984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92bb50ebc211e7acd7ea182930b17f">
            <w:r w:rsidRPr="00532B9F">
              <w:rPr>
                <w:rFonts w:ascii="Times New Roman" w:eastAsia="MS Mincho" w:hAnsi="Times New Roman"/>
                <w:sz w:val="20"/>
                <w:iCs/>
                <w:color w:val="0000FF" w:themeColor="hyperlink"/>
                <w:u w:val="single"/>
              </w:rPr>
              <w:t>VA-131</w:t>
            </w:r>
          </w:fldSimple>
          <w:r>
            <w:rPr>
              <w:rFonts w:ascii="Times New Roman" w:eastAsia="MS Mincho" w:hAnsi="Times New Roman"/>
              <w:sz w:val="20"/>
              <w:iCs/>
            </w:rPr>
            <w:t>,
2017-12-28,
paskelbta TAR 2017-12-28, i. k. 2017-21417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e3b509f3711eea5a28c81c82193a8">
            <w:r w:rsidRPr="00532B9F">
              <w:rPr>
                <w:rFonts w:ascii="Times New Roman" w:eastAsia="MS Mincho" w:hAnsi="Times New Roman"/>
                <w:sz w:val="20"/>
                <w:iCs/>
                <w:color w:val="0000FF" w:themeColor="hyperlink"/>
                <w:u w:val="single"/>
              </w:rPr>
              <w:t>VA-97</w:t>
            </w:r>
          </w:fldSimple>
          <w:r>
            <w:rPr>
              <w:rFonts w:ascii="Times New Roman" w:eastAsia="MS Mincho" w:hAnsi="Times New Roman"/>
              <w:sz w:val="20"/>
              <w:iCs/>
            </w:rPr>
            <w:t>,
2023-12-20,
paskelbta TAR 2023-12-20, i. k. 2023-24680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lapkričio 25 d. įsakymo Nr. 339 „Dėl užsienio apmokestinamųjų asmenų prašymų grąžinti jų Lietuvos Respublikoje sumokėtą pridėtinės vertės mokestį“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 Neue">
    <w:altName w:val="Arial"/>
    <w:charset w:val="00"/>
    <w:family w:val="swiss"/>
    <w:pitch w:val="variable"/>
    <w:sig w:usb0="00000003" w:usb1="500079DB" w:usb2="0000001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jc w:val="center"/>
    </w:pPr>
    <w:r>
      <w:fldChar w:fldCharType="begin"/>
    </w:r>
    <w:r>
      <w:instrText>PAGE   \* MERGEFORMAT</w:instrText>
    </w:r>
    <w:r>
      <w:fldChar w:fldCharType="separate"/>
    </w:r>
    <w:r>
      <w:t>2</w:t>
    </w:r>
    <w:r>
      <w:fldChar w:fldCharType="end"/>
    </w:r>
  </w:p>
  <w:p>
    <w:pPr>
      <w:tabs>
        <w:tab w:val="center" w:pos="4153"/>
        <w:tab w:val="right" w:pos="8306"/>
      </w:tabs>
      <w:suppressAutoHyphen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B1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79E0E326"/>
  <w15:docId w15:val="{7056552A-CD06-4C1E-8B74-B1E40D892ED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4.png"/>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image" Target="media/image5.png"/>
  <Relationship Id="rId22" Type="http://schemas.openxmlformats.org/officeDocument/2006/relationships/image" Target="media/image6.png"/>
  <Relationship Id="rId23" Type="http://schemas.openxmlformats.org/officeDocument/2006/relationships/image" Target="media/image7.png"/>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5aa885e43848759f805555979bcee5" PartId="21520e4011e240d9818b5328990da415">
    <Part Type="preambule" DocPartId="fa0d523cdaf742b7bb16e3fd6eca9041" PartId="f102506758fe454ebfadf98a196fcec9"/>
    <Part Type="pastraipa" DocPartId="45d00698d0de43c8a32c0af9520253d0" PartId="7cca60d46e1747e792a32145531df234"/>
    <Part Type="punktas" Nr="1" Abbr="1 p." DocPartId="0ad6d7e988d34ad1979fdef951bb37b1" PartId="a71cf063e2c5416b8b4c02f004c14258"/>
    <Part Type="punktas" Nr="2" Abbr="2 p." DocPartId="03b5e1f7da4b4703a6fec4b8748a0149" PartId="87f42ce0b6594e20b7beabae736cd3aa"/>
    <Part Type="punktas" Nr="3" Abbr="3 p." DocPartId="304741863aa948a6ba00b66ed20a18cf" PartId="a1f49a15ad5041fb879ce00cd9c0b933"/>
    <Part Type="punktas" Nr="4" Abbr="4 p." DocPartId="7a3ce4fcbf1e4150b46d29be5e706cf3" PartId="011df783106c461b87ea19e9cbece09c"/>
    <Part Type="punktas" Nr="5" Abbr="5 p." DocPartId="027aa7e37e8d4f1d802c3d53e6210d08" PartId="d4ddb857cfb74e1fb5344ea5c174e678"/>
    <Part Type="signatura" DocPartId="19346de90fda44619eca09052bfe23a8" PartId="2d1584a7c4fd4999a4b6762c056d8a14"/>
  </Part>
  <Part Type="patvirtinta" Title="UŽ EUROPOS SĄJUNGOS TERITORIJOS RIBŲ ĮSIKŪRUSIO APMOKESTINAMOJO ASMENS PRAŠYMO GRĄŽINTI PRIDĖTINĖS VERTĖS MOKESTĮ UŽPILDYMO IR PATEIKIMO TAISYKLĖS" DocPartId="acb2081da8184173be7c00baf85abfed" PartId="5a6ce9bb68c84639b6aabaddd18b00b3">
    <Part Type="skyrius" Nr="1" Title="BENDROSIOS NUOSTATOS" DocPartId="179b9d672047480b826817fa899856d8" PartId="22710338e12c434886a32753131ad700">
      <Part Type="punktas" Nr="1" Abbr="1 p." DocPartId="c600a1a2ae9041beb5be3bca74c2218c" PartId="b9db6473290a4c0590bdf9a0f9ac27b5"/>
      <Part Type="punktas" Nr="2" Abbr="2 p." DocPartId="a569483f6e6649e6a020dfbec47db6a6" PartId="9493337b13954fc4abe0abebe875d596"/>
      <Part Type="punktas" Nr="3" Abbr="3 p." DocPartId="8460e525f3c7400a820b3e6e9da2e73e" PartId="ba69e4144e804cfdb4705ccbd620cefd"/>
    </Part>
    <Part Type="skyrius" Nr="2" Title="PRAŠYMO IR REIKALINGŲ DOKUMENTŲ PATEIKIMO TVARKA IR TERMINAI" DocPartId="9e493661b7834456b3c1e1e463d0b7ec" PartId="1d14c9850cdf4b93903663ce946a6177">
      <Part Type="punktas" Nr="4" Abbr="4 p." DocPartId="3e98f8e873e74b00987dc0edeef572c4" PartId="85f4033f1da4454caec0d40b602beaf0"/>
      <Part Type="punktas" Nr="5" Abbr="5 p." DocPartId="098eecd8bed54878adeeaf8fd0bed041" PartId="79d91259075c45d1885c8f273ec5a0a0"/>
      <Part Type="punktas" Nr="6" Abbr="6 p." DocPartId="55e5867929f4451c968e9164e358dab8" PartId="eff31ceb1347492599ebf3da3dc0c06e"/>
      <Part Type="punktas" Nr="7" Abbr="7 p." DocPartId="b3c336eae8f749669a6c50fc2e7a81b4" PartId="3a2ba89e0a744f1ba2ed9adae7699959"/>
      <Part Type="punktas" Nr="8" Abbr="8 p." DocPartId="0c9347ddbd8a453bbb6a10ab1fd4f6c3" PartId="e7a7f69bee3f44e9b877c1b907b095c9"/>
      <Part Type="punktas" Nr="9" Abbr="9 p." DocPartId="eb6db1e82aaa4584926c816423b594be" PartId="39291d7dabc04bbfa46d113d611d2640"/>
      <Part Type="punktas" Nr="10" Abbr="10 p." DocPartId="09c75c17535644ca864c2be0a4847510" PartId="8d7c44b5437e4e23b290a94f627773ec"/>
      <Part Type="punktas" Nr="11" Abbr="11 p." DocPartId="3d86f440207f4ec19a47e16596113c4b" PartId="b9695894596946c8bde47793dac50d7a"/>
    </Part>
    <Part Type="skyrius" Nr="3" Title="PRAŠYMO UŽPILDYMAS" DocPartId="521b207ad03043bd85a59408d90637d8" PartId="ca340e7a53794635b5c25217857ef4b4">
      <Part Type="punktas" Nr="12" Abbr="12 p." DocPartId="da10e6553e5248cc9f40def129c7d2a9" PartId="302ff8b9aa734731b35a479eb22555a6"/>
      <Part Type="punktas" Nr="13" Abbr="13 p." DocPartId="b5a9f1364f7742e9ae1706fb285aac6b" PartId="d76806f7240f4a55ab15717e985fa6d2"/>
      <Part Type="punktas" Nr="14" Abbr="14 p." DocPartId="88e1f68ad25246a1b809f174ad9f8b09" PartId="4ec2649fd45e4f0db39a3dc69f7139ee"/>
      <Part Type="punktas" Nr="15" Abbr="15 p." DocPartId="be036c90edc646d89fc45a972aba17ad" PartId="a0b22e48ae1f4e3d9522839315172136"/>
      <Part Type="punktas" Nr="16" Abbr="16 p." DocPartId="0f3bb2677a82415fb936a90a8decdded" PartId="7b1c103ccdf94b298ca1423cd24b448e">
        <Part Type="papunktis" Nr="16.1" Abbr="16.1 pp." DocPartId="2441b9cd855e4ebf937a39ed11965fe2" PartId="015af98320ff45e88819d3d895239bef"/>
        <Part Type="papunktis" Nr="16.2" Abbr="16.2 pp." DocPartId="1d6131bb638d42ec85bf93604a8214c8" PartId="9157057c3bbe4df6a847ed6772a83f70"/>
        <Part Type="papunktis" Nr="16.3" Abbr="16.3 pp." DocPartId="68770c5926c24818b0e35aeb6ae025fd" PartId="3050c55ff78f40b8b04c355468311921"/>
      </Part>
      <Part Type="punktas" Nr="17" Abbr="17 p." DocPartId="887e85a16158476391283d722d41b451" PartId="3410061199e949e788aa85b03171884f"/>
      <Part Type="punktas" Nr="18" Abbr="18 p." DocPartId="7964e04714054aed917c188536e98e03" PartId="8400404493a04c648611392c826c08ca">
        <Part Type="papunktis" Nr="18.1" Abbr="18.1 pp." DocPartId="c0d174cf7c1b4a15ab3c480b4f3d5110" PartId="d28a62f1ea704d0c955b07b38ec50d65"/>
        <Part Type="papunktis" Nr="18.2" Abbr="18.2 pp." DocPartId="6c4001049c7f4da896258843c913ecfc" PartId="e35ae2cc8388442982fc65ef9850935e"/>
        <Part Type="papunktis" Nr="18.3" Abbr="18.3 pp." DocPartId="29c033b640774a66ba8eaafd11370400" PartId="3bec788c0b7e4eacbec026a7f346400a"/>
        <Part Type="papunktis" Nr="18.4" Abbr="18.4 pp." DocPartId="a21054ea06954a9383b658f4a0b26bd4" PartId="9a9d865b5b3b4242aa770102422d83c2"/>
        <Part Type="papunktis" Nr="18.5" Abbr="18.5 pp." DocPartId="4dcd0a68bbe94140b347e5eeb31289de" PartId="1e41e0eab7364e54a91225856a02c560"/>
      </Part>
      <Part Type="punktas" Nr="19" Abbr="19 p." DocPartId="b0e0674b721a48baaa55fecced11a72f" PartId="3fbab56ba88d4898a9f4a85510f10589"/>
      <Part Type="punktas" Nr="20" Abbr="20 p." DocPartId="25a1d0582d904101b39afa99af7c84d5" PartId="88d5a2fd6a35485ba0668600c418b8ac">
        <Part Type="papunktis" Nr="20.1" Abbr="20.1 pp." DocPartId="80f55df2f7b947579f6c27e0825bdcd7" PartId="7976807a3c624ee4b760926989f321e6"/>
        <Part Type="papunktis" Nr="20.2" Abbr="20.2 pp." DocPartId="8f2cfbc93fa44a0983c8e5d60d181d56" PartId="7c4cfc4844d242c09049f0037df1a86f"/>
        <Part Type="papunktis" Nr="20.3" Abbr="20.3 pp." DocPartId="d186504500034037b91095bb10752105" PartId="03e4a9043a3648e98c2047f20cb59821"/>
        <Part Type="papunktis" Nr="20.4" Abbr="20.4 pp." DocPartId="20e28671a11b47308c04f5df1b3c5e8a" PartId="9d5288920ba346e6ab3d399b1e724b55"/>
      </Part>
      <Part Type="punktas" Nr="21" Abbr="21 p." DocPartId="7d996b4087714ecebe96c64f2ff7b8d9" PartId="4b89e7a3fa2f4fdfb49ce170f12cca99">
        <Part Type="papunktis" Nr="21.1" Abbr="21.1 pp." DocPartId="b1dfee957dd54e84bb97da0531792050" PartId="fb243cfb6e4a457391b32246bfaa46d4"/>
        <Part Type="papunktis" Nr="21.2" Abbr="21.2 pp." DocPartId="f8d8056427b54a7e85c4ea11803bbd86" PartId="79de97ad5550463caa6eb892faf73413"/>
      </Part>
      <Part Type="punktas" Nr="22" Abbr="22 p." DocPartId="325c416e6b1f449f84b2f8a777a7463d" PartId="c2655f6fa0614b8dad2896f0bfac99e1"/>
    </Part>
    <Part Type="pabaiga" DocPartId="6b57242f5fad4f7f81abd705d7977aa4" PartId="8c42828936a14d1b983bbac858811c73"/>
  </Part>
  <Part Type="patvirtinta" Title="(Sprendimo grąžinti pridėtinės vertės mokestį už Europos Sąjungos teritorijos ribų įsikūrusiam apmokestinamajam asmeniui pavyzdinė FR0446 forma)" DocPartId="e4959471567a4f61b6fff35de2e8a744" PartId="5e46b00e8c6d467eb768d16436c9af8a">
    <Part Type="pabaiga" DocPartId="51af130185044c30b271a357974a3582" PartId="e307f0398268412fa19ed6cf6ce8a765"/>
  </Part>
  <Part Type="patvirtinta" Title="KITOJE EUROPOS SĄJUNGOS VALSTYBĖJE NARĖJE ĮSIKŪRUSIO APMOKESTINAMOJO ASMENS PRAŠYME GRĄŽINTI PRIDĖTINĖS VERTĖS MOKESTĮ NURODOMŲ PREKIŲ IR PASLAUGŲ APRAŠYMO, PRAŠYMO TIKSLINIMO IR PRAŠYMO PRIEDŲ PATEIKIMO ELEKTRONINĖMIS PRIEMONĖMIS TAISYKLĖS" DocPartId="b4b2a2f30f5949958a14334591a4abe2" PartId="4634891d298042c28346a9e6b8a21f65">
    <Part Type="punktas" Nr="1" Abbr="1 p." DocPartId="d38f5f6aa3cc4e14b531c8fc95112a11" PartId="3b788eb6c4ed4946b291283a1fc1002e"/>
    <Part Type="punktas" Nr="2" Abbr="2 p." DocPartId="68b52e108b4f48b894e4c062c0dc9339" PartId="18a5c551aa3240e391696a72d6913c2c"/>
    <Part Type="punktas" Nr="3" Abbr="3 p." DocPartId="b3cee3190b944386994311c9011a722e" PartId="7ed34a24b2084b5fb6a0e4dc483060ce"/>
    <Part Type="punktas" Nr="4" Abbr="4 p." DocPartId="2b4a356c1d44421cbd1e866e19e8f06e" PartId="9613b37a61654278a0eae605efc95097"/>
    <Part Type="punktas" Nr="5" Abbr="5 p." DocPartId="ecd9cf49ccf04e5bb351259cc0f37715" PartId="7ccebee2919646deb9ea5fc7769ac898"/>
    <Part Type="punktas" Nr="6" Abbr="6 p." DocPartId="5ca0d9a1c09f43e29a654658c02d8ed9" PartId="2f5e838091d94eb3b7dcbbb3143c3dd6"/>
    <Part Type="punktas" Nr="7" Abbr="7 p." DocPartId="02d854184bd046c7bb75e90e0e99a631" PartId="237f95c50f3e4932b7c02d448ad9eb77"/>
    <Part Type="pabaiga" DocPartId="6de71aa069c44fde980454061ad8d398" PartId="49b8da02391745b9affad59b6739edda"/>
  </Part>
  <Part Type="priedas" Abbr="pr." Title="PREKIŲ (PASLAUGŲ) KATEGORIJOS" DocPartId="ddaf2b870314413c964c85a2b3a77c4a" PartId="f92eb92060a64b4a98d7ef1d7d1b844e">
    <Part Type="pabaiga" DocPartId="5fc62800ea45435485d2f5c471f702a0" PartId="4b21da8a9a424a7d9bde747479b2815d"/>
  </Part>
  <Part Type="patvirtinta" Title="(Sprendimo grąžinti pridėtinės vertės mokestį kitoje Europos Sąjungos valstybėje narėje įsikūrusiam apmokestinamajam asmeniui pavyzdinė FR1084 forma)" DocPartId="92cc4b7b34a643a081a16e4df4594970" PartId="cdc8d0610d794042a6f428862282673c">
    <Part Type="pabaiga" DocPartId="b14e55accf1e48f594933a6708954398" PartId="c827be6511b047b389d8082ee1a0d0ed"/>
  </Part>
  <Part Type="patvirtinta" Title="(Sprendimo grąžinti perskaičiuotą pridėtinės vertės mokestį kitoje Europos Sąjungos valstybėje narėje įsikūrusiam apmokestinamajam asmeniui po pridėtinės vertės mokesčio atskaitos procento patikslinimo pavyzdinė FR1085 forma)" DocPartId="d5ebcadcdd894695b96f5b83c0c1075d" PartId="056986a326a64100b98ce1e8bd0f65e3">
    <Part Type="pabaiga" DocPartId="56fd6c0b7af348baa464ac176d248932" PartId="8e357a177d3340c7b186b41d91ef150d"/>
  </Part>
</Parts>
</file>

<file path=customXml/itemProps1.xml><?xml version="1.0" encoding="utf-8"?>
<ds:datastoreItem xmlns:ds="http://schemas.openxmlformats.org/officeDocument/2006/customXml" ds:itemID="{237921B1-3465-4CB3-AE89-A74CD8997998}">
  <ds:schemaRefs>
    <ds:schemaRef ds:uri="http://lrs.lt/TAIS/DocParts"/>
  </ds:schemaRefs>
</ds:datastoreItem>
</file>

<file path=docProps/app.xml><?xml version="1.0" encoding="utf-8"?>
<Properties xmlns="http://schemas.openxmlformats.org/officeDocument/2006/extended-properties">
  <Template>Normal.dotm</Template>
  <TotalTime>26</TotalTime>
  <Pages>24</Pages>
  <Words>33893</Words>
  <Characters>19320</Characters>
  <Application>Microsoft Office Word</Application>
  <DocSecurity>0</DocSecurity>
  <Lines>161</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53107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2015-07-06T01:13:00Z</dcterms:created>
  <dc:creator>User</dc:creator>
  <lastModifiedBy>GUMBYTĖ Danguolė</lastModifiedBy>
  <dcterms:modified xsi:type="dcterms:W3CDTF">2024-01-16T13:51:00Z</dcterms:modified>
  <revision>26</revision>
</coreProperties>
</file>