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c210bff4b644a4f877b4e87612f3eb1"/>
        <w:lock w:val="sdtLocked"/>
        <w:richText/>
      </w:sdtPr>
      <w:sdtContent>
        <w:p>
          <w:pPr>
            <w:jc w:val="both"/>
            <w:rPr>
              <w:rFonts w:ascii="Times New Roman" w:hAnsi="Times New Roman"/>
            </w:rPr>
          </w:pPr>
          <w:r>
            <w:rPr>
              <w:rFonts w:ascii="Times New Roman" w:hAnsi="Times New Roman"/>
              <w:b/>
              <w:i/>
            </w:rPr>
            <w:t>Suvestinė redakcija nuo 2018-05-01 iki 2020-04-24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0b56f578f23240ce88507995bb690959"/>
                    <w:lock w:val="sdtLocked"/>
                    <w:richText/>
                  </w:sdtPr>
                  <w:sdtContent>
                    <w:p>
                      <w:pPr>
                        <w:ind w:firstLine="708"/>
                        <w:jc w:val="both"/>
                        <w:rPr>
                          <w:color w:val="000000"/>
                        </w:rPr>
                      </w:pPr>
                      <w:sdt>
                        <w:sdtPr>
                          <w:alias w:val="Numeris"/>
                          <w:tag w:val="nr_0b56f578f23240ce88507995bb690959"/>
                          <w:lock w:val="sdtLocked"/>
                          <w:richText/>
                        </w:sdtPr>
                        <w:sdtContent>
                          <w:r>
                            <w:rPr>
                              <w:color w:val="000000"/>
                            </w:rPr>
                            <w:t>8</w:t>
                          </w:r>
                        </w:sdtContent>
                      </w:sdt>
                      <w:r>
                        <w:rPr>
                          <w:color w:val="000000"/>
                        </w:rPr>
                        <w:t xml:space="preserve">. </w:t>
                      </w:r>
                      <w:r>
                        <w:rPr>
                          <w:i/>
                          <w:color w:val="000000"/>
                          <w:sz w:val="20"/>
                        </w:rPr>
                        <w:t>Neteko galios 2018-05-01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c8d4c889a3754b92b7ffd5cc592d94fc"/>
                    <w:lock w:val="sdtLocked"/>
                    <w:richText/>
                  </w:sdtPr>
                  <w:sdtContent>
                    <w:p>
                      <w:pPr>
                        <w:shd w:val="clear" w:color="000000" w:fill="auto"/>
                        <w:ind w:firstLine="708"/>
                        <w:jc w:val="both"/>
                        <w:rPr>
                          <w:color w:val="000000"/>
                        </w:rPr>
                      </w:pPr>
                      <w:sdt>
                        <w:sdtPr>
                          <w:alias w:val="Numeris"/>
                          <w:tag w:val="nr_c8d4c889a3754b92b7ffd5cc592d94fc"/>
                          <w:lock w:val="sdtLocked"/>
                          <w:richText/>
                        </w:sdtPr>
                        <w:sdtContent>
                          <w:r>
                            <w:rPr>
                              <w:color w:val="000000"/>
                            </w:rPr>
                            <w:t>2</w:t>
                          </w:r>
                        </w:sdtContent>
                      </w:sdt>
                      <w:r>
                        <w:rPr>
                          <w:color w:val="000000"/>
                        </w:rPr>
                        <w:t>. Vertinant individualias dizaino savybes, atsižvelgiama į dizainerio laisvę kuriant dizainą.</w:t>
                      </w:r>
                    </w:p>
                    <w:p>
                      <w:pPr>
                        <w:shd w:val="clear" w:color="000000" w:fill="auto"/>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459d6725562b46e3bf1c90955961c45b"/>
                    <w:lock w:val="sdtLocked"/>
                    <w:richText/>
                  </w:sdtPr>
                  <w:sdtContent>
                    <w:p>
                      <w:pPr>
                        <w:ind w:firstLine="720"/>
                        <w:jc w:val="both"/>
                      </w:pPr>
                      <w:sdt>
                        <w:sdtPr>
                          <w:alias w:val="Numeris"/>
                          <w:tag w:val="nr_459d6725562b46e3bf1c90955961c45b"/>
                          <w:lock w:val="sdtLocked"/>
                          <w:richText/>
                        </w:sdtPr>
                        <w:sdtContent>
                          <w:r>
                            <w:rPr>
                              <w:szCs w:val="24"/>
                            </w:rPr>
                            <w:t>2</w:t>
                          </w:r>
                        </w:sdtContent>
                      </w:sdt>
                      <w:r>
                        <w:rPr>
                          <w:szCs w:val="24"/>
                        </w:rP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d0ff7320535546998c7304b7aac06e8d"/>
                    <w:lock w:val="sdtLocked"/>
                    <w:richText/>
                  </w:sdtPr>
                  <w:sdtContent>
                    <w:p>
                      <w:pPr>
                        <w:ind w:firstLine="720"/>
                        <w:jc w:val="both"/>
                        <w:rPr>
                          <w:color w:val="000000"/>
                        </w:rPr>
                      </w:pPr>
                      <w:sdt>
                        <w:sdtPr>
                          <w:alias w:val="Numeris"/>
                          <w:tag w:val="nr_d0ff7320535546998c7304b7aac06e8d"/>
                          <w:lock w:val="sdtLocked"/>
                          <w:richText/>
                        </w:sdtPr>
                        <w:sdtContent>
                          <w:r>
                            <w:rPr>
                              <w:szCs w:val="24"/>
                            </w:rPr>
                            <w:t>1</w:t>
                          </w:r>
                        </w:sdtContent>
                      </w:sdt>
                      <w:r>
                        <w:rPr>
                          <w:szCs w:val="24"/>
                        </w:rPr>
                        <w:t>. Lietuvos Respublikos dizaino registras yra valstybės registras. Registro valdytoja yra Lietuvos Respublikos teisingumo ministerija, registro tvarkytojas – Valstybinis patentų biuras. Lietuvos Respublikos Vyriausybė gali skirti papildomą registro tvarkytoją.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sdt>
                  <w:sdtPr>
                    <w:alias w:val="4 d."/>
                    <w:tag w:val="part_909477cf6b794ae0a014df38d57055cb"/>
                    <w:lock w:val="sdtLocked"/>
                    <w:richText/>
                  </w:sdtPr>
                  <w:sdtContent>
                    <w:p>
                      <w:pPr>
                        <w:ind w:firstLine="720"/>
                        <w:jc w:val="both"/>
                      </w:pPr>
                      <w:sdt>
                        <w:sdtPr>
                          <w:alias w:val="Numeris"/>
                          <w:tag w:val="nr_909477cf6b794ae0a014df38d57055cb"/>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118ce45dfb704606a7ff2e099bd07a4d"/>
        <w:lock w:val="sdtLocked"/>
        <w:richText/>
      </w:sdtPr>
      <w:sdtContent>
        <w:p>
          <w:pPr>
            <w:ind w:firstLine="6480"/>
            <w:jc w:val="both"/>
            <w:rPr>
              <w:bCs/>
              <w:color w:val="000000"/>
              <w:szCs w:val="24"/>
            </w:rPr>
          </w:pPr>
          <w:r>
            <w:rPr>
              <w:bCs/>
              <w:color w:val="000000"/>
              <w:szCs w:val="24"/>
            </w:rPr>
            <w:t>Lietuvos Respublikos</w:t>
          </w:r>
        </w:p>
        <w:p>
          <w:pPr>
            <w:ind w:firstLine="6480"/>
            <w:jc w:val="both"/>
            <w:rPr>
              <w:bCs/>
              <w:color w:val="000000"/>
              <w:szCs w:val="24"/>
            </w:rPr>
          </w:pPr>
          <w:r>
            <w:rPr>
              <w:bCs/>
              <w:color w:val="000000"/>
              <w:szCs w:val="24"/>
            </w:rPr>
            <w:t>dizaino įstatymo</w:t>
          </w:r>
        </w:p>
        <w:p>
          <w:pPr>
            <w:ind w:firstLine="6480"/>
            <w:jc w:val="both"/>
            <w:rPr>
              <w:bCs/>
              <w:color w:val="000000"/>
              <w:szCs w:val="24"/>
            </w:rPr>
          </w:pPr>
          <w:r>
            <w:rPr>
              <w:bCs/>
              <w:color w:val="000000"/>
              <w:szCs w:val="24"/>
            </w:rPr>
            <w:t>priedas</w:t>
          </w:r>
        </w:p>
        <w:p>
          <w:pPr>
            <w:ind w:firstLine="720"/>
            <w:jc w:val="both"/>
            <w:rPr>
              <w:bCs/>
              <w:color w:val="000000"/>
              <w:szCs w:val="24"/>
            </w:rPr>
          </w:pPr>
        </w:p>
        <w:p>
          <w:pPr>
            <w:jc w:val="center"/>
            <w:rPr>
              <w:szCs w:val="24"/>
            </w:rPr>
          </w:pPr>
          <w:sdt>
            <w:sdtPr>
              <w:alias w:val="Pavadinimas"/>
              <w:tag w:val="title_118ce45dfb704606a7ff2e099bd07a4d"/>
              <w:lock w:val="sdtLocked"/>
              <w:richText/>
            </w:sdtPr>
            <w:sdtContent>
              <w:r>
                <w:rPr>
                  <w:b/>
                  <w:bCs/>
                  <w:color w:val="000000"/>
                  <w:szCs w:val="24"/>
                </w:rPr>
                <w:t>ĮGYVENDINAMI EUROPOS SĄJUNGOS TEISĖS AKTAI</w:t>
              </w:r>
            </w:sdtContent>
          </w:sdt>
        </w:p>
        <w:p>
          <w:pPr>
            <w:ind w:firstLine="720"/>
            <w:jc w:val="both"/>
            <w:rPr>
              <w:szCs w:val="24"/>
            </w:rPr>
          </w:pPr>
        </w:p>
        <w:sdt>
          <w:sdtPr>
            <w:alias w:val="pr. 1 p."/>
            <w:tag w:val="part_986f4bc23ce74598b62d9a46baff5bb3"/>
            <w:lock w:val="sdtLocked"/>
            <w:richText/>
          </w:sdtPr>
          <w:sdtContent>
            <w:p>
              <w:pPr>
                <w:ind w:firstLine="720"/>
                <w:jc w:val="both"/>
                <w:rPr>
                  <w:szCs w:val="24"/>
                </w:rPr>
              </w:pPr>
              <w:sdt>
                <w:sdtPr>
                  <w:alias w:val="Numeris"/>
                  <w:tag w:val="nr_986f4bc23ce74598b62d9a46baff5bb3"/>
                  <w:lock w:val="sdtLocked"/>
                  <w:richText/>
                </w:sdtPr>
                <w:sdtContent>
                  <w:r>
                    <w:rPr>
                      <w:color w:val="000000"/>
                      <w:szCs w:val="24"/>
                    </w:rPr>
                    <w:t>1</w:t>
                  </w:r>
                </w:sdtContent>
              </w:sdt>
              <w:r>
                <w:rPr>
                  <w:color w:val="000000"/>
                  <w:szCs w:val="24"/>
                </w:rPr>
                <w:t xml:space="preserve">. 1998 m. spalio 13 d. Europos Parlamento ir Tarybos direktyva dėl teisinės dizaino apsaugos 98/71/EB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21 tomas, p. 120).</w:t>
              </w:r>
            </w:p>
          </w:sdtContent>
        </w:sdt>
        <w:sdt>
          <w:sdtPr>
            <w:alias w:val="pr. 2 p."/>
            <w:tag w:val="part_aba1dd0f9cd74b468020b410fcf0a73c"/>
            <w:lock w:val="sdtLocked"/>
            <w:richText/>
          </w:sdtPr>
          <w:sdtContent>
            <w:p>
              <w:pPr>
                <w:ind w:firstLine="720"/>
                <w:jc w:val="both"/>
                <w:rPr>
                  <w:szCs w:val="24"/>
                </w:rPr>
              </w:pPr>
              <w:sdt>
                <w:sdtPr>
                  <w:alias w:val="Numeris"/>
                  <w:tag w:val="nr_aba1dd0f9cd74b468020b410fcf0a73c"/>
                  <w:lock w:val="sdtLocked"/>
                  <w:richText/>
                </w:sdtPr>
                <w:sdtContent>
                  <w:r>
                    <w:rPr>
                      <w:color w:val="000000"/>
                      <w:szCs w:val="24"/>
                    </w:rPr>
                    <w:t>2</w:t>
                  </w:r>
                </w:sdtContent>
              </w:sdt>
              <w:r>
                <w:rPr>
                  <w:color w:val="000000"/>
                  <w:szCs w:val="24"/>
                </w:rPr>
                <w:t>. 2001 m. gruodžio 12 d. Tarybos reglamentas dėl Bendrijos dizaino (EB) Nr. 6/2002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27 tomas, p. 142).</w:t>
              </w:r>
            </w:p>
          </w:sdtContent>
        </w:sdt>
        <w:sdt>
          <w:sdtPr>
            <w:alias w:val="pr. 3 p."/>
            <w:tag w:val="part_f0b26012da03462aa73e5a09c2964fff"/>
            <w:lock w:val="sdtLocked"/>
            <w:richText/>
          </w:sdtPr>
          <w:sdtContent>
            <w:p>
              <w:pPr>
                <w:ind w:firstLine="720"/>
                <w:jc w:val="both"/>
              </w:pPr>
              <w:sdt>
                <w:sdtPr>
                  <w:alias w:val="Numeris"/>
                  <w:tag w:val="nr_f0b26012da03462aa73e5a09c2964fff"/>
                  <w:lock w:val="sdtLocked"/>
                  <w:richText/>
                </w:sdtPr>
                <w:sdtContent>
                  <w:r>
                    <w:rPr>
                      <w:color w:val="000000"/>
                      <w:szCs w:val="24"/>
                    </w:rPr>
                    <w:t>3</w:t>
                  </w:r>
                </w:sdtContent>
              </w:sdt>
              <w:r>
                <w:rPr>
                  <w:color w:val="000000"/>
                  <w:szCs w:val="24"/>
                </w:rPr>
                <w:t xml:space="preserve">. 2004 m. balandžio 29 d. Europos Parlamento ir Tarybos direktyva 2004/48/EB dėl intelektinės nuosavybės teisių gynimo </w:t>
              </w:r>
              <w:r>
                <w:rPr>
                  <w:szCs w:val="24"/>
                </w:rPr>
                <w:t xml:space="preserve">(OL </w:t>
              </w:r>
              <w:r>
                <w:rPr>
                  <w:iCs/>
                  <w:szCs w:val="24"/>
                </w:rPr>
                <w:t>2004 m.</w:t>
              </w:r>
              <w:r>
                <w:rPr>
                  <w:i/>
                  <w:iCs/>
                  <w:szCs w:val="24"/>
                </w:rPr>
                <w:t xml:space="preserve"> specialusis leidimas</w:t>
              </w:r>
              <w:r>
                <w:rPr>
                  <w:szCs w:val="24"/>
                </w:rPr>
                <w:t>,</w:t>
              </w:r>
              <w:r>
                <w:rPr>
                  <w:i/>
                  <w:iCs/>
                  <w:szCs w:val="24"/>
                </w:rPr>
                <w:t xml:space="preserve"> </w:t>
              </w:r>
              <w:r>
                <w:rPr>
                  <w:szCs w:val="24"/>
                </w:rPr>
                <w:t>17 skyrius, 2 tomas, p. 32).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cb7c60663e11e7b85cfdc787069b42">
            <w:r w:rsidRPr="00532B9F">
              <w:rPr>
                <w:rFonts w:ascii="Times New Roman" w:eastAsia="MS Mincho" w:hAnsi="Times New Roman"/>
                <w:sz w:val="20"/>
                <w:iCs/>
                <w:color w:val="0000FF" w:themeColor="hyperlink"/>
                <w:u w:val="single"/>
              </w:rPr>
              <w:t>XIII-547</w:t>
            </w:r>
          </w:fldSimple>
          <w:r>
            <w:rPr>
              <w:rFonts w:ascii="Times New Roman" w:eastAsia="MS Mincho" w:hAnsi="Times New Roman"/>
              <w:sz w:val="20"/>
              <w:iCs/>
            </w:rPr>
            <w:t>,
2017-06-29,
paskelbta TAR 2017-07-11, i. k. 2017-11944                </w:t>
          </w:r>
        </w:p>
        <w:p>
          <w:pPr>
            <w:jc w:val="both"/>
            <w:rPr>
              <w:rFonts w:ascii="Times New Roman" w:hAnsi="Times New Roman"/>
            </w:rPr>
          </w:pPr>
          <w:r>
            <w:rPr>
              <w:rFonts w:ascii="Times New Roman" w:hAnsi="Times New Roman"/>
              <w:sz w:val="20"/>
            </w:rPr>
            <w:t>Lietuvos Respublikos dizaino įstatymo Nr. IX-1181 2, 16, 51-1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53575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23.xml"/>
  <Relationship Id="rId20"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4c210bff4b644a4f877b4e87612f3eb1">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0b56f578f23240ce88507995bb690959"/>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c8d4c889a3754b92b7ffd5cc592d94fc"/>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459d6725562b46e3bf1c90955961c45b"/>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d0ff7320535546998c7304b7aac06e8d"/>
        <Part Type="strDalis" Nr="2" Abbr="26 str. 2 d." DocPartId="06d6e4ac5dd548e58f4ac9d9d0bc1726" PartId="fcc7ca5ea3b74712a8ed89d2bf588284"/>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Type="strDalis" Nr="4" Abbr="4 d." DocPartId="ea600ffaed374d079d3dc6db3acd0713" PartId="909477cf6b794ae0a014df38d57055cb"/>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118ce45dfb704606a7ff2e099bd07a4d">
    <Part Type="punktas" Nr="1" Abbr="pr. 1 p." DocPartId="c5a25e7f94b14d66968263f8cc63ea88" PartId="986f4bc23ce74598b62d9a46baff5bb3"/>
    <Part Type="punktas" Nr="2" Abbr="pr. 2 p." DocPartId="e39bb9a49f034d7a9e5c20fefb7b8566" PartId="aba1dd0f9cd74b468020b410fcf0a73c"/>
    <Part Type="punktas" Nr="3" Abbr="pr. 3 p." DocPartId="aeaf01c763784826a4c3bd8bcb047018" PartId="f0b26012da03462aa73e5a09c2964fff"/>
  </Part>
</Parts>
</file>

<file path=customXml/itemProps1.xml><?xml version="1.0" encoding="utf-8"?>
<ds:datastoreItem xmlns:ds="http://schemas.openxmlformats.org/officeDocument/2006/customXml" ds:itemID="{A090724D-41C1-4E9C-B8B4-83CE7701046A}">
  <ds:schemaRefs>
    <ds:schemaRef ds:uri="http://lrs.lt/TAIS/DocParts"/>
  </ds:schemaRefs>
</ds:datastoreItem>
</file>

<file path=docProps/app.xml><?xml version="1.0" encoding="utf-8"?>
<Properties xmlns="http://schemas.openxmlformats.org/officeDocument/2006/extended-properties">
  <Template>Normal.dotm</Template>
  <TotalTime>27</TotalTime>
  <Pages>22</Pages>
  <Words>49441</Words>
  <Characters>28182</Characters>
  <Application>Microsoft Office Word</Application>
  <DocSecurity>0</DocSecurity>
  <Lines>234</Lines>
  <Paragraphs>154</Paragraphs>
  <ScaleCrop>false</ScaleCrop>
  <Company/>
  <LinksUpToDate>false</LinksUpToDate>
  <CharactersWithSpaces>77469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GUMBYTĖ Danguolė</lastModifiedBy>
  <dcterms:modified xsi:type="dcterms:W3CDTF">2017-07-19T08:10:00Z</dcterms:modified>
  <revision>25</revision>
</coreProperties>
</file>