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5864ab2f2e4809a782daafbf3bd062"/>
        <w:lock w:val="sdtLocked"/>
        <w:richText/>
      </w:sdtPr>
      <w:sdtContent>
        <w:p>
          <w:pPr>
            <w:jc w:val="both"/>
            <w:rPr>
              <w:rFonts w:ascii="Times New Roman" w:hAnsi="Times New Roman"/>
            </w:rPr>
          </w:pPr>
          <w:r>
            <w:rPr>
              <w:rFonts w:ascii="Times New Roman" w:hAnsi="Times New Roman"/>
              <w:b/>
              <w:i/>
            </w:rPr>
            <w:t>Suvestinė redakcija nuo 2020-04-25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0b56f578f23240ce88507995bb690959"/>
                    <w:lock w:val="sdtLocked"/>
                    <w:richText/>
                  </w:sdtPr>
                  <w:sdtContent>
                    <w:p>
                      <w:pPr>
                        <w:ind w:firstLine="708"/>
                        <w:jc w:val="both"/>
                        <w:rPr>
                          <w:color w:val="000000"/>
                        </w:rPr>
                      </w:pPr>
                      <w:sdt>
                        <w:sdtPr>
                          <w:alias w:val="Numeris"/>
                          <w:tag w:val="nr_0b56f578f23240ce88507995bb690959"/>
                          <w:lock w:val="sdtLocked"/>
                          <w:richText/>
                        </w:sdtPr>
                        <w:sdtContent>
                          <w:r>
                            <w:rPr>
                              <w:color w:val="000000"/>
                            </w:rPr>
                            <w:t>8</w:t>
                          </w:r>
                        </w:sdtContent>
                      </w:sdt>
                      <w:r>
                        <w:rPr>
                          <w:color w:val="000000"/>
                        </w:rPr>
                        <w:t xml:space="preserve">. </w:t>
                      </w:r>
                      <w:r>
                        <w:rPr>
                          <w:i/>
                          <w:color w:val="000000"/>
                          <w:sz w:val="20"/>
                        </w:rPr>
                        <w:t>Neteko galios 2018-05-01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c8d4c889a3754b92b7ffd5cc592d94fc"/>
                    <w:lock w:val="sdtLocked"/>
                    <w:richText/>
                  </w:sdtPr>
                  <w:sdtContent>
                    <w:p>
                      <w:pPr>
                        <w:shd w:val="clear" w:color="000000" w:fill="auto"/>
                        <w:ind w:firstLine="708"/>
                        <w:jc w:val="both"/>
                        <w:rPr>
                          <w:color w:val="000000"/>
                        </w:rPr>
                      </w:pPr>
                      <w:sdt>
                        <w:sdtPr>
                          <w:alias w:val="Numeris"/>
                          <w:tag w:val="nr_c8d4c889a3754b92b7ffd5cc592d94fc"/>
                          <w:lock w:val="sdtLocked"/>
                          <w:richText/>
                        </w:sdtPr>
                        <w:sdtContent>
                          <w:r>
                            <w:rPr>
                              <w:color w:val="000000"/>
                            </w:rPr>
                            <w:t>2</w:t>
                          </w:r>
                        </w:sdtContent>
                      </w:sdt>
                      <w:r>
                        <w:rPr>
                          <w:color w:val="000000"/>
                        </w:rPr>
                        <w:t>. Vertinant individualias dizaino savybes, atsižvelgiama į dizainerio laisvę kuriant dizainą.</w:t>
                      </w:r>
                    </w:p>
                    <w:p>
                      <w:pPr>
                        <w:shd w:val="clear" w:color="000000" w:fill="auto"/>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459d6725562b46e3bf1c90955961c45b"/>
                    <w:lock w:val="sdtLocked"/>
                    <w:richText/>
                  </w:sdtPr>
                  <w:sdtContent>
                    <w:p>
                      <w:pPr>
                        <w:ind w:firstLine="720"/>
                        <w:jc w:val="both"/>
                      </w:pPr>
                      <w:sdt>
                        <w:sdtPr>
                          <w:alias w:val="Numeris"/>
                          <w:tag w:val="nr_459d6725562b46e3bf1c90955961c45b"/>
                          <w:lock w:val="sdtLocked"/>
                          <w:richText/>
                        </w:sdtPr>
                        <w:sdtContent>
                          <w:r>
                            <w:rPr>
                              <w:szCs w:val="24"/>
                            </w:rPr>
                            <w:t>2</w:t>
                          </w:r>
                        </w:sdtContent>
                      </w:sdt>
                      <w:r>
                        <w:rPr>
                          <w:szCs w:val="24"/>
                        </w:rP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d0ff7320535546998c7304b7aac06e8d"/>
                    <w:lock w:val="sdtLocked"/>
                    <w:richText/>
                  </w:sdtPr>
                  <w:sdtContent>
                    <w:p>
                      <w:pPr>
                        <w:ind w:firstLine="720"/>
                        <w:jc w:val="both"/>
                        <w:rPr>
                          <w:color w:val="000000"/>
                        </w:rPr>
                      </w:pPr>
                      <w:sdt>
                        <w:sdtPr>
                          <w:alias w:val="Numeris"/>
                          <w:tag w:val="nr_d0ff7320535546998c7304b7aac06e8d"/>
                          <w:lock w:val="sdtLocked"/>
                          <w:richText/>
                        </w:sdtPr>
                        <w:sdtContent>
                          <w:r>
                            <w:rPr>
                              <w:szCs w:val="24"/>
                            </w:rPr>
                            <w:t>1</w:t>
                          </w:r>
                        </w:sdtContent>
                      </w:sdt>
                      <w:r>
                        <w:rPr>
                          <w:szCs w:val="24"/>
                        </w:rPr>
                        <w:t>. Lietuvos Respublikos dizaino registras yra valstybės registras. Registro valdytoja yra Lietuvos Respublikos teisingumo ministerija, registro tvarkytojas – Valstybinis patentų biuras. Lietuvos Respublikos Vyriausybė gali skirti papildomą registro tvarkytoją.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sdt>
                  <w:sdtPr>
                    <w:alias w:val="6 d."/>
                    <w:tag w:val="part_e48bb6661fb34557b2bc26ab2c0f2209"/>
                    <w:lock w:val="sdtLocked"/>
                    <w:richText/>
                  </w:sdtPr>
                  <w:sdtContent>
                    <w:p>
                      <w:pPr>
                        <w:ind w:firstLine="720"/>
                        <w:jc w:val="both"/>
                      </w:pPr>
                      <w:sdt>
                        <w:sdtPr>
                          <w:alias w:val="Numeris"/>
                          <w:tag w:val="nr_e48bb6661fb34557b2bc26ab2c0f2209"/>
                          <w:lock w:val="sdtLocked"/>
                          <w:richText/>
                        </w:sdtPr>
                        <w:sdtContent>
                          <w:r>
                            <w:rPr>
                              <w:bCs/>
                              <w:color w:val="000000"/>
                            </w:rPr>
                            <w:t>6</w:t>
                          </w:r>
                        </w:sdtContent>
                      </w:sdt>
                      <w:r>
                        <w:rPr>
                          <w:bCs/>
                          <w:color w:val="000000"/>
                        </w:rPr>
                        <w:t xml:space="preserve">. Paskelbus nepaprastąją padėtį ar valstybės lygio ekstremaliąją situaciją, ar karantiną visoje Lietuvos Respublikos teritorijoje ir dėl to nustačius ribojimus, susijusius su asmenų laisvu judėjimu ar </w:t>
                      </w:r>
                      <w:r>
                        <w:rPr>
                          <w:bCs/>
                        </w:rPr>
                        <w:t>ūkinės veiklos laisve</w:t>
                      </w:r>
                      <w:r>
                        <w:rPr>
                          <w:bCs/>
                          <w:color w:val="000000"/>
                        </w:rPr>
                        <w:t>, šio įstatymo nustatytų veiksmų atlikimo terminų, išskyrus Valstybinio patentų biuro veiksmų atlikimo terminus, eiga sustabdoma. Kai ribojimai atšaukiami, šių terminų eiga atnaujinama. Informacija apie terminų sustabdymą ir atnaujinimą skelbiama Valstybinio patentų biuro interneto svetainėje.</w:t>
                      </w:r>
                      <w:r>
                        <w:t xml:space="preserve"> </w:t>
                      </w:r>
                    </w:p>
                    <w:p>
                      <w:pPr>
                        <w:jc w:val="both"/>
                      </w:pPr>
                      <w:r>
                        <w:rPr>
                          <w:b/>
                          <w:i/>
                          <w:sz w:val="20"/>
                        </w:rPr>
                        <w:t>TAR pastaba.</w:t>
                      </w:r>
                      <w:r>
                        <w:rPr>
                          <w:i/>
                          <w:sz w:val="20"/>
                        </w:rPr>
                        <w:t xml:space="preserve"> 6 dalyje </w:t>
                      </w:r>
                      <w:r>
                        <w:rPr>
                          <w:bCs/>
                          <w:i/>
                          <w:sz w:val="20"/>
                        </w:rPr>
                        <w:t xml:space="preserve">nustatytas terminų eigos sustabdymas taikomas terminams, kurie nebuvo suėję iki </w:t>
                      </w:r>
                      <w:r>
                        <w:rPr>
                          <w:bCs/>
                          <w:i/>
                          <w:color w:val="000000"/>
                          <w:sz w:val="20"/>
                        </w:rPr>
                        <w:t>Lietuvos Respublikos Vyriausybės 2020 m. kovo 14 d. nutarimo Nr. 207 „Dėl karantino Lietuvos Respublikos teritorijoje paskelbimo“</w:t>
                      </w:r>
                      <w:r>
                        <w:rPr>
                          <w:bCs/>
                          <w:i/>
                          <w:sz w:val="20"/>
                        </w:rPr>
                        <w:t xml:space="preserve"> įsigaliojimo (2020-03-15), ir terminams, kurie prasidėjo įsigaliojus šiam nutarimui</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a2060862f11eab005936df725feed">
                        <w:r w:rsidRPr="00532B9F">
                          <w:rPr>
                            <w:rFonts w:ascii="Times New Roman" w:eastAsia="MS Mincho" w:hAnsi="Times New Roman"/>
                            <w:sz w:val="20"/>
                            <w:i/>
                            <w:iCs/>
                            <w:color w:val="0000FF" w:themeColor="hyperlink"/>
                            <w:u w:val="single"/>
                          </w:rPr>
                          <w:t>XIII-2858</w:t>
                        </w:r>
                      </w:fldSimple>
                      <w:r>
                        <w:rPr>
                          <w:rFonts w:ascii="Times New Roman" w:eastAsia="MS Mincho" w:hAnsi="Times New Roman"/>
                          <w:sz w:val="20"/>
                          <w:i/>
                          <w:iCs/>
                        </w:rPr>
                        <w:t>,
2020-04-21,
paskelbta TAR 2020-04-24, i. k. 2020-08722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sdt>
                  <w:sdtPr>
                    <w:alias w:val="4 d."/>
                    <w:tag w:val="part_909477cf6b794ae0a014df38d57055cb"/>
                    <w:lock w:val="sdtLocked"/>
                    <w:richText/>
                  </w:sdtPr>
                  <w:sdtContent>
                    <w:p>
                      <w:pPr>
                        <w:ind w:firstLine="720"/>
                        <w:jc w:val="both"/>
                      </w:pPr>
                      <w:sdt>
                        <w:sdtPr>
                          <w:alias w:val="Numeris"/>
                          <w:tag w:val="nr_909477cf6b794ae0a014df38d57055cb"/>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118ce45dfb704606a7ff2e099bd07a4d"/>
        <w:lock w:val="sdtLocked"/>
        <w:richText/>
      </w:sdtPr>
      <w:sdtContent>
        <w:p>
          <w:pPr>
            <w:ind w:firstLine="6480"/>
            <w:jc w:val="both"/>
            <w:rPr>
              <w:bCs/>
              <w:color w:val="000000"/>
              <w:szCs w:val="24"/>
            </w:rPr>
          </w:pPr>
          <w:r>
            <w:rPr>
              <w:bCs/>
              <w:color w:val="000000"/>
              <w:szCs w:val="24"/>
            </w:rPr>
            <w:t>Lietuvos Respublikos</w:t>
          </w:r>
        </w:p>
        <w:p>
          <w:pPr>
            <w:ind w:firstLine="6480"/>
            <w:jc w:val="both"/>
            <w:rPr>
              <w:bCs/>
              <w:color w:val="000000"/>
              <w:szCs w:val="24"/>
            </w:rPr>
          </w:pPr>
          <w:r>
            <w:rPr>
              <w:bCs/>
              <w:color w:val="000000"/>
              <w:szCs w:val="24"/>
            </w:rPr>
            <w:t>dizaino įstatymo</w:t>
          </w:r>
        </w:p>
        <w:p>
          <w:pPr>
            <w:ind w:firstLine="6480"/>
            <w:jc w:val="both"/>
            <w:rPr>
              <w:bCs/>
              <w:color w:val="000000"/>
              <w:szCs w:val="24"/>
            </w:rPr>
          </w:pPr>
          <w:r>
            <w:rPr>
              <w:bCs/>
              <w:color w:val="000000"/>
              <w:szCs w:val="24"/>
            </w:rPr>
            <w:t>priedas</w:t>
          </w:r>
        </w:p>
        <w:p>
          <w:pPr>
            <w:ind w:firstLine="720"/>
            <w:jc w:val="both"/>
            <w:rPr>
              <w:bCs/>
              <w:color w:val="000000"/>
              <w:szCs w:val="24"/>
            </w:rPr>
          </w:pPr>
        </w:p>
        <w:p>
          <w:pPr>
            <w:jc w:val="center"/>
            <w:rPr>
              <w:szCs w:val="24"/>
            </w:rPr>
          </w:pPr>
          <w:sdt>
            <w:sdtPr>
              <w:alias w:val="Pavadinimas"/>
              <w:tag w:val="title_118ce45dfb704606a7ff2e099bd07a4d"/>
              <w:lock w:val="sdtLocked"/>
              <w:richText/>
            </w:sdtPr>
            <w:sdtContent>
              <w:r>
                <w:rPr>
                  <w:b/>
                  <w:bCs/>
                  <w:color w:val="000000"/>
                  <w:szCs w:val="24"/>
                </w:rPr>
                <w:t>ĮGYVENDINAMI EUROPOS SĄJUNGOS TEISĖS AKTAI</w:t>
              </w:r>
            </w:sdtContent>
          </w:sdt>
        </w:p>
        <w:p>
          <w:pPr>
            <w:ind w:firstLine="720"/>
            <w:jc w:val="both"/>
            <w:rPr>
              <w:szCs w:val="24"/>
            </w:rPr>
          </w:pPr>
        </w:p>
        <w:sdt>
          <w:sdtPr>
            <w:alias w:val="pr. 1 p."/>
            <w:tag w:val="part_986f4bc23ce74598b62d9a46baff5bb3"/>
            <w:lock w:val="sdtLocked"/>
            <w:richText/>
          </w:sdtPr>
          <w:sdtContent>
            <w:p>
              <w:pPr>
                <w:ind w:firstLine="720"/>
                <w:jc w:val="both"/>
                <w:rPr>
                  <w:szCs w:val="24"/>
                </w:rPr>
              </w:pPr>
              <w:sdt>
                <w:sdtPr>
                  <w:alias w:val="Numeris"/>
                  <w:tag w:val="nr_986f4bc23ce74598b62d9a46baff5bb3"/>
                  <w:lock w:val="sdtLocked"/>
                  <w:richText/>
                </w:sdtPr>
                <w:sdtContent>
                  <w:r>
                    <w:rPr>
                      <w:color w:val="000000"/>
                      <w:szCs w:val="24"/>
                    </w:rPr>
                    <w:t>1</w:t>
                  </w:r>
                </w:sdtContent>
              </w:sdt>
              <w:r>
                <w:rPr>
                  <w:color w:val="000000"/>
                  <w:szCs w:val="24"/>
                </w:rPr>
                <w:t xml:space="preserve">. 1998 m. spalio 13 d. Europos Parlamento ir Tarybos direktyva dėl teisinės dizaino apsaugos 98/71/EB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21 tomas, p. 120).</w:t>
              </w:r>
            </w:p>
          </w:sdtContent>
        </w:sdt>
        <w:sdt>
          <w:sdtPr>
            <w:alias w:val="pr. 2 p."/>
            <w:tag w:val="part_aba1dd0f9cd74b468020b410fcf0a73c"/>
            <w:lock w:val="sdtLocked"/>
            <w:richText/>
          </w:sdtPr>
          <w:sdtContent>
            <w:p>
              <w:pPr>
                <w:ind w:firstLine="720"/>
                <w:jc w:val="both"/>
                <w:rPr>
                  <w:szCs w:val="24"/>
                </w:rPr>
              </w:pPr>
              <w:sdt>
                <w:sdtPr>
                  <w:alias w:val="Numeris"/>
                  <w:tag w:val="nr_aba1dd0f9cd74b468020b410fcf0a73c"/>
                  <w:lock w:val="sdtLocked"/>
                  <w:richText/>
                </w:sdtPr>
                <w:sdtContent>
                  <w:r>
                    <w:rPr>
                      <w:color w:val="000000"/>
                      <w:szCs w:val="24"/>
                    </w:rPr>
                    <w:t>2</w:t>
                  </w:r>
                </w:sdtContent>
              </w:sdt>
              <w:r>
                <w:rPr>
                  <w:color w:val="000000"/>
                  <w:szCs w:val="24"/>
                </w:rPr>
                <w:t>. 2001 m. gruodžio 12 d. Tarybos reglamentas dėl Bendrijos dizaino (EB) Nr. 6/2002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27 tomas, p. 142).</w:t>
              </w:r>
            </w:p>
          </w:sdtContent>
        </w:sdt>
        <w:sdt>
          <w:sdtPr>
            <w:alias w:val="pr. 3 p."/>
            <w:tag w:val="part_f0b26012da03462aa73e5a09c2964fff"/>
            <w:lock w:val="sdtLocked"/>
            <w:richText/>
          </w:sdtPr>
          <w:sdtContent>
            <w:p>
              <w:pPr>
                <w:ind w:firstLine="720"/>
                <w:jc w:val="both"/>
              </w:pPr>
              <w:sdt>
                <w:sdtPr>
                  <w:alias w:val="Numeris"/>
                  <w:tag w:val="nr_f0b26012da03462aa73e5a09c2964fff"/>
                  <w:lock w:val="sdtLocked"/>
                  <w:richText/>
                </w:sdtPr>
                <w:sdtContent>
                  <w:r>
                    <w:rPr>
                      <w:color w:val="000000"/>
                      <w:szCs w:val="24"/>
                    </w:rPr>
                    <w:t>3</w:t>
                  </w:r>
                </w:sdtContent>
              </w:sdt>
              <w:r>
                <w:rPr>
                  <w:color w:val="000000"/>
                  <w:szCs w:val="24"/>
                </w:rPr>
                <w:t xml:space="preserve">. 2004 m. balandžio 29 d. Europos Parlamento ir Tarybos direktyva 2004/48/EB dėl intelektinės nuosavybės teisių gynimo </w:t>
              </w:r>
              <w:r>
                <w:rPr>
                  <w:szCs w:val="24"/>
                </w:rPr>
                <w:t xml:space="preserve">(OL </w:t>
              </w:r>
              <w:r>
                <w:rPr>
                  <w:iCs/>
                  <w:szCs w:val="24"/>
                </w:rPr>
                <w:t>2004 m.</w:t>
              </w:r>
              <w:r>
                <w:rPr>
                  <w:i/>
                  <w:iCs/>
                  <w:szCs w:val="24"/>
                </w:rPr>
                <w:t xml:space="preserve"> specialusis leidimas</w:t>
              </w:r>
              <w:r>
                <w:rPr>
                  <w:szCs w:val="24"/>
                </w:rPr>
                <w:t>,</w:t>
              </w:r>
              <w:r>
                <w:rPr>
                  <w:i/>
                  <w:iCs/>
                  <w:szCs w:val="24"/>
                </w:rPr>
                <w:t xml:space="preserve"> </w:t>
              </w:r>
              <w:r>
                <w:rPr>
                  <w:szCs w:val="24"/>
                </w:rPr>
                <w:t>17 skyrius, 2 tomas, p. 32).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cb7c60663e11e7b85cfdc787069b42">
            <w:r w:rsidRPr="00532B9F">
              <w:rPr>
                <w:rFonts w:ascii="Times New Roman" w:eastAsia="MS Mincho" w:hAnsi="Times New Roman"/>
                <w:sz w:val="20"/>
                <w:iCs/>
                <w:color w:val="0000FF" w:themeColor="hyperlink"/>
                <w:u w:val="single"/>
              </w:rPr>
              <w:t>XIII-547</w:t>
            </w:r>
          </w:fldSimple>
          <w:r>
            <w:rPr>
              <w:rFonts w:ascii="Times New Roman" w:eastAsia="MS Mincho" w:hAnsi="Times New Roman"/>
              <w:sz w:val="20"/>
              <w:iCs/>
            </w:rPr>
            <w:t>,
2017-06-29,
paskelbta TAR 2017-07-11, i. k. 2017-11944                </w:t>
          </w:r>
        </w:p>
        <w:p>
          <w:pPr>
            <w:jc w:val="both"/>
            <w:rPr>
              <w:rFonts w:ascii="Times New Roman" w:hAnsi="Times New Roman"/>
            </w:rPr>
          </w:pPr>
          <w:r>
            <w:rPr>
              <w:rFonts w:ascii="Times New Roman" w:hAnsi="Times New Roman"/>
              <w:sz w:val="20"/>
            </w:rPr>
            <w:t>Lietuvos Respublikos dizaino įstatymo Nr. IX-1181 2, 16, 51-1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0a2060862f11eab005936df725feed">
            <w:r w:rsidRPr="00532B9F">
              <w:rPr>
                <w:rFonts w:ascii="Times New Roman" w:eastAsia="MS Mincho" w:hAnsi="Times New Roman"/>
                <w:sz w:val="20"/>
                <w:iCs/>
                <w:color w:val="0000FF" w:themeColor="hyperlink"/>
                <w:u w:val="single"/>
              </w:rPr>
              <w:t>XIII-2858</w:t>
            </w:r>
          </w:fldSimple>
          <w:r>
            <w:rPr>
              <w:rFonts w:ascii="Times New Roman" w:eastAsia="MS Mincho" w:hAnsi="Times New Roman"/>
              <w:sz w:val="20"/>
              <w:iCs/>
            </w:rPr>
            <w:t>,
2020-04-21,
paskelbta TAR 2020-04-24, i. k. 2020-08722                </w:t>
          </w:r>
        </w:p>
        <w:p>
          <w:pPr>
            <w:jc w:val="both"/>
            <w:rPr>
              <w:rFonts w:ascii="Times New Roman" w:hAnsi="Times New Roman"/>
            </w:rPr>
          </w:pPr>
          <w:r>
            <w:rPr>
              <w:rFonts w:ascii="Times New Roman" w:hAnsi="Times New Roman"/>
              <w:sz w:val="20"/>
            </w:rPr>
            <w:t>Lietuvos Respublikos dizaino įstatymo Nr. IX-1181 32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A1CC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9.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26.xml"/>
  <Relationship Id="rId20"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7b5864ab2f2e4809a782daafbf3bd062">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0b56f578f23240ce88507995bb690959"/>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c8d4c889a3754b92b7ffd5cc592d94fc"/>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459d6725562b46e3bf1c90955961c45b"/>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d0ff7320535546998c7304b7aac06e8d"/>
        <Part Type="strDalis" Nr="2" Abbr="26 str. 2 d." DocPartId="06d6e4ac5dd548e58f4ac9d9d0bc1726" PartId="fcc7ca5ea3b74712a8ed89d2bf588284"/>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Type="strDalis" Nr="6" Abbr="6 d." DocPartId="7403b89c870a4e68a4ae649008dfd5b3" PartId="e48bb6661fb34557b2bc26ab2c0f2209"/>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Type="strDalis" Nr="4" Abbr="4 d." DocPartId="ea600ffaed374d079d3dc6db3acd0713" PartId="909477cf6b794ae0a014df38d57055cb"/>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118ce45dfb704606a7ff2e099bd07a4d">
    <Part Type="punktas" Nr="1" Abbr="pr. 1 p." DocPartId="c5a25e7f94b14d66968263f8cc63ea88" PartId="986f4bc23ce74598b62d9a46baff5bb3"/>
    <Part Type="punktas" Nr="2" Abbr="pr. 2 p." DocPartId="e39bb9a49f034d7a9e5c20fefb7b8566" PartId="aba1dd0f9cd74b468020b410fcf0a73c"/>
    <Part Type="punktas" Nr="3" Abbr="pr. 3 p." DocPartId="aeaf01c763784826a4c3bd8bcb047018" PartId="f0b26012da03462aa73e5a09c2964fff"/>
  </Part>
</Parts>
</file>

<file path=customXml/itemProps1.xml><?xml version="1.0" encoding="utf-8"?>
<ds:datastoreItem xmlns:ds="http://schemas.openxmlformats.org/officeDocument/2006/customXml" ds:itemID="{EBF59D0C-87B3-44AB-BCF9-8DE4A2D04BF5}">
  <ds:schemaRefs>
    <ds:schemaRef ds:uri="http://lrs.lt/TAIS/DocParts"/>
  </ds:schemaRefs>
</ds:datastoreItem>
</file>

<file path=docProps/app.xml><?xml version="1.0" encoding="utf-8"?>
<Properties xmlns="http://schemas.openxmlformats.org/officeDocument/2006/extended-properties">
  <Template>Normal.dotm</Template>
  <TotalTime>30</TotalTime>
  <Pages>22</Pages>
  <Words>49097</Words>
  <Characters>27986</Characters>
  <Application>Microsoft Office Word</Application>
  <DocSecurity>0</DocSecurity>
  <Lines>233</Lines>
  <Paragraphs>153</Paragraphs>
  <ScaleCrop>false</ScaleCrop>
  <Company/>
  <LinksUpToDate>false</LinksUpToDate>
  <CharactersWithSpaces>76930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2020-04-27T06:14:00Z</dcterms:modified>
  <revision>27</revision>
</coreProperties>
</file>