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fc7c210e27a5442bae0b3ab226d5fc62"/>
        <w:lock w:val="sdtLocked"/>
        <w:richText/>
      </w:sdtPr>
      <w:sdtContent>
        <w:p>
          <w:pPr>
            <w:jc w:val="both"/>
            <w:rPr>
              <w:rFonts w:ascii="Times New Roman" w:hAnsi="Times New Roman"/>
            </w:rPr>
          </w:pPr>
          <w:r>
            <w:rPr>
              <w:rFonts w:ascii="Times New Roman" w:hAnsi="Times New Roman"/>
              <w:b/>
              <w:i/>
            </w:rPr>
            <w:t>Suvestinė redakcija nuo 2021-12-31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cd6f5aeb40b743fcbf792b4c29310023"/>
                    <w:lock w:val="sdtLocked"/>
                    <w:richText/>
                  </w:sdtPr>
                  <w:sdtContent>
                    <w:p>
                      <w:pPr>
                        <w:ind w:firstLine="720"/>
                        <w:jc w:val="both"/>
                        <w:rPr>
                          <w:color w:val="000000"/>
                        </w:rPr>
                      </w:pPr>
                      <w:sdt>
                        <w:sdtPr>
                          <w:alias w:val="Numeris"/>
                          <w:tag w:val="nr_cd6f5aeb40b743fcbf792b4c29310023"/>
                          <w:lock w:val="sdtLocked"/>
                          <w:richText/>
                        </w:sdtPr>
                        <w:sdtContent>
                          <w:r>
                            <w:rPr>
                              <w:szCs w:val="24"/>
                            </w:rPr>
                            <w:t>10</w:t>
                          </w:r>
                        </w:sdtContent>
                      </w:sdt>
                      <w:r>
                        <w:rPr>
                          <w:szCs w:val="24"/>
                        </w:rPr>
                        <w:t xml:space="preserve">. </w:t>
                      </w:r>
                      <w:r>
                        <w:rPr>
                          <w:b/>
                          <w:szCs w:val="24"/>
                        </w:rPr>
                        <w:t>Finansų kontroliuojančioji bendrovė</w:t>
                      </w:r>
                      <w:r>
                        <w:rPr>
                          <w:szCs w:val="24"/>
                        </w:rPr>
                        <w:t xml:space="preserve"> – kaip apibrėžta 2013 m. birželio 26 d. Europos Parlamento ir Tarybos reglamento (ES) Nr. 575/2013 dėl prudencinių reikalavimų kredito įstaigoms ir investicinėms įmonėms ir kuriuo iš dalies keičiamas Reglamentas (ES) Nr. 648/2012 (OL 2013 L 176, p. 1) (toliau – Reglamentas (ES) Nr. 575/2013)  4 straipsnio 1 dalies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4 p."/>
                        <w:tag w:val="part_9b234fa4864c44ff903556ec0d8ad957"/>
                        <w:lock w:val="sdtLocked"/>
                        <w:richText/>
                      </w:sdtPr>
                      <w:sdtContent>
                        <w:p>
                          <w:pPr>
                            <w:ind w:firstLine="720"/>
                            <w:jc w:val="both"/>
                          </w:pPr>
                          <w:sdt>
                            <w:sdtPr>
                              <w:alias w:val="Numeris"/>
                              <w:tag w:val="nr_9b234fa4864c44ff903556ec0d8ad957"/>
                              <w:lock w:val="sdtLocked"/>
                              <w:richText/>
                            </w:sdtPr>
                            <w:sdtContent>
                              <w:r>
                                <w:rPr>
                                  <w:sz w:val="22"/>
                                  <w:szCs w:val="22"/>
                                </w:rPr>
                                <w:t>4</w:t>
                              </w:r>
                            </w:sdtContent>
                          </w:sdt>
                          <w:r>
                            <w:rPr>
                              <w:sz w:val="22"/>
                              <w:szCs w:val="22"/>
                            </w:rPr>
                            <w:t>) sutelktinio finansavimo sandorių sudarymas per sutelktinio finansavimo platformą, kaip tai apibrėžta Lietuvos Respublikos sutelktinio finansavimo įstatyme, jeigu projekto savininkas nesiverčia sandorių, turinčių galimos rizikos požymių, sudarymu;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21 p."/>
                        <w:tag w:val="part_02f425e4cde5437bbcb86a87ff88b4c5"/>
                        <w:lock w:val="sdtLocked"/>
                        <w:richText/>
                      </w:sdtPr>
                      <w:sdtContent>
                        <w:p>
                          <w:pPr>
                            <w:ind w:firstLine="720"/>
                            <w:jc w:val="both"/>
                          </w:pPr>
                          <w:sdt>
                            <w:sdtPr>
                              <w:alias w:val="Numeris"/>
                              <w:tag w:val="nr_02f425e4cde5437bbcb86a87ff88b4c5"/>
                              <w:lock w:val="sdtLocked"/>
                              <w:richText/>
                            </w:sdtPr>
                            <w:sdtContent>
                              <w:r>
                                <w:rPr>
                                  <w:sz w:val="22"/>
                                  <w:szCs w:val="22"/>
                                </w:rPr>
                                <w:t>21</w:t>
                              </w:r>
                            </w:sdtContent>
                          </w:sdt>
                          <w:r>
                            <w:rPr>
                              <w:sz w:val="22"/>
                              <w:szCs w:val="22"/>
                            </w:rPr>
                            <w:t>) sutelktinio finansavimo platformos operatoriaus veikla</w:t>
                          </w:r>
                          <w:r>
                            <w:rPr>
                              <w:sz w:val="22"/>
                              <w:szCs w:val="22"/>
                              <w:lang w:eastAsia="lt-LT"/>
                            </w:rPr>
                            <w:t xml:space="preserve">, </w:t>
                          </w:r>
                          <w:r>
                            <w:rPr>
                              <w:color w:val="000000"/>
                              <w:sz w:val="22"/>
                              <w:szCs w:val="22"/>
                              <w:shd w:val="clear" w:color="auto" w:fill="FFFFFF"/>
                            </w:rPr>
                            <w:t>kaip tai apibrėžta Lietuvos Respublikos sutelktinio finansavimo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cae9f6b4df65495aa5e8301d6223f0fd"/>
                    <w:lock w:val="sdtLocked"/>
                    <w:richText/>
                  </w:sdtPr>
                  <w:sdtContent>
                    <w:p>
                      <w:pPr>
                        <w:ind w:firstLine="720"/>
                        <w:jc w:val="both"/>
                        <w:rPr>
                          <w:color w:val="000000"/>
                        </w:rPr>
                      </w:pPr>
                      <w:sdt>
                        <w:sdtPr>
                          <w:alias w:val="Numeris"/>
                          <w:tag w:val="nr_cae9f6b4df65495aa5e8301d6223f0fd"/>
                          <w:lock w:val="sdtLocked"/>
                          <w:richText/>
                        </w:sdtPr>
                        <w:sdtContent>
                          <w:r>
                            <w:rPr>
                              <w:sz w:val="22"/>
                              <w:szCs w:val="22"/>
                            </w:rPr>
                            <w:t>3</w:t>
                          </w:r>
                        </w:sdtContent>
                      </w:sdt>
                      <w:r>
                        <w:rPr>
                          <w:sz w:val="22"/>
                          <w:szCs w:val="22"/>
                        </w:rPr>
                        <w:t xml:space="preserve">.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(OL 2013 L 287, p. 63), nuostatas priežiūrą atlieka  Europos centrinis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a7a1b78c71824c7da320474eb9b2a903"/>
                    <w:lock w:val="sdtLocked"/>
                    <w:richText/>
                  </w:sdtPr>
                  <w:sdtContent>
                    <w:p>
                      <w:pPr>
                        <w:ind w:firstLine="720"/>
                        <w:jc w:val="both"/>
                      </w:pPr>
                      <w:sdt>
                        <w:sdtPr>
                          <w:alias w:val="Numeris"/>
                          <w:tag w:val="nr_a7a1b78c71824c7da320474eb9b2a903"/>
                          <w:lock w:val="sdtLocked"/>
                          <w:richText/>
                        </w:sdtPr>
                        <w:sdtContent>
                          <w:r>
                            <w:rPr>
                              <w:szCs w:val="24"/>
                            </w:rPr>
                            <w:t>6</w:t>
                          </w:r>
                        </w:sdtContent>
                      </w:sdt>
                      <w:r>
                        <w:rPr>
                          <w:szCs w:val="24"/>
                        </w:rPr>
                        <w:t>. Šio įstatymo 20 straipsnio 2 dalyje, 44 straipsnio 3 dalyje ir 46 straipsnio 3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9eafb103cd0f444880a07778d9d85f5c"/>
        <w:lock w:val="sdtLocked"/>
        <w:richText/>
      </w:sdtPr>
      <w:sdtContent>
        <w:p>
          <w:pPr>
            <w:ind w:firstLine="6480"/>
            <w:jc w:val="both"/>
            <w:rPr>
              <w:szCs w:val="24"/>
              <w:lang w:eastAsia="lt-LT"/>
            </w:rPr>
          </w:pPr>
          <w:r>
            <w:rPr>
              <w:szCs w:val="24"/>
              <w:lang w:eastAsia="lt-LT"/>
            </w:rPr>
            <w:t>Lietuvos Respublikos</w:t>
          </w:r>
          <w:r>
            <w:rPr>
              <w:b/>
              <w:bCs/>
              <w:szCs w:val="24"/>
              <w:lang w:eastAsia="lt-LT"/>
            </w:rPr>
            <w:t xml:space="preserve"> </w:t>
          </w:r>
        </w:p>
        <w:p>
          <w:pPr>
            <w:ind w:firstLine="6480"/>
            <w:jc w:val="both"/>
            <w:rPr>
              <w:szCs w:val="24"/>
              <w:lang w:eastAsia="lt-LT"/>
            </w:rPr>
          </w:pPr>
          <w:r>
            <w:rPr>
              <w:szCs w:val="24"/>
              <w:lang w:eastAsia="lt-LT"/>
            </w:rPr>
            <w:t>finansų įstaigų įstatymo</w:t>
          </w:r>
        </w:p>
        <w:p>
          <w:pPr>
            <w:ind w:firstLine="6480"/>
            <w:jc w:val="both"/>
            <w:rPr>
              <w:szCs w:val="24"/>
              <w:lang w:eastAsia="lt-LT"/>
            </w:rPr>
          </w:pPr>
          <w:r>
            <w:rPr>
              <w:szCs w:val="24"/>
              <w:lang w:eastAsia="lt-LT"/>
            </w:rPr>
            <w:t>priedas</w:t>
          </w:r>
        </w:p>
        <w:p>
          <w:pPr>
            <w:ind w:firstLine="720"/>
            <w:jc w:val="center"/>
            <w:rPr>
              <w:bCs/>
              <w:szCs w:val="24"/>
              <w:lang w:eastAsia="lt-LT"/>
            </w:rPr>
          </w:pPr>
        </w:p>
        <w:p>
          <w:pPr>
            <w:jc w:val="center"/>
            <w:rPr>
              <w:b/>
              <w:bCs/>
              <w:szCs w:val="24"/>
              <w:lang w:eastAsia="lt-LT"/>
            </w:rPr>
          </w:pPr>
          <w:sdt>
            <w:sdtPr>
              <w:alias w:val="Pavadinimas"/>
              <w:tag w:val="title_9eafb103cd0f444880a07778d9d85f5c"/>
              <w:lock w:val="sdtLocked"/>
              <w:richText/>
            </w:sdtPr>
            <w:sdtContent>
              <w:r>
                <w:rPr>
                  <w:b/>
                  <w:bCs/>
                  <w:szCs w:val="24"/>
                  <w:lang w:eastAsia="lt-LT"/>
                </w:rPr>
                <w:t>ĮGYVENDINAMI EUROPOS SĄJUNGOS TEISĖS AKTAI</w:t>
              </w:r>
            </w:sdtContent>
          </w:sdt>
        </w:p>
        <w:p>
          <w:pPr>
            <w:ind w:firstLine="720"/>
            <w:jc w:val="center"/>
            <w:rPr>
              <w:szCs w:val="24"/>
              <w:lang w:eastAsia="lt-LT"/>
            </w:rPr>
          </w:pPr>
        </w:p>
        <w:sdt>
          <w:sdtPr>
            <w:alias w:val="pr. 1 p."/>
            <w:tag w:val="part_a9428d902b394feb8dc5924b9963d8ef"/>
            <w:lock w:val="sdtLocked"/>
            <w:richText/>
          </w:sdtPr>
          <w:sdtContent>
            <w:p>
              <w:pPr>
                <w:ind w:firstLine="720"/>
                <w:jc w:val="both"/>
                <w:rPr>
                  <w:szCs w:val="24"/>
                  <w:lang w:eastAsia="lt-LT"/>
                </w:rPr>
              </w:pPr>
              <w:sdt>
                <w:sdtPr>
                  <w:alias w:val="Numeris"/>
                  <w:tag w:val="nr_a9428d902b394feb8dc5924b9963d8ef"/>
                  <w:lock w:val="sdtLocked"/>
                  <w:richText/>
                </w:sdtPr>
                <w:sdtContent>
                  <w:r>
                    <w:rPr>
                      <w:szCs w:val="24"/>
                      <w:lang w:eastAsia="lt-LT"/>
                    </w:rPr>
                    <w:t>1</w:t>
                  </w:r>
                </w:sdtContent>
              </w:sdt>
              <w:r>
                <w:rPr>
                  <w:szCs w:val="24"/>
                  <w:lang w:eastAsia="lt-LT"/>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p>
          </w:sdtContent>
        </w:sdt>
        <w:sdt>
          <w:sdtPr>
            <w:alias w:val="pr. 2 p."/>
            <w:tag w:val="part_2ef308aaef794a08a2407c3973c99277"/>
            <w:lock w:val="sdtLocked"/>
            <w:richText/>
          </w:sdtPr>
          <w:sdtContent>
            <w:p>
              <w:pPr>
                <w:ind w:firstLine="720"/>
                <w:jc w:val="both"/>
                <w:rPr>
                  <w:szCs w:val="24"/>
                  <w:lang w:eastAsia="lt-LT"/>
                </w:rPr>
              </w:pPr>
              <w:sdt>
                <w:sdtPr>
                  <w:alias w:val="Numeris"/>
                  <w:tag w:val="nr_2ef308aaef794a08a2407c3973c99277"/>
                  <w:lock w:val="sdtLocked"/>
                  <w:richText/>
                </w:sdtPr>
                <w:sdtContent>
                  <w:r>
                    <w:rPr>
                      <w:szCs w:val="24"/>
                      <w:lang w:eastAsia="lt-LT"/>
                    </w:rPr>
                    <w:t>2</w:t>
                  </w:r>
                </w:sdtContent>
              </w:sdt>
              <w:r>
                <w:rPr>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(OL 2013 L 176, p. 338).</w:t>
              </w:r>
            </w:p>
          </w:sdtContent>
        </w:sdt>
        <w:sdt>
          <w:sdtPr>
            <w:alias w:val="pr. 3 p."/>
            <w:tag w:val="part_1ecf79f83c1340baa588adf756f0288a"/>
            <w:lock w:val="sdtLocked"/>
            <w:richText/>
          </w:sdtPr>
          <w:sdtContent>
            <w:p>
              <w:pPr>
                <w:ind w:firstLine="720"/>
                <w:jc w:val="both"/>
              </w:pPr>
              <w:sdt>
                <w:sdtPr>
                  <w:alias w:val="Numeris"/>
                  <w:tag w:val="nr_1ecf79f83c1340baa588adf756f0288a"/>
                  <w:lock w:val="sdtLocked"/>
                  <w:richText/>
                </w:sdtPr>
                <w:sdtContent>
                  <w:r>
                    <w:rPr>
                      <w:szCs w:val="24"/>
                      <w:lang w:eastAsia="lt-LT"/>
                    </w:rPr>
                    <w:t>3</w:t>
                  </w:r>
                </w:sdtContent>
              </w:sdt>
              <w:r>
                <w:rPr>
                  <w:szCs w:val="24"/>
                  <w:lang w:eastAsia="lt-LT"/>
                </w:rPr>
                <w:t>.</w:t>
              </w:r>
              <w:r>
                <w:rPr>
                  <w:szCs w:val="24"/>
                </w:rPr>
                <w:t xml:space="preserve"> 2015 m. lapkričio 25 d. Europos Parlamento ir Tarybos direktyva (ES) 2015/2366 dėl mokėjimo paslaugų vidaus rinkoje, kuria iš dalies keičiamos direktyvos 2002/65/EB, 2009/110/EB ir 2013/36/ES bei Reglamentas (ES) Nr. 1093/2010 ir panaikinama Direktyva 2007/64/EB (OL 2015 L 337, p. 35).</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EA0FC00E-1BF8-44F2-8BFB-4C50C295DC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8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8.wmf"/>
  <Relationship Id="rId15" Type="http://schemas.openxmlformats.org/officeDocument/2006/relationships/control" Target="activeX/activeX28.xml"/>
  <Relationship Id="rId16" Type="http://schemas.openxmlformats.org/officeDocument/2006/relationships/customXml" Target="../customXml/item1.xml"/>
  <Relationship Id="rId2" Type="http://schemas.openxmlformats.org/officeDocument/2006/relationships/header" Target="header83.xml"/>
  <Relationship Id="rId3" Type="http://schemas.openxmlformats.org/officeDocument/2006/relationships/footer" Target="footer82.xml"/>
  <Relationship Id="rId4" Type="http://schemas.openxmlformats.org/officeDocument/2006/relationships/footer" Target="footer83.xml"/>
  <Relationship Id="rId5" Type="http://schemas.openxmlformats.org/officeDocument/2006/relationships/header" Target="header84.xml"/>
  <Relationship Id="rId6" Type="http://schemas.openxmlformats.org/officeDocument/2006/relationships/footer" Target="footer8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fc7c210e27a5442bae0b3ab226d5fc62">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cd6f5aeb40b743fcbf792b4c29310023"/>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4 p." DocPartId="22a0c9175f4a4186b359c0aa9ea963ad" PartId="9b234fa4864c44ff903556ec0d8ad957"/>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21 p." DocPartId="7e9f357ba91147709263ca2aa3ecce10" PartId="02f425e4cde5437bbcb86a87ff88b4c5"/>
          <Part Type="strPunktas" Nr="22" Abbr="22 p." DocPartId="7d8b2ce1739249d5bb84732262edb51c" PartId="f7beed878fc248718d0aa6123ea082d3"/>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cae9f6b4df65495aa5e8301d6223f0f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a7a1b78c71824c7da320474eb9b2a903"/>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9eafb103cd0f444880a07778d9d85f5c">
    <Part Type="punktas" Nr="1" Abbr="pr. 1 p." DocPartId="1ce2fedee03a4742a9c5f21d198b4853" PartId="a9428d902b394feb8dc5924b9963d8ef"/>
    <Part Type="punktas" Nr="2" Abbr="pr. 2 p." DocPartId="38d814dfc3b4409887a859674cc3bb6d" PartId="2ef308aaef794a08a2407c3973c99277"/>
    <Part Type="punktas" Nr="3" Abbr="pr. 3 p." DocPartId="baaa2e6d30a14389ba67acc1be3bda48" PartId="1ecf79f83c1340baa588adf756f0288a"/>
  </Part>
</Parts>
</file>

<file path=customXml/itemProps1.xml><?xml version="1.0" encoding="utf-8"?>
<ds:datastoreItem xmlns:ds="http://schemas.openxmlformats.org/officeDocument/2006/customXml" ds:itemID="{D38F4528-517B-4DFF-8085-0712962B36B4}">
  <ds:schemaRefs>
    <ds:schemaRef ds:uri="http://lrs.lt/TAIS/DocParts"/>
  </ds:schemaRefs>
</ds:datastoreItem>
</file>

<file path=docProps/app.xml><?xml version="1.0" encoding="utf-8"?>
<Properties xmlns="http://schemas.openxmlformats.org/officeDocument/2006/extended-properties">
  <Template>Normal.dotm</Template>
  <TotalTime>48</TotalTime>
  <Pages>25</Pages>
  <Words>58901</Words>
  <Characters>33575</Characters>
  <Application>Microsoft Office Word</Application>
  <DocSecurity>0</DocSecurity>
  <Lines>279</Lines>
  <Paragraphs>184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92292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GUMBYTĖ Danguolė</lastModifiedBy>
  <dcterms:modified xsi:type="dcterms:W3CDTF">2022-01-04T09:11:00Z</dcterms:modified>
  <revision>62</revision>
</coreProperties>
</file>